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EE4B" w14:textId="77777777" w:rsidR="008F4465" w:rsidRPr="007C7485" w:rsidRDefault="008F4465" w:rsidP="008F4465">
      <w:pPr>
        <w:spacing w:after="160" w:line="360" w:lineRule="auto"/>
        <w:rPr>
          <w:rFonts w:eastAsia="Calibri"/>
          <w:lang w:val="en-US" w:eastAsia="en-US"/>
        </w:rPr>
      </w:pPr>
      <w:r w:rsidRPr="007C7485">
        <w:rPr>
          <w:rFonts w:eastAsia="Calibri"/>
          <w:lang w:val="en-US" w:eastAsia="en-US"/>
        </w:rPr>
        <w:t>Table 3. Discrimination characteristics of the ∆PSS and comparison to the ∆PELODS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1607"/>
        <w:gridCol w:w="1615"/>
        <w:gridCol w:w="81"/>
        <w:gridCol w:w="1116"/>
        <w:gridCol w:w="299"/>
        <w:gridCol w:w="1849"/>
        <w:gridCol w:w="1784"/>
        <w:gridCol w:w="944"/>
      </w:tblGrid>
      <w:tr w:rsidR="008F4465" w:rsidRPr="007C7485" w14:paraId="36E8607F" w14:textId="77777777" w:rsidTr="0088637A">
        <w:trPr>
          <w:trHeight w:val="266"/>
        </w:trPr>
        <w:tc>
          <w:tcPr>
            <w:tcW w:w="1426" w:type="pct"/>
            <w:tcBorders>
              <w:top w:val="single" w:sz="4" w:space="0" w:color="auto"/>
            </w:tcBorders>
          </w:tcPr>
          <w:p w14:paraId="75C7BDB6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5E2BC" w14:textId="77777777" w:rsidR="008F4465" w:rsidRPr="001617A4" w:rsidRDefault="008F4465" w:rsidP="0088637A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1617A4">
              <w:rPr>
                <w:b/>
                <w:bCs/>
                <w:lang w:val="en-US"/>
              </w:rPr>
              <w:t xml:space="preserve">       Unadjusted models*, N = 469</w:t>
            </w:r>
          </w:p>
        </w:tc>
        <w:tc>
          <w:tcPr>
            <w:tcW w:w="2304" w:type="pct"/>
            <w:gridSpan w:val="5"/>
            <w:tcBorders>
              <w:top w:val="single" w:sz="4" w:space="0" w:color="auto"/>
            </w:tcBorders>
          </w:tcPr>
          <w:p w14:paraId="64980443" w14:textId="77777777" w:rsidR="008F4465" w:rsidRPr="001617A4" w:rsidRDefault="008F4465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1617A4">
              <w:rPr>
                <w:b/>
                <w:bCs/>
                <w:lang w:val="en-US"/>
              </w:rPr>
              <w:t xml:space="preserve">                                            Adjusted models**, N = 469</w:t>
            </w:r>
          </w:p>
        </w:tc>
      </w:tr>
      <w:tr w:rsidR="008F4465" w:rsidRPr="007C7485" w14:paraId="5B04F759" w14:textId="77777777" w:rsidTr="0088637A">
        <w:trPr>
          <w:trHeight w:val="549"/>
        </w:trPr>
        <w:tc>
          <w:tcPr>
            <w:tcW w:w="1426" w:type="pct"/>
          </w:tcPr>
          <w:p w14:paraId="0BCAC008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C35A8DA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rFonts w:cs="Calibri"/>
                <w:lang w:val="en-US"/>
              </w:rPr>
              <w:t>∆</w:t>
            </w:r>
            <w:r w:rsidRPr="007C7485">
              <w:rPr>
                <w:lang w:val="en-US"/>
              </w:rPr>
              <w:t>PSS</w:t>
            </w:r>
          </w:p>
          <w:p w14:paraId="319BAB0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AUC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3BFC3049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rFonts w:cs="Calibri"/>
                <w:lang w:val="en-US"/>
              </w:rPr>
              <w:t>∆</w:t>
            </w:r>
            <w:r w:rsidRPr="007C7485">
              <w:rPr>
                <w:lang w:val="en-US"/>
              </w:rPr>
              <w:t>PELODS</w:t>
            </w:r>
          </w:p>
          <w:p w14:paraId="54D54213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AUC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</w:tcPr>
          <w:p w14:paraId="1454BFC7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DeLong test** </w:t>
            </w:r>
          </w:p>
        </w:tc>
        <w:tc>
          <w:tcPr>
            <w:tcW w:w="115" w:type="pct"/>
          </w:tcPr>
          <w:p w14:paraId="124DE5DA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51778448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rFonts w:cs="Calibri"/>
                <w:lang w:val="en-US"/>
              </w:rPr>
              <w:t>∆</w:t>
            </w:r>
            <w:r w:rsidRPr="007C7485">
              <w:rPr>
                <w:lang w:val="en-US"/>
              </w:rPr>
              <w:t>PSS</w:t>
            </w:r>
          </w:p>
          <w:p w14:paraId="711A9ED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254B778B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rFonts w:cs="Calibri"/>
                <w:lang w:val="en-US"/>
              </w:rPr>
              <w:t>∆</w:t>
            </w:r>
            <w:r w:rsidRPr="007C7485">
              <w:rPr>
                <w:lang w:val="en-US"/>
              </w:rPr>
              <w:t>PELODS</w:t>
            </w:r>
          </w:p>
          <w:p w14:paraId="5B35CB36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AUC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39C1CDE7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DeLong test** </w:t>
            </w:r>
          </w:p>
        </w:tc>
      </w:tr>
      <w:tr w:rsidR="008F4465" w:rsidRPr="007C7485" w14:paraId="7DDF5D3C" w14:textId="77777777" w:rsidTr="0088637A">
        <w:trPr>
          <w:trHeight w:val="266"/>
        </w:trPr>
        <w:tc>
          <w:tcPr>
            <w:tcW w:w="1426" w:type="pct"/>
          </w:tcPr>
          <w:p w14:paraId="689208C4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5673593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(95% CI)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237F113C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 (95% CI)</w:t>
            </w: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</w:tcPr>
          <w:p w14:paraId="5CC4F38D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p-value</w:t>
            </w:r>
          </w:p>
        </w:tc>
        <w:tc>
          <w:tcPr>
            <w:tcW w:w="115" w:type="pct"/>
          </w:tcPr>
          <w:p w14:paraId="0AC0506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0ED838C9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(95% CI)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8073C8E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7C7485">
              <w:rPr>
                <w:lang w:val="en-US"/>
              </w:rPr>
              <w:t>95% CI)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68AADCA4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p-value</w:t>
            </w:r>
          </w:p>
        </w:tc>
      </w:tr>
      <w:tr w:rsidR="008F4465" w:rsidRPr="007C7485" w14:paraId="761BD207" w14:textId="77777777" w:rsidTr="0088637A">
        <w:trPr>
          <w:trHeight w:val="806"/>
        </w:trPr>
        <w:tc>
          <w:tcPr>
            <w:tcW w:w="1426" w:type="pct"/>
          </w:tcPr>
          <w:p w14:paraId="7D08C8F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Admission</w:t>
            </w:r>
          </w:p>
          <w:p w14:paraId="5511D96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140</w:t>
            </w:r>
            <w:r>
              <w:rPr>
                <w:lang w:val="en-US"/>
              </w:rPr>
              <w:t xml:space="preserve"> / 469 (29.9%)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8CD6CFA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0.626</w:t>
            </w:r>
          </w:p>
          <w:p w14:paraId="6BDA8DA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(0.581-0.670)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3A785F63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 xml:space="preserve">0.498 </w:t>
            </w:r>
          </w:p>
          <w:p w14:paraId="36F02338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(0.485-0.510)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</w:tcBorders>
          </w:tcPr>
          <w:p w14:paraId="3583F569" w14:textId="77777777" w:rsidR="008F4465" w:rsidRPr="007C7485" w:rsidRDefault="008F4465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&lt;.0001</w:t>
            </w:r>
          </w:p>
        </w:tc>
        <w:tc>
          <w:tcPr>
            <w:tcW w:w="115" w:type="pct"/>
          </w:tcPr>
          <w:p w14:paraId="226A7D5C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14:paraId="6A57FF7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0.890</w:t>
            </w:r>
          </w:p>
          <w:p w14:paraId="4CEFAE2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(0.858-0.921)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21F7E92E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0.867</w:t>
            </w:r>
          </w:p>
          <w:p w14:paraId="3EB93E3C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(0.845-0.910)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63956A4C" w14:textId="77777777" w:rsidR="008F4465" w:rsidRPr="007C7485" w:rsidRDefault="008F4465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0.03</w:t>
            </w:r>
          </w:p>
        </w:tc>
      </w:tr>
      <w:tr w:rsidR="008F4465" w:rsidRPr="007C7485" w14:paraId="7762871A" w14:textId="77777777" w:rsidTr="0088637A">
        <w:trPr>
          <w:trHeight w:val="806"/>
        </w:trPr>
        <w:tc>
          <w:tcPr>
            <w:tcW w:w="1426" w:type="pct"/>
          </w:tcPr>
          <w:p w14:paraId="24555061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ICU hospitalization</w:t>
            </w:r>
          </w:p>
          <w:p w14:paraId="77F95A33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109</w:t>
            </w:r>
            <w:r>
              <w:rPr>
                <w:lang w:val="en-US"/>
              </w:rPr>
              <w:t xml:space="preserve"> / 469 (23.3%)</w:t>
            </w:r>
          </w:p>
        </w:tc>
        <w:tc>
          <w:tcPr>
            <w:tcW w:w="618" w:type="pct"/>
          </w:tcPr>
          <w:p w14:paraId="340642E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0.604</w:t>
            </w:r>
          </w:p>
          <w:p w14:paraId="6F405806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(0.555-0.652)</w:t>
            </w:r>
          </w:p>
        </w:tc>
        <w:tc>
          <w:tcPr>
            <w:tcW w:w="621" w:type="pct"/>
          </w:tcPr>
          <w:p w14:paraId="127DD76B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0.488</w:t>
            </w:r>
          </w:p>
          <w:p w14:paraId="00BDD374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(0.472-0.503)</w:t>
            </w:r>
          </w:p>
        </w:tc>
        <w:tc>
          <w:tcPr>
            <w:tcW w:w="460" w:type="pct"/>
            <w:gridSpan w:val="2"/>
          </w:tcPr>
          <w:p w14:paraId="0D65C9BB" w14:textId="77777777" w:rsidR="008F4465" w:rsidRPr="007C7485" w:rsidRDefault="008F4465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&lt;.0001</w:t>
            </w:r>
          </w:p>
        </w:tc>
        <w:tc>
          <w:tcPr>
            <w:tcW w:w="115" w:type="pct"/>
          </w:tcPr>
          <w:p w14:paraId="14F8D471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</w:tcPr>
          <w:p w14:paraId="28FAB94C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0.872</w:t>
            </w:r>
          </w:p>
          <w:p w14:paraId="35A36A5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(0.833-0.911)</w:t>
            </w:r>
          </w:p>
        </w:tc>
        <w:tc>
          <w:tcPr>
            <w:tcW w:w="686" w:type="pct"/>
          </w:tcPr>
          <w:p w14:paraId="5932957B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0.867</w:t>
            </w:r>
          </w:p>
          <w:p w14:paraId="049D6EFF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(0.828-0.906)</w:t>
            </w:r>
          </w:p>
        </w:tc>
        <w:tc>
          <w:tcPr>
            <w:tcW w:w="363" w:type="pct"/>
          </w:tcPr>
          <w:p w14:paraId="26B7E1EA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0.4</w:t>
            </w:r>
          </w:p>
        </w:tc>
      </w:tr>
      <w:tr w:rsidR="008F4465" w:rsidRPr="007C7485" w14:paraId="534212DE" w14:textId="77777777" w:rsidTr="0088637A">
        <w:trPr>
          <w:trHeight w:val="806"/>
        </w:trPr>
        <w:tc>
          <w:tcPr>
            <w:tcW w:w="1426" w:type="pct"/>
          </w:tcPr>
          <w:p w14:paraId="19E5DA06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Hospital length of stay ≥ 12 hours</w:t>
            </w:r>
          </w:p>
          <w:p w14:paraId="21E9C91C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189</w:t>
            </w:r>
            <w:r>
              <w:rPr>
                <w:lang w:val="en-US"/>
              </w:rPr>
              <w:t xml:space="preserve"> / 469 (40.3%)</w:t>
            </w:r>
          </w:p>
        </w:tc>
        <w:tc>
          <w:tcPr>
            <w:tcW w:w="618" w:type="pct"/>
          </w:tcPr>
          <w:p w14:paraId="20D5021A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0.609</w:t>
            </w:r>
          </w:p>
          <w:p w14:paraId="26BE6B8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(0.572-0.645)</w:t>
            </w:r>
          </w:p>
        </w:tc>
        <w:tc>
          <w:tcPr>
            <w:tcW w:w="621" w:type="pct"/>
          </w:tcPr>
          <w:p w14:paraId="722ECEFC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0.489</w:t>
            </w:r>
          </w:p>
          <w:p w14:paraId="08C7905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(0.479-0.500)</w:t>
            </w:r>
          </w:p>
        </w:tc>
        <w:tc>
          <w:tcPr>
            <w:tcW w:w="460" w:type="pct"/>
            <w:gridSpan w:val="2"/>
          </w:tcPr>
          <w:p w14:paraId="6AF7FCCA" w14:textId="77777777" w:rsidR="008F4465" w:rsidRPr="007C7485" w:rsidRDefault="008F4465" w:rsidP="0088637A">
            <w:pPr>
              <w:spacing w:line="240" w:lineRule="auto"/>
              <w:rPr>
                <w:b/>
                <w:bCs/>
                <w:lang w:val="en-US"/>
              </w:rPr>
            </w:pPr>
            <w:r w:rsidRPr="007C7485">
              <w:rPr>
                <w:b/>
                <w:bCs/>
                <w:lang w:val="en-US"/>
              </w:rPr>
              <w:t>&lt;.0001</w:t>
            </w:r>
          </w:p>
        </w:tc>
        <w:tc>
          <w:tcPr>
            <w:tcW w:w="115" w:type="pct"/>
          </w:tcPr>
          <w:p w14:paraId="46A9C645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</w:tcPr>
          <w:p w14:paraId="7A282CB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0.882</w:t>
            </w:r>
          </w:p>
          <w:p w14:paraId="72476428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(0.849-0.915)</w:t>
            </w:r>
          </w:p>
        </w:tc>
        <w:tc>
          <w:tcPr>
            <w:tcW w:w="686" w:type="pct"/>
          </w:tcPr>
          <w:p w14:paraId="37DA3510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0.875</w:t>
            </w:r>
          </w:p>
          <w:p w14:paraId="49327B4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(0.843-0.908)</w:t>
            </w:r>
          </w:p>
        </w:tc>
        <w:tc>
          <w:tcPr>
            <w:tcW w:w="363" w:type="pct"/>
          </w:tcPr>
          <w:p w14:paraId="30AF61A7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0.3</w:t>
            </w:r>
          </w:p>
        </w:tc>
      </w:tr>
      <w:tr w:rsidR="008F4465" w:rsidRPr="007C7485" w14:paraId="4CE3339F" w14:textId="77777777" w:rsidTr="0088637A">
        <w:trPr>
          <w:trHeight w:val="806"/>
        </w:trPr>
        <w:tc>
          <w:tcPr>
            <w:tcW w:w="1426" w:type="pct"/>
            <w:tcBorders>
              <w:bottom w:val="single" w:sz="4" w:space="0" w:color="auto"/>
            </w:tcBorders>
          </w:tcPr>
          <w:p w14:paraId="28DAA844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Follow-up after discharge or psychiatric hospitalization</w:t>
            </w:r>
          </w:p>
          <w:p w14:paraId="6775F578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N = 83</w:t>
            </w:r>
            <w:r>
              <w:rPr>
                <w:lang w:val="en-US"/>
              </w:rPr>
              <w:t xml:space="preserve"> / 469 (17.7%)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356E259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0.529</w:t>
            </w:r>
          </w:p>
          <w:p w14:paraId="27363D6F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(0.477-0.582)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14:paraId="66DFA1A4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0.498</w:t>
            </w:r>
          </w:p>
          <w:p w14:paraId="2C48F402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(0.485-0.511)</w:t>
            </w:r>
          </w:p>
        </w:tc>
        <w:tc>
          <w:tcPr>
            <w:tcW w:w="460" w:type="pct"/>
            <w:gridSpan w:val="2"/>
            <w:tcBorders>
              <w:bottom w:val="single" w:sz="4" w:space="0" w:color="auto"/>
            </w:tcBorders>
          </w:tcPr>
          <w:p w14:paraId="05C5CBFE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0.25</w:t>
            </w: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14:paraId="102F8BE5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0B1681A6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0.863</w:t>
            </w:r>
          </w:p>
          <w:p w14:paraId="79786C48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(0.823-0.904)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1BDF0217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0.868</w:t>
            </w:r>
          </w:p>
          <w:p w14:paraId="555FF09D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(0.829-0.907)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5C9EA315" w14:textId="77777777" w:rsidR="008F4465" w:rsidRPr="007C7485" w:rsidRDefault="008F4465" w:rsidP="0088637A">
            <w:pPr>
              <w:spacing w:line="240" w:lineRule="auto"/>
              <w:rPr>
                <w:lang w:val="en-US"/>
              </w:rPr>
            </w:pPr>
            <w:r w:rsidRPr="007C7485">
              <w:rPr>
                <w:lang w:val="en-US"/>
              </w:rPr>
              <w:t>0.4</w:t>
            </w:r>
          </w:p>
        </w:tc>
      </w:tr>
    </w:tbl>
    <w:p w14:paraId="4340302E" w14:textId="77777777" w:rsidR="008F4465" w:rsidRPr="007C7485" w:rsidRDefault="008F4465" w:rsidP="008F4465">
      <w:pPr>
        <w:spacing w:line="259" w:lineRule="auto"/>
        <w:rPr>
          <w:rFonts w:ascii="Calibri" w:eastAsia="Calibri" w:hAnsi="Calibri"/>
          <w:sz w:val="18"/>
          <w:szCs w:val="18"/>
          <w:lang w:val="en-US" w:eastAsia="en-US"/>
        </w:rPr>
      </w:pPr>
      <w:r w:rsidRPr="007C7485">
        <w:rPr>
          <w:rFonts w:ascii="Calibri" w:eastAsia="Calibri" w:hAnsi="Calibri"/>
          <w:sz w:val="18"/>
          <w:szCs w:val="18"/>
          <w:lang w:val="en-US" w:eastAsia="en-US"/>
        </w:rPr>
        <w:t xml:space="preserve">The </w:t>
      </w: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∆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 xml:space="preserve">PSS and </w:t>
      </w: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∆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>PELODS were treated as 3-classes categorical variables: decrease, stabilization, and increase</w:t>
      </w:r>
      <w:r>
        <w:rPr>
          <w:rFonts w:ascii="Calibri" w:eastAsia="Calibri" w:hAnsi="Calibri"/>
          <w:sz w:val="18"/>
          <w:szCs w:val="18"/>
          <w:lang w:val="en-US" w:eastAsia="en-US"/>
        </w:rPr>
        <w:t>.</w:t>
      </w:r>
    </w:p>
    <w:p w14:paraId="10853140" w14:textId="77777777" w:rsidR="008F4465" w:rsidRPr="007C7485" w:rsidRDefault="008F4465" w:rsidP="008F4465">
      <w:pPr>
        <w:spacing w:line="240" w:lineRule="auto"/>
        <w:rPr>
          <w:rFonts w:eastAsia="Calibri"/>
          <w:lang w:val="en-US"/>
        </w:rPr>
      </w:pPr>
      <w:r w:rsidRPr="007C7485">
        <w:rPr>
          <w:rFonts w:eastAsia="Calibri"/>
          <w:lang w:val="en-US"/>
        </w:rPr>
        <w:t>*</w:t>
      </w: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Modeling of each outcome according to the severity scores only.</w:t>
      </w:r>
    </w:p>
    <w:p w14:paraId="60BF243D" w14:textId="77777777" w:rsidR="008F4465" w:rsidRPr="007C7485" w:rsidRDefault="008F4465" w:rsidP="008F4465">
      <w:pPr>
        <w:spacing w:line="240" w:lineRule="auto"/>
        <w:rPr>
          <w:rFonts w:eastAsia="Calibri"/>
          <w:lang w:val="en-US"/>
        </w:rPr>
      </w:pPr>
      <w:r w:rsidRPr="007C7485">
        <w:rPr>
          <w:rFonts w:ascii="Calibri" w:eastAsia="Calibri" w:hAnsi="Calibri"/>
          <w:sz w:val="22"/>
          <w:szCs w:val="22"/>
          <w:lang w:val="en-US" w:eastAsia="en-US"/>
        </w:rPr>
        <w:t>**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 xml:space="preserve">Adjusted for the severity scores and: </w:t>
      </w: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physicians' main specialty, age group, sex, presence of comorbidities, ingestion of ≥2 toxic substances, poisoning mechanism, and the delay between intoxication and arrival at the Emergency Department</w:t>
      </w:r>
    </w:p>
    <w:p w14:paraId="1FDE16A6" w14:textId="77777777" w:rsidR="008F4465" w:rsidRPr="007C7485" w:rsidRDefault="008F4465" w:rsidP="008F4465">
      <w:pPr>
        <w:spacing w:after="160" w:line="240" w:lineRule="auto"/>
        <w:rPr>
          <w:rFonts w:ascii="Calibri" w:eastAsia="Calibri" w:hAnsi="Calibri" w:cs="Calibri"/>
          <w:sz w:val="18"/>
          <w:szCs w:val="18"/>
          <w:lang w:val="en-US" w:eastAsia="en-US"/>
        </w:rPr>
      </w:pPr>
      <w:r w:rsidRPr="007C7485">
        <w:rPr>
          <w:rFonts w:ascii="Calibri" w:eastAsia="Calibri" w:hAnsi="Calibri" w:cs="Calibri"/>
          <w:sz w:val="18"/>
          <w:szCs w:val="18"/>
          <w:lang w:val="en-US" w:eastAsia="en-US"/>
        </w:rPr>
        <w:t>**Statistically significant comparison tests are in bold (p-value &lt; 0.05)</w:t>
      </w:r>
    </w:p>
    <w:p w14:paraId="1E40AC24" w14:textId="77777777" w:rsidR="002B13E6" w:rsidRDefault="00000000" w:rsidP="008F4465">
      <w:pPr>
        <w:spacing w:after="160" w:line="360" w:lineRule="auto"/>
      </w:pPr>
    </w:p>
    <w:sectPr w:rsidR="002B13E6" w:rsidSect="002702B0">
      <w:pgSz w:w="15840" w:h="12240" w:orient="landscape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3E6964"/>
    <w:multiLevelType w:val="hybridMultilevel"/>
    <w:tmpl w:val="FDEC113A"/>
    <w:lvl w:ilvl="0" w:tplc="4C0012BC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E1ADF"/>
    <w:multiLevelType w:val="hybridMultilevel"/>
    <w:tmpl w:val="10A019A0"/>
    <w:lvl w:ilvl="0" w:tplc="82903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31B77"/>
    <w:multiLevelType w:val="hybridMultilevel"/>
    <w:tmpl w:val="65B2F482"/>
    <w:lvl w:ilvl="0" w:tplc="8236F94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F5050"/>
    <w:multiLevelType w:val="hybridMultilevel"/>
    <w:tmpl w:val="FFEEFA24"/>
    <w:lvl w:ilvl="0" w:tplc="76AE56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46232"/>
    <w:multiLevelType w:val="hybridMultilevel"/>
    <w:tmpl w:val="48D0BED6"/>
    <w:lvl w:ilvl="0" w:tplc="0C184B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7D1575"/>
    <w:multiLevelType w:val="hybridMultilevel"/>
    <w:tmpl w:val="68588554"/>
    <w:lvl w:ilvl="0" w:tplc="6FA23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7613E"/>
    <w:multiLevelType w:val="hybridMultilevel"/>
    <w:tmpl w:val="BDE4696E"/>
    <w:lvl w:ilvl="0" w:tplc="D5D25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97747">
    <w:abstractNumId w:val="19"/>
  </w:num>
  <w:num w:numId="2" w16cid:durableId="1320306826">
    <w:abstractNumId w:val="26"/>
  </w:num>
  <w:num w:numId="3" w16cid:durableId="698362270">
    <w:abstractNumId w:val="1"/>
  </w:num>
  <w:num w:numId="4" w16cid:durableId="1050224314">
    <w:abstractNumId w:val="2"/>
  </w:num>
  <w:num w:numId="5" w16cid:durableId="1883981608">
    <w:abstractNumId w:val="3"/>
  </w:num>
  <w:num w:numId="6" w16cid:durableId="152186763">
    <w:abstractNumId w:val="4"/>
  </w:num>
  <w:num w:numId="7" w16cid:durableId="549805909">
    <w:abstractNumId w:val="9"/>
  </w:num>
  <w:num w:numId="8" w16cid:durableId="2140149986">
    <w:abstractNumId w:val="5"/>
  </w:num>
  <w:num w:numId="9" w16cid:durableId="1182402180">
    <w:abstractNumId w:val="7"/>
  </w:num>
  <w:num w:numId="10" w16cid:durableId="937374670">
    <w:abstractNumId w:val="6"/>
  </w:num>
  <w:num w:numId="11" w16cid:durableId="289361639">
    <w:abstractNumId w:val="10"/>
  </w:num>
  <w:num w:numId="12" w16cid:durableId="673453293">
    <w:abstractNumId w:val="8"/>
  </w:num>
  <w:num w:numId="13" w16cid:durableId="142279399">
    <w:abstractNumId w:val="22"/>
  </w:num>
  <w:num w:numId="14" w16cid:durableId="105199590">
    <w:abstractNumId w:val="27"/>
  </w:num>
  <w:num w:numId="15" w16cid:durableId="968322009">
    <w:abstractNumId w:val="18"/>
  </w:num>
  <w:num w:numId="16" w16cid:durableId="824516214">
    <w:abstractNumId w:val="21"/>
  </w:num>
  <w:num w:numId="17" w16cid:durableId="1236936218">
    <w:abstractNumId w:val="11"/>
  </w:num>
  <w:num w:numId="18" w16cid:durableId="1545679208">
    <w:abstractNumId w:val="0"/>
  </w:num>
  <w:num w:numId="19" w16cid:durableId="754008886">
    <w:abstractNumId w:val="12"/>
  </w:num>
  <w:num w:numId="20" w16cid:durableId="855272713">
    <w:abstractNumId w:val="23"/>
  </w:num>
  <w:num w:numId="21" w16cid:durableId="1108550197">
    <w:abstractNumId w:val="28"/>
  </w:num>
  <w:num w:numId="22" w16cid:durableId="97067121">
    <w:abstractNumId w:val="29"/>
  </w:num>
  <w:num w:numId="23" w16cid:durableId="1015301774">
    <w:abstractNumId w:val="17"/>
  </w:num>
  <w:num w:numId="24" w16cid:durableId="1730181867">
    <w:abstractNumId w:val="30"/>
  </w:num>
  <w:num w:numId="25" w16cid:durableId="1465124515">
    <w:abstractNumId w:val="13"/>
  </w:num>
  <w:num w:numId="26" w16cid:durableId="1363626152">
    <w:abstractNumId w:val="16"/>
  </w:num>
  <w:num w:numId="27" w16cid:durableId="173107640">
    <w:abstractNumId w:val="24"/>
  </w:num>
  <w:num w:numId="28" w16cid:durableId="393546484">
    <w:abstractNumId w:val="25"/>
  </w:num>
  <w:num w:numId="29" w16cid:durableId="1631747126">
    <w:abstractNumId w:val="20"/>
  </w:num>
  <w:num w:numId="30" w16cid:durableId="1752577170">
    <w:abstractNumId w:val="14"/>
  </w:num>
  <w:num w:numId="31" w16cid:durableId="272594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65"/>
    <w:rsid w:val="000A49AA"/>
    <w:rsid w:val="000E3D20"/>
    <w:rsid w:val="00153315"/>
    <w:rsid w:val="001A7483"/>
    <w:rsid w:val="001E7826"/>
    <w:rsid w:val="001F70CC"/>
    <w:rsid w:val="00287477"/>
    <w:rsid w:val="002A16D8"/>
    <w:rsid w:val="00305700"/>
    <w:rsid w:val="00337ECB"/>
    <w:rsid w:val="0039391F"/>
    <w:rsid w:val="003D25ED"/>
    <w:rsid w:val="00410B29"/>
    <w:rsid w:val="004660BB"/>
    <w:rsid w:val="00477A6B"/>
    <w:rsid w:val="00483D8B"/>
    <w:rsid w:val="004856E3"/>
    <w:rsid w:val="004E526E"/>
    <w:rsid w:val="00547070"/>
    <w:rsid w:val="0059000A"/>
    <w:rsid w:val="005B5B60"/>
    <w:rsid w:val="005E4EAD"/>
    <w:rsid w:val="00654200"/>
    <w:rsid w:val="00662454"/>
    <w:rsid w:val="006921E1"/>
    <w:rsid w:val="00705A8D"/>
    <w:rsid w:val="00711531"/>
    <w:rsid w:val="007235DA"/>
    <w:rsid w:val="00767A60"/>
    <w:rsid w:val="007923B2"/>
    <w:rsid w:val="007B44C2"/>
    <w:rsid w:val="00833B20"/>
    <w:rsid w:val="0085579F"/>
    <w:rsid w:val="00857D5B"/>
    <w:rsid w:val="008F4465"/>
    <w:rsid w:val="009B65D4"/>
    <w:rsid w:val="009D64AD"/>
    <w:rsid w:val="00A05442"/>
    <w:rsid w:val="00A81AE9"/>
    <w:rsid w:val="00AD0535"/>
    <w:rsid w:val="00B1675A"/>
    <w:rsid w:val="00D63064"/>
    <w:rsid w:val="00DC2379"/>
    <w:rsid w:val="00E6677F"/>
    <w:rsid w:val="00F334D0"/>
    <w:rsid w:val="00FA2224"/>
    <w:rsid w:val="00FD60A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71A69"/>
  <w14:defaultImageDpi w14:val="32767"/>
  <w15:chartTrackingRefBased/>
  <w15:docId w15:val="{20C9482B-6121-F747-8EB9-859E6D22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4465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Paragraph"/>
    <w:link w:val="Titre1Car"/>
    <w:qFormat/>
    <w:rsid w:val="008F4465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Paragraph"/>
    <w:link w:val="Titre2Car"/>
    <w:qFormat/>
    <w:rsid w:val="008F4465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Paragraph"/>
    <w:link w:val="Titre3Car"/>
    <w:qFormat/>
    <w:rsid w:val="008F4465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itre4">
    <w:name w:val="heading 4"/>
    <w:basedOn w:val="Paragraph"/>
    <w:next w:val="Newparagraph"/>
    <w:link w:val="Titre4Car"/>
    <w:rsid w:val="008F4465"/>
    <w:pPr>
      <w:spacing w:before="36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4465"/>
    <w:rPr>
      <w:rFonts w:ascii="Times New Roman" w:eastAsia="Times New Roman" w:hAnsi="Times New Roman" w:cs="Arial"/>
      <w:b/>
      <w:bCs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8F4465"/>
    <w:rPr>
      <w:rFonts w:ascii="Times New Roman" w:eastAsia="Times New Roman" w:hAnsi="Times New Roman" w:cs="Arial"/>
      <w:b/>
      <w:bCs/>
      <w:i/>
      <w:iCs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8F4465"/>
    <w:rPr>
      <w:rFonts w:ascii="Times New Roman" w:eastAsia="Times New Roman" w:hAnsi="Times New Roman" w:cs="Arial"/>
      <w:bCs/>
      <w:i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8F4465"/>
    <w:rPr>
      <w:rFonts w:ascii="Times New Roman" w:eastAsia="Times New Roman" w:hAnsi="Times New Roman" w:cs="Times New Roman"/>
      <w:bCs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8F4465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8F4465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8F4465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8F4465"/>
  </w:style>
  <w:style w:type="paragraph" w:customStyle="1" w:styleId="Abstract">
    <w:name w:val="Abstract"/>
    <w:basedOn w:val="Normal"/>
    <w:next w:val="Keywords"/>
    <w:qFormat/>
    <w:rsid w:val="008F4465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8F4465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8F4465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8F446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8F4465"/>
    <w:pPr>
      <w:widowControl/>
      <w:numPr>
        <w:numId w:val="13"/>
      </w:numPr>
      <w:tabs>
        <w:tab w:val="num" w:pos="360"/>
      </w:tabs>
      <w:spacing w:after="240"/>
      <w:ind w:left="0" w:firstLine="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8F446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8F4465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8F4465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8F4465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8F4465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8F4465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8F4465"/>
  </w:style>
  <w:style w:type="paragraph" w:customStyle="1" w:styleId="Paragraph">
    <w:name w:val="Paragraph"/>
    <w:basedOn w:val="Normal"/>
    <w:next w:val="Newparagraph"/>
    <w:link w:val="ParagraphCar"/>
    <w:qFormat/>
    <w:rsid w:val="008F4465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8F4465"/>
    <w:pPr>
      <w:ind w:firstLine="720"/>
    </w:pPr>
  </w:style>
  <w:style w:type="paragraph" w:styleId="Retraitnormal">
    <w:name w:val="Normal Indent"/>
    <w:basedOn w:val="Normal"/>
    <w:rsid w:val="008F4465"/>
    <w:pPr>
      <w:ind w:left="720"/>
    </w:pPr>
  </w:style>
  <w:style w:type="paragraph" w:customStyle="1" w:styleId="References">
    <w:name w:val="References"/>
    <w:basedOn w:val="Normal"/>
    <w:qFormat/>
    <w:rsid w:val="008F4465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8F4465"/>
  </w:style>
  <w:style w:type="paragraph" w:customStyle="1" w:styleId="Bulletedlist">
    <w:name w:val="Bulleted list"/>
    <w:basedOn w:val="Paragraph"/>
    <w:next w:val="Paragraph"/>
    <w:qFormat/>
    <w:rsid w:val="008F4465"/>
    <w:pPr>
      <w:widowControl/>
      <w:numPr>
        <w:numId w:val="14"/>
      </w:numPr>
      <w:tabs>
        <w:tab w:val="num" w:pos="360"/>
      </w:tabs>
      <w:spacing w:after="240"/>
      <w:ind w:left="0" w:firstLine="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rsid w:val="008F4465"/>
    <w:pPr>
      <w:ind w:left="284" w:hanging="284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F4465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Appelnotedebasdep">
    <w:name w:val="footnote reference"/>
    <w:basedOn w:val="Policepardfaut"/>
    <w:uiPriority w:val="99"/>
    <w:rsid w:val="008F4465"/>
    <w:rPr>
      <w:vertAlign w:val="superscript"/>
    </w:rPr>
  </w:style>
  <w:style w:type="paragraph" w:styleId="Notedefin">
    <w:name w:val="endnote text"/>
    <w:basedOn w:val="Normal"/>
    <w:link w:val="NotedefinCar"/>
    <w:autoRedefine/>
    <w:uiPriority w:val="99"/>
    <w:rsid w:val="008F4465"/>
    <w:pPr>
      <w:ind w:left="284" w:hanging="284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F4465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Appeldenotedefin">
    <w:name w:val="endnote reference"/>
    <w:basedOn w:val="Policepardfaut"/>
    <w:uiPriority w:val="99"/>
    <w:rsid w:val="008F4465"/>
    <w:rPr>
      <w:vertAlign w:val="superscript"/>
    </w:rPr>
  </w:style>
  <w:style w:type="paragraph" w:styleId="En-tte">
    <w:name w:val="header"/>
    <w:basedOn w:val="Normal"/>
    <w:link w:val="En-tteCar"/>
    <w:uiPriority w:val="99"/>
    <w:rsid w:val="008F4465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8F4465"/>
    <w:rPr>
      <w:rFonts w:ascii="Times New Roman" w:eastAsia="Times New Roman" w:hAnsi="Times New Roman" w:cs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8F4465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8F4465"/>
    <w:rPr>
      <w:rFonts w:ascii="Times New Roman" w:eastAsia="Times New Roman" w:hAnsi="Times New Roman" w:cs="Times New Roman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8F4465"/>
    <w:pPr>
      <w:widowControl/>
      <w:spacing w:before="360"/>
    </w:pPr>
  </w:style>
  <w:style w:type="character" w:styleId="Hyperlien">
    <w:name w:val="Hyperlink"/>
    <w:basedOn w:val="Policepardfaut"/>
    <w:uiPriority w:val="99"/>
    <w:unhideWhenUsed/>
    <w:rsid w:val="008F4465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8F4465"/>
    <w:pPr>
      <w:jc w:val="center"/>
    </w:pPr>
    <w:rPr>
      <w:noProof/>
    </w:rPr>
  </w:style>
  <w:style w:type="character" w:customStyle="1" w:styleId="ParagraphCar">
    <w:name w:val="Paragraph Car"/>
    <w:basedOn w:val="Policepardfaut"/>
    <w:link w:val="Paragraph"/>
    <w:rsid w:val="008F4465"/>
    <w:rPr>
      <w:rFonts w:ascii="Times New Roman" w:eastAsia="Times New Roman" w:hAnsi="Times New Roman" w:cs="Times New Roman"/>
      <w:lang w:val="en-GB" w:eastAsia="en-GB"/>
    </w:rPr>
  </w:style>
  <w:style w:type="character" w:customStyle="1" w:styleId="EndNoteBibliographyTitleCar">
    <w:name w:val="EndNote Bibliography Title Car"/>
    <w:basedOn w:val="ParagraphCar"/>
    <w:link w:val="EndNoteBibliographyTitle"/>
    <w:rsid w:val="008F4465"/>
    <w:rPr>
      <w:rFonts w:ascii="Times New Roman" w:eastAsia="Times New Roman" w:hAnsi="Times New Roman" w:cs="Times New Roman"/>
      <w:noProof/>
      <w:lang w:val="en-GB" w:eastAsia="en-GB"/>
    </w:rPr>
  </w:style>
  <w:style w:type="paragraph" w:customStyle="1" w:styleId="EndNoteBibliography">
    <w:name w:val="EndNote Bibliography"/>
    <w:basedOn w:val="Normal"/>
    <w:link w:val="EndNoteBibliographyCar"/>
    <w:rsid w:val="008F4465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ParagraphCar"/>
    <w:link w:val="EndNoteBibliography"/>
    <w:rsid w:val="008F4465"/>
    <w:rPr>
      <w:rFonts w:ascii="Times New Roman" w:eastAsia="Times New Roman" w:hAnsi="Times New Roman" w:cs="Times New Roman"/>
      <w:noProof/>
      <w:lang w:val="en-GB" w:eastAsia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F446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F4465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unhideWhenUsed/>
    <w:rsid w:val="008F4465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1"/>
    <w:uiPriority w:val="99"/>
    <w:rsid w:val="008F446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aire">
    <w:name w:val="annotation text"/>
    <w:basedOn w:val="Normal"/>
    <w:link w:val="CommentaireCar1"/>
    <w:uiPriority w:val="99"/>
    <w:unhideWhenUsed/>
    <w:rsid w:val="008F4465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8F446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Aucuneliste1">
    <w:name w:val="Aucune liste1"/>
    <w:next w:val="Aucuneliste"/>
    <w:uiPriority w:val="99"/>
    <w:semiHidden/>
    <w:unhideWhenUsed/>
    <w:rsid w:val="008F446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465"/>
    <w:pPr>
      <w:spacing w:after="160"/>
    </w:pPr>
    <w:rPr>
      <w:rFonts w:ascii="Calibri" w:eastAsia="Calibri" w:hAnsi="Calibri"/>
      <w:b/>
      <w:bCs/>
      <w:lang w:val="fr-CA"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8F4465"/>
    <w:rPr>
      <w:rFonts w:ascii="Calibri" w:eastAsia="Calibri" w:hAnsi="Calibri" w:cs="Times New Roman"/>
      <w:b/>
      <w:bCs/>
      <w:sz w:val="20"/>
      <w:szCs w:val="20"/>
      <w:lang w:val="fr-CA" w:eastAsia="en-GB"/>
    </w:rPr>
  </w:style>
  <w:style w:type="paragraph" w:styleId="Paragraphedeliste">
    <w:name w:val="List Paragraph"/>
    <w:basedOn w:val="Normal"/>
    <w:uiPriority w:val="34"/>
    <w:qFormat/>
    <w:rsid w:val="008F44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table" w:styleId="Grilledutableau">
    <w:name w:val="Table Grid"/>
    <w:basedOn w:val="TableauNormal"/>
    <w:uiPriority w:val="39"/>
    <w:rsid w:val="008F4465"/>
    <w:rPr>
      <w:rFonts w:ascii="Calibri" w:eastAsia="Calibri" w:hAnsi="Calibri" w:cs="Times New Roman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4465"/>
    <w:pPr>
      <w:spacing w:line="240" w:lineRule="auto"/>
    </w:pPr>
    <w:rPr>
      <w:rFonts w:ascii="Segoe UI" w:eastAsia="Calibri" w:hAnsi="Segoe UI" w:cs="Segoe UI"/>
      <w:sz w:val="18"/>
      <w:szCs w:val="18"/>
      <w:lang w:val="fr-CA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465"/>
    <w:rPr>
      <w:rFonts w:ascii="Segoe UI" w:eastAsia="Calibri" w:hAnsi="Segoe UI" w:cs="Segoe UI"/>
      <w:sz w:val="18"/>
      <w:szCs w:val="18"/>
      <w:lang w:val="fr-CA"/>
    </w:rPr>
  </w:style>
  <w:style w:type="paragraph" w:styleId="Rvision">
    <w:name w:val="Revision"/>
    <w:hidden/>
    <w:uiPriority w:val="99"/>
    <w:semiHidden/>
    <w:rsid w:val="008F4465"/>
    <w:rPr>
      <w:rFonts w:ascii="Calibri" w:eastAsia="Calibri" w:hAnsi="Calibri" w:cs="Times New Roman"/>
      <w:sz w:val="22"/>
      <w:szCs w:val="22"/>
      <w:lang w:val="fr-CA"/>
    </w:rPr>
  </w:style>
  <w:style w:type="character" w:styleId="Lienvisit">
    <w:name w:val="FollowedHyperlink"/>
    <w:basedOn w:val="Policepardfaut"/>
    <w:semiHidden/>
    <w:unhideWhenUsed/>
    <w:rsid w:val="008F446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unhideWhenUsed/>
    <w:rsid w:val="008F4465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8F4465"/>
    <w:rPr>
      <w:rFonts w:ascii="Segoe UI" w:hAnsi="Segoe UI" w:cs="Segoe UI" w:hint="default"/>
      <w:color w:val="666666"/>
      <w:sz w:val="18"/>
      <w:szCs w:val="18"/>
    </w:rPr>
  </w:style>
  <w:style w:type="character" w:styleId="Numrodeligne">
    <w:name w:val="line number"/>
    <w:basedOn w:val="Policepardfaut"/>
    <w:semiHidden/>
    <w:unhideWhenUsed/>
    <w:rsid w:val="008F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St-Onge</dc:creator>
  <cp:keywords/>
  <dc:description/>
  <cp:lastModifiedBy>Maude St-Onge</cp:lastModifiedBy>
  <cp:revision>1</cp:revision>
  <dcterms:created xsi:type="dcterms:W3CDTF">2024-04-03T00:16:00Z</dcterms:created>
  <dcterms:modified xsi:type="dcterms:W3CDTF">2024-04-03T00:18:00Z</dcterms:modified>
</cp:coreProperties>
</file>