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0C1C" w14:textId="77777777" w:rsidR="006948C3" w:rsidRPr="007C7485" w:rsidRDefault="006948C3" w:rsidP="006948C3">
      <w:pPr>
        <w:spacing w:after="160" w:line="360" w:lineRule="auto"/>
        <w:rPr>
          <w:rFonts w:eastAsia="Calibri"/>
          <w:lang w:val="en-US" w:eastAsia="en-US"/>
        </w:rPr>
      </w:pPr>
      <w:r w:rsidRPr="007C7485">
        <w:rPr>
          <w:rFonts w:eastAsia="Calibri"/>
          <w:lang w:val="en-US" w:eastAsia="en-US"/>
        </w:rPr>
        <w:t>Table 2. Discrimination characteristics of the PSS(t0) and comparison to the PELODS(t0)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1608"/>
        <w:gridCol w:w="1616"/>
        <w:gridCol w:w="79"/>
        <w:gridCol w:w="1118"/>
        <w:gridCol w:w="299"/>
        <w:gridCol w:w="1849"/>
        <w:gridCol w:w="1784"/>
        <w:gridCol w:w="941"/>
      </w:tblGrid>
      <w:tr w:rsidR="006948C3" w:rsidRPr="007C7485" w14:paraId="6C71789B" w14:textId="77777777" w:rsidTr="0088637A">
        <w:trPr>
          <w:trHeight w:val="266"/>
        </w:trPr>
        <w:tc>
          <w:tcPr>
            <w:tcW w:w="1426" w:type="pct"/>
            <w:tcBorders>
              <w:top w:val="single" w:sz="4" w:space="0" w:color="auto"/>
            </w:tcBorders>
          </w:tcPr>
          <w:p w14:paraId="353F6F0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9440AE" w14:textId="77777777" w:rsidR="006948C3" w:rsidRPr="001617A4" w:rsidRDefault="006948C3" w:rsidP="0088637A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1617A4">
              <w:rPr>
                <w:b/>
                <w:bCs/>
                <w:lang w:val="en-US"/>
              </w:rPr>
              <w:t xml:space="preserve">       Unadjusted models*</w:t>
            </w:r>
          </w:p>
        </w:tc>
        <w:tc>
          <w:tcPr>
            <w:tcW w:w="2304" w:type="pct"/>
            <w:gridSpan w:val="5"/>
            <w:tcBorders>
              <w:top w:val="single" w:sz="4" w:space="0" w:color="auto"/>
            </w:tcBorders>
          </w:tcPr>
          <w:p w14:paraId="1B822FD3" w14:textId="77777777" w:rsidR="006948C3" w:rsidRPr="001617A4" w:rsidRDefault="006948C3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1617A4">
              <w:rPr>
                <w:b/>
                <w:bCs/>
                <w:lang w:val="en-US"/>
              </w:rPr>
              <w:t xml:space="preserve">                                            Adjusted models**</w:t>
            </w:r>
          </w:p>
        </w:tc>
      </w:tr>
      <w:tr w:rsidR="006948C3" w:rsidRPr="007C7485" w14:paraId="315413B3" w14:textId="77777777" w:rsidTr="0088637A">
        <w:trPr>
          <w:trHeight w:val="549"/>
        </w:trPr>
        <w:tc>
          <w:tcPr>
            <w:tcW w:w="1426" w:type="pct"/>
          </w:tcPr>
          <w:p w14:paraId="582CD309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AA8DC82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PSS(t0)</w:t>
            </w:r>
          </w:p>
          <w:p w14:paraId="4B2031B4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AUC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2D1FB55C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PELODS(t0)</w:t>
            </w:r>
          </w:p>
          <w:p w14:paraId="347D64A3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AUC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</w:tcPr>
          <w:p w14:paraId="498A8F5D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DeLong test** </w:t>
            </w:r>
          </w:p>
        </w:tc>
        <w:tc>
          <w:tcPr>
            <w:tcW w:w="115" w:type="pct"/>
          </w:tcPr>
          <w:p w14:paraId="63AACDE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2AAB19ED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PSS(t0)</w:t>
            </w:r>
          </w:p>
          <w:p w14:paraId="010E533F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AUC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14:paraId="1D9C4991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PELODS(t0)</w:t>
            </w:r>
          </w:p>
          <w:p w14:paraId="0FBF0391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AUC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14:paraId="2DF88005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DeLong test** </w:t>
            </w:r>
          </w:p>
        </w:tc>
      </w:tr>
      <w:tr w:rsidR="006948C3" w:rsidRPr="007C7485" w14:paraId="7A3779CA" w14:textId="77777777" w:rsidTr="0088637A">
        <w:trPr>
          <w:trHeight w:val="266"/>
        </w:trPr>
        <w:tc>
          <w:tcPr>
            <w:tcW w:w="1426" w:type="pct"/>
          </w:tcPr>
          <w:p w14:paraId="01848DFD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5547D779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(95% CI)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402213C3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 (95% CI)</w:t>
            </w:r>
          </w:p>
        </w:tc>
        <w:tc>
          <w:tcPr>
            <w:tcW w:w="460" w:type="pct"/>
            <w:gridSpan w:val="2"/>
            <w:tcBorders>
              <w:bottom w:val="single" w:sz="4" w:space="0" w:color="auto"/>
            </w:tcBorders>
          </w:tcPr>
          <w:p w14:paraId="765D0284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p-value</w:t>
            </w:r>
          </w:p>
        </w:tc>
        <w:tc>
          <w:tcPr>
            <w:tcW w:w="115" w:type="pct"/>
          </w:tcPr>
          <w:p w14:paraId="69368A9F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6C70DB96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(95% CI)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40A503ED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(95% CI)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15946D72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p-value</w:t>
            </w:r>
          </w:p>
        </w:tc>
      </w:tr>
      <w:tr w:rsidR="006948C3" w:rsidRPr="007C7485" w14:paraId="4B354C3D" w14:textId="77777777" w:rsidTr="0088637A">
        <w:trPr>
          <w:trHeight w:val="806"/>
        </w:trPr>
        <w:tc>
          <w:tcPr>
            <w:tcW w:w="1426" w:type="pct"/>
          </w:tcPr>
          <w:p w14:paraId="3D48303F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Admission</w:t>
            </w:r>
          </w:p>
          <w:p w14:paraId="156FB017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N = 140</w:t>
            </w:r>
            <w:r>
              <w:rPr>
                <w:lang w:val="en-US"/>
              </w:rPr>
              <w:t xml:space="preserve"> / 469 (29.9%)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78C3159A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0.690</w:t>
            </w:r>
          </w:p>
          <w:p w14:paraId="6F20BE70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(0.649-0.732)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5636B484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0.506 </w:t>
            </w:r>
          </w:p>
          <w:p w14:paraId="0BB8001A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(0.491-0.522)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</w:tcPr>
          <w:p w14:paraId="2CE89840" w14:textId="77777777" w:rsidR="006948C3" w:rsidRPr="007C7485" w:rsidRDefault="006948C3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&lt;.0001</w:t>
            </w:r>
          </w:p>
        </w:tc>
        <w:tc>
          <w:tcPr>
            <w:tcW w:w="115" w:type="pct"/>
          </w:tcPr>
          <w:p w14:paraId="72258891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24F52128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0.902 </w:t>
            </w:r>
          </w:p>
          <w:p w14:paraId="6B05C662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(0.871-0.933)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14:paraId="5798890C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0.878 </w:t>
            </w:r>
          </w:p>
          <w:p w14:paraId="11CE7D7C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(0.844-0.912)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14:paraId="39B0B5A5" w14:textId="77777777" w:rsidR="006948C3" w:rsidRPr="007C7485" w:rsidRDefault="006948C3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0.001</w:t>
            </w:r>
          </w:p>
        </w:tc>
      </w:tr>
      <w:tr w:rsidR="006948C3" w:rsidRPr="007C7485" w14:paraId="2E5BB4FF" w14:textId="77777777" w:rsidTr="0088637A">
        <w:trPr>
          <w:trHeight w:val="806"/>
        </w:trPr>
        <w:tc>
          <w:tcPr>
            <w:tcW w:w="1426" w:type="pct"/>
          </w:tcPr>
          <w:p w14:paraId="56BA9D12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ICU hospitalization</w:t>
            </w:r>
          </w:p>
          <w:p w14:paraId="50289E5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N = 109</w:t>
            </w:r>
            <w:r>
              <w:rPr>
                <w:lang w:val="en-US"/>
              </w:rPr>
              <w:t xml:space="preserve"> / 469 (23.3%)</w:t>
            </w:r>
          </w:p>
        </w:tc>
        <w:tc>
          <w:tcPr>
            <w:tcW w:w="618" w:type="pct"/>
          </w:tcPr>
          <w:p w14:paraId="41506C64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0.649 </w:t>
            </w:r>
          </w:p>
          <w:p w14:paraId="455B15EA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(0.601-0.697)</w:t>
            </w:r>
          </w:p>
        </w:tc>
        <w:tc>
          <w:tcPr>
            <w:tcW w:w="621" w:type="pct"/>
          </w:tcPr>
          <w:p w14:paraId="526486D3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0.508</w:t>
            </w:r>
          </w:p>
          <w:p w14:paraId="75953E2A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(0.492-0.523)</w:t>
            </w:r>
          </w:p>
        </w:tc>
        <w:tc>
          <w:tcPr>
            <w:tcW w:w="460" w:type="pct"/>
            <w:gridSpan w:val="2"/>
          </w:tcPr>
          <w:p w14:paraId="797ED893" w14:textId="77777777" w:rsidR="006948C3" w:rsidRPr="007C7485" w:rsidRDefault="006948C3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&lt;.0001</w:t>
            </w:r>
          </w:p>
        </w:tc>
        <w:tc>
          <w:tcPr>
            <w:tcW w:w="115" w:type="pct"/>
          </w:tcPr>
          <w:p w14:paraId="12478168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</w:tcPr>
          <w:p w14:paraId="5C3C2BF3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0.901 </w:t>
            </w:r>
          </w:p>
          <w:p w14:paraId="0B6EF9D3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(0.868-0.935)</w:t>
            </w:r>
          </w:p>
        </w:tc>
        <w:tc>
          <w:tcPr>
            <w:tcW w:w="686" w:type="pct"/>
          </w:tcPr>
          <w:p w14:paraId="3B72C063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0.882 </w:t>
            </w:r>
          </w:p>
          <w:p w14:paraId="3C4B5A4D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(0.845-0.919)</w:t>
            </w:r>
          </w:p>
        </w:tc>
        <w:tc>
          <w:tcPr>
            <w:tcW w:w="362" w:type="pct"/>
          </w:tcPr>
          <w:p w14:paraId="31D408A0" w14:textId="77777777" w:rsidR="006948C3" w:rsidRPr="007C7485" w:rsidRDefault="006948C3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0.001</w:t>
            </w:r>
          </w:p>
        </w:tc>
      </w:tr>
      <w:tr w:rsidR="006948C3" w:rsidRPr="007C7485" w14:paraId="0741D421" w14:textId="77777777" w:rsidTr="0088637A">
        <w:trPr>
          <w:trHeight w:val="806"/>
        </w:trPr>
        <w:tc>
          <w:tcPr>
            <w:tcW w:w="1426" w:type="pct"/>
          </w:tcPr>
          <w:p w14:paraId="0F3B706F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Hospital length of stay ≥ 12 hours</w:t>
            </w:r>
          </w:p>
          <w:p w14:paraId="765504F9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N = 189</w:t>
            </w:r>
            <w:r>
              <w:rPr>
                <w:lang w:val="en-US"/>
              </w:rPr>
              <w:t xml:space="preserve"> / 469 (40.3%)</w:t>
            </w:r>
          </w:p>
        </w:tc>
        <w:tc>
          <w:tcPr>
            <w:tcW w:w="618" w:type="pct"/>
          </w:tcPr>
          <w:p w14:paraId="36ACBC91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0.666 </w:t>
            </w:r>
          </w:p>
          <w:p w14:paraId="1BCAE71C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(0.632-0.700)</w:t>
            </w:r>
          </w:p>
        </w:tc>
        <w:tc>
          <w:tcPr>
            <w:tcW w:w="621" w:type="pct"/>
          </w:tcPr>
          <w:p w14:paraId="5210EE3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0.512 </w:t>
            </w:r>
          </w:p>
          <w:p w14:paraId="6E90AEE4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(0.497-0.526)</w:t>
            </w:r>
          </w:p>
        </w:tc>
        <w:tc>
          <w:tcPr>
            <w:tcW w:w="460" w:type="pct"/>
            <w:gridSpan w:val="2"/>
          </w:tcPr>
          <w:p w14:paraId="3F925006" w14:textId="77777777" w:rsidR="006948C3" w:rsidRPr="007C7485" w:rsidRDefault="006948C3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&lt;.0001</w:t>
            </w:r>
          </w:p>
        </w:tc>
        <w:tc>
          <w:tcPr>
            <w:tcW w:w="115" w:type="pct"/>
          </w:tcPr>
          <w:p w14:paraId="6B14BEEF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</w:tcPr>
          <w:p w14:paraId="15EDBEFA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0.898 </w:t>
            </w:r>
          </w:p>
          <w:p w14:paraId="5CC442E0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(0.868-0.928)</w:t>
            </w:r>
          </w:p>
        </w:tc>
        <w:tc>
          <w:tcPr>
            <w:tcW w:w="686" w:type="pct"/>
          </w:tcPr>
          <w:p w14:paraId="70468535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0.882 </w:t>
            </w:r>
          </w:p>
          <w:p w14:paraId="5C71296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(0.850-0.914)</w:t>
            </w:r>
          </w:p>
        </w:tc>
        <w:tc>
          <w:tcPr>
            <w:tcW w:w="362" w:type="pct"/>
          </w:tcPr>
          <w:p w14:paraId="7C4F3F71" w14:textId="77777777" w:rsidR="006948C3" w:rsidRPr="007C7485" w:rsidRDefault="006948C3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0.003</w:t>
            </w:r>
          </w:p>
        </w:tc>
      </w:tr>
      <w:tr w:rsidR="006948C3" w:rsidRPr="007C7485" w14:paraId="5B29EDB1" w14:textId="77777777" w:rsidTr="0088637A">
        <w:trPr>
          <w:trHeight w:val="806"/>
        </w:trPr>
        <w:tc>
          <w:tcPr>
            <w:tcW w:w="1426" w:type="pct"/>
            <w:tcBorders>
              <w:bottom w:val="single" w:sz="4" w:space="0" w:color="auto"/>
            </w:tcBorders>
          </w:tcPr>
          <w:p w14:paraId="0373B60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Follow-up after discharge or psychiatric hospitalization</w:t>
            </w:r>
          </w:p>
          <w:p w14:paraId="091BF62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N = 83</w:t>
            </w:r>
            <w:r>
              <w:rPr>
                <w:lang w:val="en-US"/>
              </w:rPr>
              <w:t xml:space="preserve"> / 469 (17.7%)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10BFF3F1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0.569 </w:t>
            </w:r>
          </w:p>
          <w:p w14:paraId="2EFE24F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(0.519-0.620)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66DDDFD7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0.511</w:t>
            </w:r>
          </w:p>
          <w:p w14:paraId="68E12474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(0.496-0.526)</w:t>
            </w:r>
          </w:p>
        </w:tc>
        <w:tc>
          <w:tcPr>
            <w:tcW w:w="460" w:type="pct"/>
            <w:gridSpan w:val="2"/>
            <w:tcBorders>
              <w:bottom w:val="single" w:sz="4" w:space="0" w:color="auto"/>
            </w:tcBorders>
          </w:tcPr>
          <w:p w14:paraId="20405ED1" w14:textId="77777777" w:rsidR="006948C3" w:rsidRPr="007C7485" w:rsidRDefault="006948C3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0.03</w:t>
            </w:r>
          </w:p>
        </w:tc>
        <w:tc>
          <w:tcPr>
            <w:tcW w:w="115" w:type="pct"/>
            <w:tcBorders>
              <w:bottom w:val="single" w:sz="4" w:space="0" w:color="auto"/>
            </w:tcBorders>
          </w:tcPr>
          <w:p w14:paraId="6082483F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011A8E4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0.887 </w:t>
            </w:r>
          </w:p>
          <w:p w14:paraId="72D1EBA6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(0.852-0.921)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7A4A2AAD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0.887 </w:t>
            </w:r>
          </w:p>
          <w:p w14:paraId="0A541F78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(0.853-0.922)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5847F25E" w14:textId="77777777" w:rsidR="006948C3" w:rsidRPr="007C7485" w:rsidRDefault="006948C3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0.7</w:t>
            </w:r>
          </w:p>
        </w:tc>
      </w:tr>
    </w:tbl>
    <w:p w14:paraId="72908E91" w14:textId="77777777" w:rsidR="006948C3" w:rsidRPr="007C7485" w:rsidRDefault="006948C3" w:rsidP="006948C3">
      <w:pPr>
        <w:spacing w:line="240" w:lineRule="auto"/>
        <w:rPr>
          <w:rFonts w:ascii="Calibri" w:eastAsia="Calibri" w:hAnsi="Calibri"/>
          <w:sz w:val="18"/>
          <w:szCs w:val="18"/>
          <w:lang w:val="en-US" w:eastAsia="en-US"/>
        </w:rPr>
      </w:pPr>
      <w:r w:rsidRPr="007C7485">
        <w:rPr>
          <w:rFonts w:ascii="Calibri" w:eastAsia="Calibri" w:hAnsi="Calibri"/>
          <w:sz w:val="18"/>
          <w:szCs w:val="18"/>
          <w:lang w:val="en-US" w:eastAsia="en-US"/>
        </w:rPr>
        <w:t>The PSS</w:t>
      </w:r>
      <w:r>
        <w:rPr>
          <w:rFonts w:ascii="Calibri" w:eastAsia="Calibri" w:hAnsi="Calibri"/>
          <w:sz w:val="18"/>
          <w:szCs w:val="18"/>
          <w:lang w:val="en-US" w:eastAsia="en-US"/>
        </w:rPr>
        <w:t>(t0)</w:t>
      </w:r>
      <w:r w:rsidRPr="007C7485">
        <w:rPr>
          <w:rFonts w:ascii="Calibri" w:eastAsia="Calibri" w:hAnsi="Calibri"/>
          <w:sz w:val="18"/>
          <w:szCs w:val="18"/>
          <w:lang w:val="en-US" w:eastAsia="en-US"/>
        </w:rPr>
        <w:t xml:space="preserve"> was included in the models as a 3-levels hierarchical variable (0, 1, 2-3). The PELODS</w:t>
      </w:r>
      <w:r>
        <w:rPr>
          <w:rFonts w:ascii="Calibri" w:eastAsia="Calibri" w:hAnsi="Calibri"/>
          <w:sz w:val="18"/>
          <w:szCs w:val="18"/>
          <w:lang w:val="en-US" w:eastAsia="en-US"/>
        </w:rPr>
        <w:t>(t0)</w:t>
      </w:r>
      <w:r w:rsidRPr="007C7485">
        <w:rPr>
          <w:rFonts w:ascii="Calibri" w:eastAsia="Calibri" w:hAnsi="Calibri"/>
          <w:sz w:val="18"/>
          <w:szCs w:val="18"/>
          <w:lang w:val="en-US" w:eastAsia="en-US"/>
        </w:rPr>
        <w:t xml:space="preserve"> had only two categories and was treated as a binary variable (0 and 1)</w:t>
      </w:r>
    </w:p>
    <w:p w14:paraId="2EBA46C4" w14:textId="77777777" w:rsidR="006948C3" w:rsidRPr="007C7485" w:rsidRDefault="006948C3" w:rsidP="006948C3">
      <w:pPr>
        <w:spacing w:line="240" w:lineRule="auto"/>
        <w:rPr>
          <w:rFonts w:eastAsia="Calibri"/>
          <w:lang w:val="en-US"/>
        </w:rPr>
      </w:pPr>
      <w:r w:rsidRPr="007C7485">
        <w:rPr>
          <w:rFonts w:ascii="Calibri" w:eastAsia="Calibri" w:hAnsi="Calibri"/>
          <w:sz w:val="18"/>
          <w:szCs w:val="18"/>
          <w:lang w:val="en-US" w:eastAsia="en-US"/>
        </w:rPr>
        <w:t>*Modeling</w:t>
      </w:r>
      <w:r w:rsidRPr="007C7485">
        <w:rPr>
          <w:rFonts w:ascii="Calibri" w:eastAsia="Calibri" w:hAnsi="Calibri" w:cs="Calibri"/>
          <w:sz w:val="18"/>
          <w:szCs w:val="18"/>
          <w:lang w:val="en-US" w:eastAsia="en-US"/>
        </w:rPr>
        <w:t xml:space="preserve"> of each outcome according to the severity scores only.</w:t>
      </w:r>
    </w:p>
    <w:p w14:paraId="3B398ADF" w14:textId="77777777" w:rsidR="006948C3" w:rsidRPr="007C7485" w:rsidRDefault="006948C3" w:rsidP="006948C3">
      <w:pPr>
        <w:spacing w:line="240" w:lineRule="auto"/>
        <w:rPr>
          <w:rFonts w:eastAsia="Calibri"/>
          <w:lang w:val="en-US"/>
        </w:rPr>
      </w:pPr>
      <w:r w:rsidRPr="007C7485">
        <w:rPr>
          <w:rFonts w:ascii="Calibri" w:eastAsia="Calibri" w:hAnsi="Calibri"/>
          <w:sz w:val="22"/>
          <w:szCs w:val="22"/>
          <w:lang w:val="en-US" w:eastAsia="en-US"/>
        </w:rPr>
        <w:t>**</w:t>
      </w:r>
      <w:r w:rsidRPr="007C7485">
        <w:rPr>
          <w:rFonts w:ascii="Calibri" w:eastAsia="Calibri" w:hAnsi="Calibri"/>
          <w:sz w:val="18"/>
          <w:szCs w:val="18"/>
          <w:lang w:val="en-US" w:eastAsia="en-US"/>
        </w:rPr>
        <w:t xml:space="preserve">Adjusted for the severity scores and: </w:t>
      </w:r>
      <w:r w:rsidRPr="007C7485">
        <w:rPr>
          <w:rFonts w:ascii="Calibri" w:eastAsia="Calibri" w:hAnsi="Calibri" w:cs="Calibri"/>
          <w:sz w:val="18"/>
          <w:szCs w:val="18"/>
          <w:lang w:val="en-US" w:eastAsia="en-US"/>
        </w:rPr>
        <w:t>physicians' main specialty, age group, sex, presence of comorbidities, ingestion of ≥2 toxic substances, poisoning mechanism, and the delay between intoxication and arrival at the Emergency Department</w:t>
      </w:r>
    </w:p>
    <w:p w14:paraId="2991534C" w14:textId="77777777" w:rsidR="006948C3" w:rsidRPr="007C7485" w:rsidRDefault="006948C3" w:rsidP="006948C3">
      <w:pPr>
        <w:spacing w:after="160" w:line="240" w:lineRule="auto"/>
        <w:rPr>
          <w:rFonts w:ascii="Calibri" w:eastAsia="Calibri" w:hAnsi="Calibri" w:cs="Calibri"/>
          <w:sz w:val="18"/>
          <w:szCs w:val="18"/>
          <w:lang w:val="en-US" w:eastAsia="en-US"/>
        </w:rPr>
      </w:pPr>
      <w:r w:rsidRPr="007C7485">
        <w:rPr>
          <w:rFonts w:ascii="Calibri" w:eastAsia="Calibri" w:hAnsi="Calibri" w:cs="Calibri"/>
          <w:sz w:val="18"/>
          <w:szCs w:val="18"/>
          <w:lang w:val="en-US" w:eastAsia="en-US"/>
        </w:rPr>
        <w:t>**Statistically significant comparison tests are in bold (p-value &lt; 0.05)</w:t>
      </w:r>
    </w:p>
    <w:p w14:paraId="2ED4E5CD" w14:textId="77777777" w:rsidR="002B13E6" w:rsidRDefault="00000000" w:rsidP="006948C3">
      <w:pPr>
        <w:spacing w:after="160" w:line="360" w:lineRule="auto"/>
      </w:pPr>
    </w:p>
    <w:sectPr w:rsidR="002B13E6" w:rsidSect="002702B0">
      <w:pgSz w:w="15840" w:h="12240" w:orient="landscape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3E6964"/>
    <w:multiLevelType w:val="hybridMultilevel"/>
    <w:tmpl w:val="FDEC113A"/>
    <w:lvl w:ilvl="0" w:tplc="4C0012BC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E1ADF"/>
    <w:multiLevelType w:val="hybridMultilevel"/>
    <w:tmpl w:val="10A019A0"/>
    <w:lvl w:ilvl="0" w:tplc="82903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31B77"/>
    <w:multiLevelType w:val="hybridMultilevel"/>
    <w:tmpl w:val="65B2F482"/>
    <w:lvl w:ilvl="0" w:tplc="8236F94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F5050"/>
    <w:multiLevelType w:val="hybridMultilevel"/>
    <w:tmpl w:val="FFEEFA24"/>
    <w:lvl w:ilvl="0" w:tplc="76AE56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46232"/>
    <w:multiLevelType w:val="hybridMultilevel"/>
    <w:tmpl w:val="48D0BED6"/>
    <w:lvl w:ilvl="0" w:tplc="0C184B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7D1575"/>
    <w:multiLevelType w:val="hybridMultilevel"/>
    <w:tmpl w:val="68588554"/>
    <w:lvl w:ilvl="0" w:tplc="6FA23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7613E"/>
    <w:multiLevelType w:val="hybridMultilevel"/>
    <w:tmpl w:val="BDE4696E"/>
    <w:lvl w:ilvl="0" w:tplc="D5D25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4918">
    <w:abstractNumId w:val="19"/>
  </w:num>
  <w:num w:numId="2" w16cid:durableId="2012367323">
    <w:abstractNumId w:val="26"/>
  </w:num>
  <w:num w:numId="3" w16cid:durableId="571695197">
    <w:abstractNumId w:val="1"/>
  </w:num>
  <w:num w:numId="4" w16cid:durableId="681399293">
    <w:abstractNumId w:val="2"/>
  </w:num>
  <w:num w:numId="5" w16cid:durableId="1452868293">
    <w:abstractNumId w:val="3"/>
  </w:num>
  <w:num w:numId="6" w16cid:durableId="1789471896">
    <w:abstractNumId w:val="4"/>
  </w:num>
  <w:num w:numId="7" w16cid:durableId="2060281218">
    <w:abstractNumId w:val="9"/>
  </w:num>
  <w:num w:numId="8" w16cid:durableId="1800296445">
    <w:abstractNumId w:val="5"/>
  </w:num>
  <w:num w:numId="9" w16cid:durableId="1312521650">
    <w:abstractNumId w:val="7"/>
  </w:num>
  <w:num w:numId="10" w16cid:durableId="1978339689">
    <w:abstractNumId w:val="6"/>
  </w:num>
  <w:num w:numId="11" w16cid:durableId="611742877">
    <w:abstractNumId w:val="10"/>
  </w:num>
  <w:num w:numId="12" w16cid:durableId="71196584">
    <w:abstractNumId w:val="8"/>
  </w:num>
  <w:num w:numId="13" w16cid:durableId="1775779656">
    <w:abstractNumId w:val="22"/>
  </w:num>
  <w:num w:numId="14" w16cid:durableId="1565799350">
    <w:abstractNumId w:val="27"/>
  </w:num>
  <w:num w:numId="15" w16cid:durableId="218058514">
    <w:abstractNumId w:val="18"/>
  </w:num>
  <w:num w:numId="16" w16cid:durableId="1008675863">
    <w:abstractNumId w:val="21"/>
  </w:num>
  <w:num w:numId="17" w16cid:durableId="730233126">
    <w:abstractNumId w:val="11"/>
  </w:num>
  <w:num w:numId="18" w16cid:durableId="2061318639">
    <w:abstractNumId w:val="0"/>
  </w:num>
  <w:num w:numId="19" w16cid:durableId="1012142073">
    <w:abstractNumId w:val="12"/>
  </w:num>
  <w:num w:numId="20" w16cid:durableId="1900630585">
    <w:abstractNumId w:val="23"/>
  </w:num>
  <w:num w:numId="21" w16cid:durableId="312832097">
    <w:abstractNumId w:val="28"/>
  </w:num>
  <w:num w:numId="22" w16cid:durableId="210312598">
    <w:abstractNumId w:val="29"/>
  </w:num>
  <w:num w:numId="23" w16cid:durableId="1073816739">
    <w:abstractNumId w:val="17"/>
  </w:num>
  <w:num w:numId="24" w16cid:durableId="813525274">
    <w:abstractNumId w:val="30"/>
  </w:num>
  <w:num w:numId="25" w16cid:durableId="1723990164">
    <w:abstractNumId w:val="13"/>
  </w:num>
  <w:num w:numId="26" w16cid:durableId="1335837658">
    <w:abstractNumId w:val="16"/>
  </w:num>
  <w:num w:numId="27" w16cid:durableId="1148671720">
    <w:abstractNumId w:val="24"/>
  </w:num>
  <w:num w:numId="28" w16cid:durableId="1516723385">
    <w:abstractNumId w:val="25"/>
  </w:num>
  <w:num w:numId="29" w16cid:durableId="1689984357">
    <w:abstractNumId w:val="20"/>
  </w:num>
  <w:num w:numId="30" w16cid:durableId="1783064052">
    <w:abstractNumId w:val="14"/>
  </w:num>
  <w:num w:numId="31" w16cid:durableId="922154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C3"/>
    <w:rsid w:val="000A49AA"/>
    <w:rsid w:val="000E3D20"/>
    <w:rsid w:val="00153315"/>
    <w:rsid w:val="001A7483"/>
    <w:rsid w:val="001E7826"/>
    <w:rsid w:val="001F70CC"/>
    <w:rsid w:val="00287477"/>
    <w:rsid w:val="002A16D8"/>
    <w:rsid w:val="00305700"/>
    <w:rsid w:val="00337ECB"/>
    <w:rsid w:val="0039391F"/>
    <w:rsid w:val="003D25ED"/>
    <w:rsid w:val="00410B29"/>
    <w:rsid w:val="004660BB"/>
    <w:rsid w:val="00477A6B"/>
    <w:rsid w:val="00483D8B"/>
    <w:rsid w:val="004856E3"/>
    <w:rsid w:val="004E526E"/>
    <w:rsid w:val="00547070"/>
    <w:rsid w:val="0059000A"/>
    <w:rsid w:val="005B5B60"/>
    <w:rsid w:val="005E4EAD"/>
    <w:rsid w:val="00654200"/>
    <w:rsid w:val="00662454"/>
    <w:rsid w:val="006921E1"/>
    <w:rsid w:val="006948C3"/>
    <w:rsid w:val="00705A8D"/>
    <w:rsid w:val="00711531"/>
    <w:rsid w:val="007235DA"/>
    <w:rsid w:val="00767A60"/>
    <w:rsid w:val="007923B2"/>
    <w:rsid w:val="007B44C2"/>
    <w:rsid w:val="00833B20"/>
    <w:rsid w:val="0085579F"/>
    <w:rsid w:val="00857D5B"/>
    <w:rsid w:val="009B65D4"/>
    <w:rsid w:val="009D64AD"/>
    <w:rsid w:val="00A05442"/>
    <w:rsid w:val="00A81AE9"/>
    <w:rsid w:val="00AD0535"/>
    <w:rsid w:val="00B1675A"/>
    <w:rsid w:val="00D63064"/>
    <w:rsid w:val="00DC2379"/>
    <w:rsid w:val="00E6677F"/>
    <w:rsid w:val="00F334D0"/>
    <w:rsid w:val="00FA2224"/>
    <w:rsid w:val="00FD60A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3914D"/>
  <w14:defaultImageDpi w14:val="32767"/>
  <w15:chartTrackingRefBased/>
  <w15:docId w15:val="{C3DFE2E7-AFBC-5546-99C4-634272DE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48C3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Paragraph"/>
    <w:link w:val="Titre1Car"/>
    <w:qFormat/>
    <w:rsid w:val="006948C3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Paragraph"/>
    <w:link w:val="Titre2Car"/>
    <w:qFormat/>
    <w:rsid w:val="006948C3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itre3">
    <w:name w:val="heading 3"/>
    <w:basedOn w:val="Normal"/>
    <w:next w:val="Paragraph"/>
    <w:link w:val="Titre3Car"/>
    <w:qFormat/>
    <w:rsid w:val="006948C3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itre4">
    <w:name w:val="heading 4"/>
    <w:basedOn w:val="Paragraph"/>
    <w:next w:val="Newparagraph"/>
    <w:link w:val="Titre4Car"/>
    <w:rsid w:val="006948C3"/>
    <w:pPr>
      <w:spacing w:before="36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48C3"/>
    <w:rPr>
      <w:rFonts w:ascii="Times New Roman" w:eastAsia="Times New Roman" w:hAnsi="Times New Roman" w:cs="Arial"/>
      <w:b/>
      <w:bCs/>
      <w:kern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948C3"/>
    <w:rPr>
      <w:rFonts w:ascii="Times New Roman" w:eastAsia="Times New Roman" w:hAnsi="Times New Roman" w:cs="Arial"/>
      <w:b/>
      <w:bCs/>
      <w:i/>
      <w:iCs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948C3"/>
    <w:rPr>
      <w:rFonts w:ascii="Times New Roman" w:eastAsia="Times New Roman" w:hAnsi="Times New Roman" w:cs="Arial"/>
      <w:bCs/>
      <w:i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948C3"/>
    <w:rPr>
      <w:rFonts w:ascii="Times New Roman" w:eastAsia="Times New Roman" w:hAnsi="Times New Roman" w:cs="Times New Roman"/>
      <w:bCs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6948C3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6948C3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6948C3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6948C3"/>
  </w:style>
  <w:style w:type="paragraph" w:customStyle="1" w:styleId="Abstract">
    <w:name w:val="Abstract"/>
    <w:basedOn w:val="Normal"/>
    <w:next w:val="Keywords"/>
    <w:qFormat/>
    <w:rsid w:val="006948C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6948C3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6948C3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6948C3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6948C3"/>
    <w:pPr>
      <w:widowControl/>
      <w:numPr>
        <w:numId w:val="13"/>
      </w:numPr>
      <w:tabs>
        <w:tab w:val="num" w:pos="360"/>
      </w:tabs>
      <w:spacing w:after="240"/>
      <w:ind w:left="0" w:firstLine="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6948C3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6948C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6948C3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6948C3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948C3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6948C3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6948C3"/>
  </w:style>
  <w:style w:type="paragraph" w:customStyle="1" w:styleId="Paragraph">
    <w:name w:val="Paragraph"/>
    <w:basedOn w:val="Normal"/>
    <w:next w:val="Newparagraph"/>
    <w:link w:val="ParagraphCar"/>
    <w:qFormat/>
    <w:rsid w:val="006948C3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6948C3"/>
    <w:pPr>
      <w:ind w:firstLine="720"/>
    </w:pPr>
  </w:style>
  <w:style w:type="paragraph" w:styleId="Retraitnormal">
    <w:name w:val="Normal Indent"/>
    <w:basedOn w:val="Normal"/>
    <w:rsid w:val="006948C3"/>
    <w:pPr>
      <w:ind w:left="720"/>
    </w:pPr>
  </w:style>
  <w:style w:type="paragraph" w:customStyle="1" w:styleId="References">
    <w:name w:val="References"/>
    <w:basedOn w:val="Normal"/>
    <w:qFormat/>
    <w:rsid w:val="006948C3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6948C3"/>
  </w:style>
  <w:style w:type="paragraph" w:customStyle="1" w:styleId="Bulletedlist">
    <w:name w:val="Bulleted list"/>
    <w:basedOn w:val="Paragraph"/>
    <w:next w:val="Paragraph"/>
    <w:qFormat/>
    <w:rsid w:val="006948C3"/>
    <w:pPr>
      <w:widowControl/>
      <w:numPr>
        <w:numId w:val="14"/>
      </w:numPr>
      <w:tabs>
        <w:tab w:val="num" w:pos="360"/>
      </w:tabs>
      <w:spacing w:after="240"/>
      <w:ind w:left="0" w:firstLine="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rsid w:val="006948C3"/>
    <w:pPr>
      <w:ind w:left="284" w:hanging="284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48C3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Appelnotedebasdep">
    <w:name w:val="footnote reference"/>
    <w:basedOn w:val="Policepardfaut"/>
    <w:uiPriority w:val="99"/>
    <w:rsid w:val="006948C3"/>
    <w:rPr>
      <w:vertAlign w:val="superscript"/>
    </w:rPr>
  </w:style>
  <w:style w:type="paragraph" w:styleId="Notedefin">
    <w:name w:val="endnote text"/>
    <w:basedOn w:val="Normal"/>
    <w:link w:val="NotedefinCar"/>
    <w:autoRedefine/>
    <w:uiPriority w:val="99"/>
    <w:rsid w:val="006948C3"/>
    <w:pPr>
      <w:ind w:left="284" w:hanging="284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948C3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Appeldenotedefin">
    <w:name w:val="endnote reference"/>
    <w:basedOn w:val="Policepardfaut"/>
    <w:uiPriority w:val="99"/>
    <w:rsid w:val="006948C3"/>
    <w:rPr>
      <w:vertAlign w:val="superscript"/>
    </w:rPr>
  </w:style>
  <w:style w:type="paragraph" w:styleId="En-tte">
    <w:name w:val="header"/>
    <w:basedOn w:val="Normal"/>
    <w:link w:val="En-tteCar"/>
    <w:uiPriority w:val="99"/>
    <w:rsid w:val="006948C3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6948C3"/>
    <w:rPr>
      <w:rFonts w:ascii="Times New Roman" w:eastAsia="Times New Roman" w:hAnsi="Times New Roman" w:cs="Times New Roman"/>
      <w:lang w:val="en-GB" w:eastAsia="en-GB"/>
    </w:rPr>
  </w:style>
  <w:style w:type="paragraph" w:styleId="Pieddepage">
    <w:name w:val="footer"/>
    <w:basedOn w:val="Normal"/>
    <w:link w:val="PieddepageCar"/>
    <w:uiPriority w:val="99"/>
    <w:rsid w:val="006948C3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948C3"/>
    <w:rPr>
      <w:rFonts w:ascii="Times New Roman" w:eastAsia="Times New Roman" w:hAnsi="Times New Roman" w:cs="Times New Roman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6948C3"/>
    <w:pPr>
      <w:widowControl/>
      <w:spacing w:before="360"/>
    </w:pPr>
  </w:style>
  <w:style w:type="character" w:styleId="Hyperlien">
    <w:name w:val="Hyperlink"/>
    <w:basedOn w:val="Policepardfaut"/>
    <w:uiPriority w:val="99"/>
    <w:unhideWhenUsed/>
    <w:rsid w:val="006948C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ar"/>
    <w:rsid w:val="006948C3"/>
    <w:pPr>
      <w:jc w:val="center"/>
    </w:pPr>
    <w:rPr>
      <w:noProof/>
    </w:rPr>
  </w:style>
  <w:style w:type="character" w:customStyle="1" w:styleId="ParagraphCar">
    <w:name w:val="Paragraph Car"/>
    <w:basedOn w:val="Policepardfaut"/>
    <w:link w:val="Paragraph"/>
    <w:rsid w:val="006948C3"/>
    <w:rPr>
      <w:rFonts w:ascii="Times New Roman" w:eastAsia="Times New Roman" w:hAnsi="Times New Roman" w:cs="Times New Roman"/>
      <w:lang w:val="en-GB" w:eastAsia="en-GB"/>
    </w:rPr>
  </w:style>
  <w:style w:type="character" w:customStyle="1" w:styleId="EndNoteBibliographyTitleCar">
    <w:name w:val="EndNote Bibliography Title Car"/>
    <w:basedOn w:val="ParagraphCar"/>
    <w:link w:val="EndNoteBibliographyTitle"/>
    <w:rsid w:val="006948C3"/>
    <w:rPr>
      <w:rFonts w:ascii="Times New Roman" w:eastAsia="Times New Roman" w:hAnsi="Times New Roman" w:cs="Times New Roman"/>
      <w:noProof/>
      <w:lang w:val="en-GB" w:eastAsia="en-GB"/>
    </w:rPr>
  </w:style>
  <w:style w:type="paragraph" w:customStyle="1" w:styleId="EndNoteBibliography">
    <w:name w:val="EndNote Bibliography"/>
    <w:basedOn w:val="Normal"/>
    <w:link w:val="EndNoteBibliographyCar"/>
    <w:rsid w:val="006948C3"/>
    <w:pPr>
      <w:spacing w:line="240" w:lineRule="auto"/>
    </w:pPr>
    <w:rPr>
      <w:noProof/>
    </w:rPr>
  </w:style>
  <w:style w:type="character" w:customStyle="1" w:styleId="EndNoteBibliographyCar">
    <w:name w:val="EndNote Bibliography Car"/>
    <w:basedOn w:val="ParagraphCar"/>
    <w:link w:val="EndNoteBibliography"/>
    <w:rsid w:val="006948C3"/>
    <w:rPr>
      <w:rFonts w:ascii="Times New Roman" w:eastAsia="Times New Roman" w:hAnsi="Times New Roman" w:cs="Times New Roman"/>
      <w:noProof/>
      <w:lang w:val="en-GB" w:eastAsia="en-GB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948C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948C3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unhideWhenUsed/>
    <w:rsid w:val="006948C3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1"/>
    <w:uiPriority w:val="99"/>
    <w:rsid w:val="006948C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aire">
    <w:name w:val="annotation text"/>
    <w:basedOn w:val="Normal"/>
    <w:link w:val="CommentaireCar1"/>
    <w:uiPriority w:val="99"/>
    <w:unhideWhenUsed/>
    <w:rsid w:val="006948C3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6948C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Aucuneliste1">
    <w:name w:val="Aucune liste1"/>
    <w:next w:val="Aucuneliste"/>
    <w:uiPriority w:val="99"/>
    <w:semiHidden/>
    <w:unhideWhenUsed/>
    <w:rsid w:val="006948C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48C3"/>
    <w:pPr>
      <w:spacing w:after="160"/>
    </w:pPr>
    <w:rPr>
      <w:rFonts w:ascii="Calibri" w:eastAsia="Calibri" w:hAnsi="Calibri"/>
      <w:b/>
      <w:bCs/>
      <w:lang w:val="fr-CA"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6948C3"/>
    <w:rPr>
      <w:rFonts w:ascii="Calibri" w:eastAsia="Calibri" w:hAnsi="Calibri" w:cs="Times New Roman"/>
      <w:b/>
      <w:bCs/>
      <w:sz w:val="20"/>
      <w:szCs w:val="20"/>
      <w:lang w:val="fr-CA" w:eastAsia="en-GB"/>
    </w:rPr>
  </w:style>
  <w:style w:type="paragraph" w:styleId="Paragraphedeliste">
    <w:name w:val="List Paragraph"/>
    <w:basedOn w:val="Normal"/>
    <w:uiPriority w:val="34"/>
    <w:qFormat/>
    <w:rsid w:val="006948C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CA" w:eastAsia="en-US"/>
    </w:rPr>
  </w:style>
  <w:style w:type="table" w:styleId="Grilledutableau">
    <w:name w:val="Table Grid"/>
    <w:basedOn w:val="TableauNormal"/>
    <w:uiPriority w:val="39"/>
    <w:rsid w:val="006948C3"/>
    <w:rPr>
      <w:rFonts w:ascii="Calibri" w:eastAsia="Calibri" w:hAnsi="Calibri" w:cs="Times New Roman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48C3"/>
    <w:pPr>
      <w:spacing w:line="240" w:lineRule="auto"/>
    </w:pPr>
    <w:rPr>
      <w:rFonts w:ascii="Segoe UI" w:eastAsia="Calibri" w:hAnsi="Segoe UI" w:cs="Segoe UI"/>
      <w:sz w:val="18"/>
      <w:szCs w:val="18"/>
      <w:lang w:val="fr-CA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8C3"/>
    <w:rPr>
      <w:rFonts w:ascii="Segoe UI" w:eastAsia="Calibri" w:hAnsi="Segoe UI" w:cs="Segoe UI"/>
      <w:sz w:val="18"/>
      <w:szCs w:val="18"/>
      <w:lang w:val="fr-CA"/>
    </w:rPr>
  </w:style>
  <w:style w:type="paragraph" w:styleId="Rvision">
    <w:name w:val="Revision"/>
    <w:hidden/>
    <w:uiPriority w:val="99"/>
    <w:semiHidden/>
    <w:rsid w:val="006948C3"/>
    <w:rPr>
      <w:rFonts w:ascii="Calibri" w:eastAsia="Calibri" w:hAnsi="Calibri" w:cs="Times New Roman"/>
      <w:sz w:val="22"/>
      <w:szCs w:val="22"/>
      <w:lang w:val="fr-CA"/>
    </w:rPr>
  </w:style>
  <w:style w:type="character" w:styleId="Lienvisit">
    <w:name w:val="FollowedHyperlink"/>
    <w:basedOn w:val="Policepardfaut"/>
    <w:semiHidden/>
    <w:unhideWhenUsed/>
    <w:rsid w:val="006948C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unhideWhenUsed/>
    <w:rsid w:val="006948C3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6948C3"/>
    <w:rPr>
      <w:rFonts w:ascii="Segoe UI" w:hAnsi="Segoe UI" w:cs="Segoe UI" w:hint="default"/>
      <w:color w:val="666666"/>
      <w:sz w:val="18"/>
      <w:szCs w:val="18"/>
    </w:rPr>
  </w:style>
  <w:style w:type="character" w:styleId="Numrodeligne">
    <w:name w:val="line number"/>
    <w:basedOn w:val="Policepardfaut"/>
    <w:semiHidden/>
    <w:unhideWhenUsed/>
    <w:rsid w:val="0069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St-Onge</dc:creator>
  <cp:keywords/>
  <dc:description/>
  <cp:lastModifiedBy>Maude St-Onge</cp:lastModifiedBy>
  <cp:revision>1</cp:revision>
  <dcterms:created xsi:type="dcterms:W3CDTF">2024-04-03T00:13:00Z</dcterms:created>
  <dcterms:modified xsi:type="dcterms:W3CDTF">2024-04-03T00:16:00Z</dcterms:modified>
</cp:coreProperties>
</file>