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29EBB" w14:textId="77777777" w:rsidR="00CE717B" w:rsidRDefault="00CE717B" w:rsidP="00CE717B">
      <w:pPr>
        <w:rPr>
          <w:b/>
          <w:bCs/>
          <w:sz w:val="22"/>
          <w:szCs w:val="22"/>
        </w:rPr>
      </w:pPr>
      <w:r w:rsidRPr="00C66056">
        <w:rPr>
          <w:b/>
          <w:bCs/>
          <w:sz w:val="22"/>
          <w:szCs w:val="22"/>
        </w:rPr>
        <w:t xml:space="preserve">Supplementary </w:t>
      </w:r>
      <w:r>
        <w:rPr>
          <w:b/>
          <w:bCs/>
          <w:sz w:val="22"/>
          <w:szCs w:val="22"/>
        </w:rPr>
        <w:t>M</w:t>
      </w:r>
      <w:r w:rsidRPr="00C66056">
        <w:rPr>
          <w:b/>
          <w:bCs/>
          <w:sz w:val="22"/>
          <w:szCs w:val="22"/>
        </w:rPr>
        <w:t xml:space="preserve">aterials </w:t>
      </w:r>
      <w:r>
        <w:rPr>
          <w:b/>
          <w:bCs/>
          <w:sz w:val="22"/>
          <w:szCs w:val="22"/>
        </w:rPr>
        <w:t>S1: Study Ethics</w:t>
      </w:r>
    </w:p>
    <w:p w14:paraId="0DC026C1" w14:textId="77777777" w:rsidR="00CE717B" w:rsidRPr="00D92C1D" w:rsidRDefault="00CE717B" w:rsidP="00CE717B">
      <w:pPr>
        <w:ind w:firstLine="360"/>
        <w:jc w:val="both"/>
        <w:rPr>
          <w:sz w:val="22"/>
          <w:szCs w:val="22"/>
        </w:rPr>
      </w:pPr>
      <w:r w:rsidRPr="00D92C1D">
        <w:rPr>
          <w:sz w:val="22"/>
          <w:szCs w:val="22"/>
        </w:rPr>
        <w:t>Maintaining high ethical standards is at the forefront of all valuable research but especially for research directly involving sensitive groups. During the planning and scheduling of the two study</w:t>
      </w:r>
      <w:r>
        <w:rPr>
          <w:sz w:val="22"/>
          <w:szCs w:val="22"/>
        </w:rPr>
        <w:t>-</w:t>
      </w:r>
      <w:r w:rsidRPr="00D92C1D">
        <w:rPr>
          <w:sz w:val="22"/>
          <w:szCs w:val="22"/>
        </w:rPr>
        <w:t xml:space="preserve">community listening sessions, CNT community advocates expressed concerns that many low-income communities in Chicago’s south and west side neighborhoods have been historically over-surveyed. Many African American individuals also experience distrust towards research participation due to the historic mistreatment by scholars </w:t>
      </w:r>
      <w:r w:rsidRPr="00C50993">
        <w:rPr>
          <w:sz w:val="22"/>
        </w:rPr>
        <w:t>[50]</w:t>
      </w:r>
      <w:r w:rsidRPr="00D92C1D">
        <w:rPr>
          <w:sz w:val="22"/>
          <w:szCs w:val="22"/>
        </w:rPr>
        <w:t xml:space="preserve">. To be respectful of this history, the NU research team delayed scheduling sessions until the external community advocates felt comfortable recruiting participants to the studies. This concern for the over-surveying of communities also led the research team to only conduct one listening session per study community and refrain from </w:t>
      </w:r>
      <w:r>
        <w:rPr>
          <w:sz w:val="22"/>
          <w:szCs w:val="22"/>
        </w:rPr>
        <w:t>requesting</w:t>
      </w:r>
      <w:r w:rsidRPr="00D92C1D">
        <w:rPr>
          <w:sz w:val="22"/>
          <w:szCs w:val="22"/>
        </w:rPr>
        <w:t xml:space="preserve"> participant consensus on thematic analysis. </w:t>
      </w:r>
    </w:p>
    <w:p w14:paraId="1F9B8425" w14:textId="77777777" w:rsidR="00CE717B" w:rsidRDefault="00CE717B" w:rsidP="00CE717B">
      <w:pPr>
        <w:ind w:firstLine="360"/>
        <w:jc w:val="both"/>
        <w:rPr>
          <w:sz w:val="22"/>
          <w:szCs w:val="22"/>
        </w:rPr>
      </w:pPr>
      <w:r w:rsidRPr="00D92C1D">
        <w:rPr>
          <w:sz w:val="22"/>
          <w:szCs w:val="22"/>
        </w:rPr>
        <w:t>Once on-site at each of the study</w:t>
      </w:r>
      <w:r>
        <w:rPr>
          <w:sz w:val="22"/>
          <w:szCs w:val="22"/>
        </w:rPr>
        <w:t>-</w:t>
      </w:r>
      <w:r w:rsidRPr="00D92C1D">
        <w:rPr>
          <w:sz w:val="22"/>
          <w:szCs w:val="22"/>
        </w:rPr>
        <w:t xml:space="preserve">community listening sessions, study objectives and researcher qualifications were communicated at the </w:t>
      </w:r>
      <w:r>
        <w:rPr>
          <w:sz w:val="22"/>
          <w:szCs w:val="22"/>
        </w:rPr>
        <w:t>start</w:t>
      </w:r>
      <w:r w:rsidRPr="00D92C1D">
        <w:rPr>
          <w:sz w:val="22"/>
          <w:szCs w:val="22"/>
        </w:rPr>
        <w:t xml:space="preserve"> of the session, as was the intention to record and transcribe session audio. When necessary, all introductions were translated into Spanish. Written consent was also collected under the supervision of community advocates to create a secondary level of protection for the needs and rights of the listening session participants. Participants were provided with a meal ahead of the listening sessions to both build rapport with researchers as well as to compensate for the</w:t>
      </w:r>
      <w:r>
        <w:rPr>
          <w:sz w:val="22"/>
          <w:szCs w:val="22"/>
        </w:rPr>
        <w:t>ir</w:t>
      </w:r>
      <w:r w:rsidRPr="00D92C1D">
        <w:rPr>
          <w:sz w:val="22"/>
          <w:szCs w:val="22"/>
        </w:rPr>
        <w:t xml:space="preserve"> time. Community members were also compensated with $100 pre-paid debit cards in return for the</w:t>
      </w:r>
      <w:r>
        <w:rPr>
          <w:sz w:val="22"/>
          <w:szCs w:val="22"/>
        </w:rPr>
        <w:t>ir</w:t>
      </w:r>
      <w:r w:rsidRPr="00D92C1D">
        <w:rPr>
          <w:sz w:val="22"/>
          <w:szCs w:val="22"/>
        </w:rPr>
        <w:t xml:space="preserve"> time given for research. All practices were reviewed against ethical best-practice guidelines when researching vulnerable populations </w:t>
      </w:r>
      <w:r w:rsidRPr="00C50993">
        <w:rPr>
          <w:sz w:val="22"/>
        </w:rPr>
        <w:t>[35]</w:t>
      </w:r>
      <w:r w:rsidRPr="00D92C1D">
        <w:rPr>
          <w:sz w:val="22"/>
          <w:szCs w:val="22"/>
        </w:rPr>
        <w:t xml:space="preserve">. Furthermore, to protect the identity of participants, all names, identifying addresses, and specific medical information </w:t>
      </w:r>
      <w:r>
        <w:rPr>
          <w:sz w:val="22"/>
          <w:szCs w:val="22"/>
        </w:rPr>
        <w:t xml:space="preserve">discussed in the listening sessions </w:t>
      </w:r>
      <w:r w:rsidRPr="00D92C1D">
        <w:rPr>
          <w:sz w:val="22"/>
          <w:szCs w:val="22"/>
        </w:rPr>
        <w:t xml:space="preserve">(i.e., healthcare provider names) have been anonymized or redacted from the listening session quotes provided in this study. </w:t>
      </w:r>
    </w:p>
    <w:p w14:paraId="2C29449A" w14:textId="77777777" w:rsidR="00CE717B" w:rsidRPr="00D92C1D" w:rsidRDefault="00CE717B" w:rsidP="00CE717B">
      <w:pPr>
        <w:ind w:firstLine="360"/>
        <w:jc w:val="both"/>
        <w:rPr>
          <w:sz w:val="22"/>
          <w:szCs w:val="22"/>
        </w:rPr>
      </w:pPr>
      <w:r w:rsidRPr="00537E8C">
        <w:rPr>
          <w:sz w:val="22"/>
          <w:szCs w:val="22"/>
        </w:rPr>
        <w:t>The study was approved by Northwestern University Institutional Review Board with study number STU00216862</w:t>
      </w:r>
      <w:r>
        <w:rPr>
          <w:sz w:val="22"/>
          <w:szCs w:val="22"/>
        </w:rPr>
        <w:t>.</w:t>
      </w:r>
    </w:p>
    <w:p w14:paraId="46399486" w14:textId="77777777" w:rsidR="00CE717B" w:rsidRDefault="00CE717B" w:rsidP="00CE717B">
      <w:pPr>
        <w:jc w:val="both"/>
        <w:rPr>
          <w:b/>
          <w:bCs/>
          <w:sz w:val="22"/>
          <w:szCs w:val="22"/>
        </w:rPr>
      </w:pPr>
    </w:p>
    <w:p w14:paraId="2A03A495" w14:textId="77777777" w:rsidR="00CE717B" w:rsidRPr="00C66056" w:rsidRDefault="00CE717B" w:rsidP="00CE717B">
      <w:pPr>
        <w:jc w:val="both"/>
        <w:rPr>
          <w:b/>
          <w:bCs/>
          <w:sz w:val="22"/>
          <w:szCs w:val="22"/>
        </w:rPr>
      </w:pPr>
      <w:r w:rsidRPr="00C66056">
        <w:rPr>
          <w:b/>
          <w:bCs/>
          <w:sz w:val="22"/>
          <w:szCs w:val="22"/>
        </w:rPr>
        <w:t xml:space="preserve">Supplementary </w:t>
      </w:r>
      <w:r>
        <w:rPr>
          <w:b/>
          <w:bCs/>
          <w:sz w:val="22"/>
          <w:szCs w:val="22"/>
        </w:rPr>
        <w:t>M</w:t>
      </w:r>
      <w:r w:rsidRPr="00C66056">
        <w:rPr>
          <w:b/>
          <w:bCs/>
          <w:sz w:val="22"/>
          <w:szCs w:val="22"/>
        </w:rPr>
        <w:t xml:space="preserve">aterials </w:t>
      </w:r>
      <w:r>
        <w:rPr>
          <w:b/>
          <w:bCs/>
          <w:sz w:val="22"/>
          <w:szCs w:val="22"/>
        </w:rPr>
        <w:t>S2: Research Implementation</w:t>
      </w:r>
    </w:p>
    <w:p w14:paraId="68CDC20A" w14:textId="77777777" w:rsidR="00CE717B" w:rsidRPr="00D92C1D" w:rsidRDefault="00CE717B" w:rsidP="00CE717B">
      <w:pPr>
        <w:keepNext/>
        <w:keepLines/>
        <w:jc w:val="both"/>
        <w:rPr>
          <w:i/>
          <w:iCs/>
          <w:sz w:val="22"/>
          <w:szCs w:val="22"/>
        </w:rPr>
      </w:pPr>
      <w:r w:rsidRPr="00D92C1D">
        <w:rPr>
          <w:i/>
          <w:iCs/>
          <w:sz w:val="22"/>
          <w:szCs w:val="22"/>
        </w:rPr>
        <w:t xml:space="preserve">Community </w:t>
      </w:r>
      <w:r>
        <w:rPr>
          <w:i/>
          <w:iCs/>
          <w:sz w:val="22"/>
          <w:szCs w:val="22"/>
        </w:rPr>
        <w:t>a</w:t>
      </w:r>
      <w:r w:rsidRPr="00D92C1D">
        <w:rPr>
          <w:i/>
          <w:iCs/>
          <w:sz w:val="22"/>
          <w:szCs w:val="22"/>
        </w:rPr>
        <w:t xml:space="preserve">dvocate listening session </w:t>
      </w:r>
    </w:p>
    <w:p w14:paraId="3899F8A3" w14:textId="77777777" w:rsidR="00CE717B" w:rsidRPr="00B70250" w:rsidRDefault="00CE717B" w:rsidP="00CE717B">
      <w:pPr>
        <w:keepNext/>
        <w:keepLines/>
        <w:spacing w:after="240"/>
        <w:ind w:firstLine="360"/>
        <w:jc w:val="both"/>
        <w:rPr>
          <w:sz w:val="22"/>
          <w:szCs w:val="22"/>
        </w:rPr>
      </w:pPr>
      <w:r w:rsidRPr="00D92C1D">
        <w:rPr>
          <w:sz w:val="22"/>
          <w:szCs w:val="22"/>
        </w:rPr>
        <w:t xml:space="preserve">The first listening session took place on May 10, 2022, via a video conference using Zoom </w:t>
      </w:r>
      <w:r w:rsidRPr="00C50993">
        <w:rPr>
          <w:sz w:val="22"/>
        </w:rPr>
        <w:t>[44]</w:t>
      </w:r>
      <w:r w:rsidRPr="00D92C1D">
        <w:rPr>
          <w:sz w:val="22"/>
          <w:szCs w:val="22"/>
        </w:rPr>
        <w:t xml:space="preserve">. This session included nine community advocates involved with the Chicago Green Line South project </w:t>
      </w:r>
      <w:r w:rsidRPr="00C50993">
        <w:rPr>
          <w:sz w:val="22"/>
        </w:rPr>
        <w:t>[45]</w:t>
      </w:r>
      <w:r w:rsidRPr="00D92C1D">
        <w:rPr>
          <w:sz w:val="22"/>
          <w:szCs w:val="22"/>
        </w:rPr>
        <w:t xml:space="preserve">. In addition to the participants, three researchers from NU attended the call. The CNT facilitator for this session was a member of the Green Line South interest group and therefore familiar with the participants questioned. The session, thus, had </w:t>
      </w:r>
      <w:r>
        <w:rPr>
          <w:sz w:val="22"/>
          <w:szCs w:val="22"/>
        </w:rPr>
        <w:t>a</w:t>
      </w:r>
      <w:r w:rsidRPr="00D92C1D">
        <w:rPr>
          <w:sz w:val="22"/>
          <w:szCs w:val="22"/>
        </w:rPr>
        <w:t xml:space="preserve"> rapport between the facilitator and participants. The researcher-participant relationship was garnered through a short introduction to the research team and research goals at the top of the listening session. The listening session lasted 37 minutes. </w:t>
      </w:r>
    </w:p>
    <w:p w14:paraId="05E45A7D" w14:textId="77777777" w:rsidR="00CE717B" w:rsidRPr="00D92C1D" w:rsidRDefault="00CE717B" w:rsidP="00CE717B">
      <w:pPr>
        <w:spacing w:before="240"/>
        <w:rPr>
          <w:i/>
          <w:iCs/>
          <w:sz w:val="22"/>
          <w:szCs w:val="22"/>
        </w:rPr>
      </w:pPr>
      <w:r w:rsidRPr="00D92C1D">
        <w:rPr>
          <w:i/>
          <w:iCs/>
          <w:sz w:val="22"/>
          <w:szCs w:val="22"/>
        </w:rPr>
        <w:t xml:space="preserve">Study </w:t>
      </w:r>
      <w:r>
        <w:rPr>
          <w:i/>
          <w:iCs/>
          <w:sz w:val="22"/>
          <w:szCs w:val="22"/>
        </w:rPr>
        <w:t>c</w:t>
      </w:r>
      <w:r w:rsidRPr="00D92C1D">
        <w:rPr>
          <w:i/>
          <w:iCs/>
          <w:sz w:val="22"/>
          <w:szCs w:val="22"/>
        </w:rPr>
        <w:t>ommunity listening sessions</w:t>
      </w:r>
    </w:p>
    <w:p w14:paraId="247015A6" w14:textId="77777777" w:rsidR="00CE717B" w:rsidRPr="00D92C1D" w:rsidRDefault="00CE717B" w:rsidP="00CE717B">
      <w:pPr>
        <w:ind w:firstLine="360"/>
        <w:jc w:val="both"/>
        <w:rPr>
          <w:sz w:val="22"/>
          <w:szCs w:val="22"/>
        </w:rPr>
      </w:pPr>
      <w:r>
        <w:rPr>
          <w:sz w:val="22"/>
          <w:szCs w:val="22"/>
        </w:rPr>
        <w:t>The</w:t>
      </w:r>
      <w:r w:rsidRPr="00D92C1D">
        <w:rPr>
          <w:sz w:val="22"/>
          <w:szCs w:val="22"/>
        </w:rPr>
        <w:t xml:space="preserve"> second and third listening sessions took place in-person at community centers in Belmont Cragin and Washington Park</w:t>
      </w:r>
      <w:r>
        <w:rPr>
          <w:sz w:val="22"/>
          <w:szCs w:val="22"/>
        </w:rPr>
        <w:t>, respectively</w:t>
      </w:r>
      <w:r w:rsidRPr="00D92C1D">
        <w:rPr>
          <w:sz w:val="22"/>
          <w:szCs w:val="22"/>
        </w:rPr>
        <w:t xml:space="preserve">. Both sessions included older adults from the communities who were recruited by </w:t>
      </w:r>
      <w:r>
        <w:rPr>
          <w:sz w:val="22"/>
          <w:szCs w:val="22"/>
        </w:rPr>
        <w:t>CNT</w:t>
      </w:r>
      <w:r w:rsidRPr="00D92C1D">
        <w:rPr>
          <w:sz w:val="22"/>
          <w:szCs w:val="22"/>
        </w:rPr>
        <w:t xml:space="preserve"> using convenience sampling based on age, residence within the study community, and willingness to participate. Participants were made aware of the research goals, session structure, and standard definitions by the dissemination of a project summary handout and by a short verbal introduction of goals. Standard definitions for terms used were also provided verbally during the listening session</w:t>
      </w:r>
      <w:r>
        <w:rPr>
          <w:sz w:val="22"/>
          <w:szCs w:val="22"/>
        </w:rPr>
        <w:t>, in addition to in the handout</w:t>
      </w:r>
      <w:r w:rsidRPr="00D92C1D">
        <w:rPr>
          <w:sz w:val="22"/>
          <w:szCs w:val="22"/>
        </w:rPr>
        <w:t>. An audio-recording consent form and a demographic questionnaire were distributed to participants before the discussion. Participants were provided a meal and awarded $100 in the form of a pre-paid debit card in return for their participation. Further details specific to each session are included below.</w:t>
      </w:r>
    </w:p>
    <w:p w14:paraId="7AFB4988" w14:textId="77777777" w:rsidR="00CE717B" w:rsidRPr="00AA0E25" w:rsidRDefault="00CE717B" w:rsidP="00CE717B">
      <w:pPr>
        <w:spacing w:before="240"/>
        <w:ind w:firstLine="360"/>
        <w:jc w:val="both"/>
        <w:rPr>
          <w:sz w:val="22"/>
          <w:szCs w:val="22"/>
        </w:rPr>
      </w:pPr>
      <w:r w:rsidRPr="00D92C1D">
        <w:rPr>
          <w:i/>
          <w:iCs/>
          <w:sz w:val="22"/>
          <w:szCs w:val="22"/>
        </w:rPr>
        <w:t>a) Belmont Cragin listening session</w:t>
      </w:r>
    </w:p>
    <w:p w14:paraId="1540EA82" w14:textId="77777777" w:rsidR="00CE717B" w:rsidRPr="00D92C1D" w:rsidRDefault="00CE717B" w:rsidP="00CE717B">
      <w:pPr>
        <w:ind w:firstLine="360"/>
        <w:jc w:val="both"/>
        <w:rPr>
          <w:sz w:val="22"/>
          <w:szCs w:val="22"/>
        </w:rPr>
      </w:pPr>
      <w:r w:rsidRPr="00D92C1D">
        <w:rPr>
          <w:sz w:val="22"/>
          <w:szCs w:val="22"/>
        </w:rPr>
        <w:t>Th</w:t>
      </w:r>
      <w:r>
        <w:rPr>
          <w:sz w:val="22"/>
          <w:szCs w:val="22"/>
        </w:rPr>
        <w:t xml:space="preserve">is </w:t>
      </w:r>
      <w:r w:rsidRPr="00D92C1D">
        <w:rPr>
          <w:sz w:val="22"/>
          <w:szCs w:val="22"/>
        </w:rPr>
        <w:t xml:space="preserve">listening session took place on June 28, 2022, at the Northwest Center, a community organizing civic center in Belmont Cragin. This session included eighteen older adults from the Belmont Cragin community. In addition to the participants and the CNT facilitator, a community advocate from CNT, a community advocate from the Northwest Center, an employee of the Northwest Center acting as a </w:t>
      </w:r>
      <w:r w:rsidRPr="00D92C1D">
        <w:rPr>
          <w:sz w:val="22"/>
          <w:szCs w:val="22"/>
        </w:rPr>
        <w:lastRenderedPageBreak/>
        <w:t>translator, and</w:t>
      </w:r>
      <w:r w:rsidRPr="00D92C1D">
        <w:rPr>
          <w:b/>
          <w:bCs/>
          <w:sz w:val="22"/>
          <w:szCs w:val="22"/>
        </w:rPr>
        <w:t xml:space="preserve"> </w:t>
      </w:r>
      <w:r w:rsidRPr="00D92C1D">
        <w:rPr>
          <w:sz w:val="22"/>
          <w:szCs w:val="22"/>
        </w:rPr>
        <w:t xml:space="preserve">two researchers from NU were present at the listening session. Though the session facilitator was not familiar with the individuals involved, the familiarity of the participants with the community advocate and the translator visibly set community members at ease. Information and consent forms were offered in both Spanish and English. The session lasted 1 hour and 10 minutes, including two-way translation. </w:t>
      </w:r>
    </w:p>
    <w:p w14:paraId="767139B1" w14:textId="77777777" w:rsidR="00CE717B" w:rsidRPr="00AA0E25" w:rsidRDefault="00CE717B" w:rsidP="00CE717B">
      <w:pPr>
        <w:keepLines/>
        <w:spacing w:before="240"/>
        <w:ind w:firstLine="360"/>
        <w:jc w:val="both"/>
        <w:rPr>
          <w:sz w:val="22"/>
          <w:szCs w:val="22"/>
        </w:rPr>
      </w:pPr>
      <w:r w:rsidRPr="00D92C1D">
        <w:rPr>
          <w:i/>
          <w:iCs/>
          <w:sz w:val="22"/>
          <w:szCs w:val="22"/>
        </w:rPr>
        <w:t>b) Washington Park listening session</w:t>
      </w:r>
    </w:p>
    <w:p w14:paraId="70BF2B8A" w14:textId="77777777" w:rsidR="00CE717B" w:rsidRPr="00D92C1D" w:rsidRDefault="00CE717B" w:rsidP="00CE717B">
      <w:pPr>
        <w:keepLines/>
        <w:ind w:firstLine="360"/>
        <w:jc w:val="both"/>
        <w:rPr>
          <w:b/>
          <w:bCs/>
          <w:sz w:val="22"/>
          <w:szCs w:val="22"/>
        </w:rPr>
      </w:pPr>
      <w:r w:rsidRPr="00D92C1D">
        <w:rPr>
          <w:sz w:val="22"/>
          <w:szCs w:val="22"/>
        </w:rPr>
        <w:t xml:space="preserve">The third listening session took place on October 12, 2022, at the KLEO Community Family Life Center in Washington Park. This session included thirteen community members from the Washington Park community. In addition to the participants and the CNT facilitator, four researchers from NU were present at the listening session. Though the session facilitator was not familiar with the individuals involved, community members seemed friendly with each other and greeted each other by name prior to the session. An audio-recording consent form and a demographic questionnaire were distributed to participants </w:t>
      </w:r>
      <w:r>
        <w:rPr>
          <w:sz w:val="22"/>
          <w:szCs w:val="22"/>
        </w:rPr>
        <w:t>before</w:t>
      </w:r>
      <w:r w:rsidRPr="00D92C1D">
        <w:rPr>
          <w:sz w:val="22"/>
          <w:szCs w:val="22"/>
        </w:rPr>
        <w:t xml:space="preserve"> the discussion. </w:t>
      </w:r>
      <w:r>
        <w:rPr>
          <w:sz w:val="22"/>
          <w:szCs w:val="22"/>
        </w:rPr>
        <w:t>T</w:t>
      </w:r>
      <w:r w:rsidRPr="00D92C1D">
        <w:rPr>
          <w:sz w:val="22"/>
          <w:szCs w:val="22"/>
        </w:rPr>
        <w:t xml:space="preserve">he session lasted 1 hour. </w:t>
      </w:r>
      <w:bookmarkStart w:id="0" w:name="_Ref137079061"/>
    </w:p>
    <w:bookmarkEnd w:id="0"/>
    <w:p w14:paraId="70F6513B" w14:textId="77777777" w:rsidR="00CE717B" w:rsidRDefault="00CE717B" w:rsidP="00CE717B">
      <w:pPr>
        <w:spacing w:after="160" w:line="259" w:lineRule="auto"/>
        <w:rPr>
          <w:b/>
          <w:bCs/>
          <w:sz w:val="22"/>
          <w:szCs w:val="22"/>
        </w:rPr>
      </w:pPr>
    </w:p>
    <w:p w14:paraId="34972744" w14:textId="77777777" w:rsidR="00CE717B" w:rsidRDefault="00CE717B" w:rsidP="00CE717B">
      <w:pPr>
        <w:spacing w:after="160" w:line="259" w:lineRule="auto"/>
        <w:rPr>
          <w:b/>
          <w:bCs/>
          <w:sz w:val="22"/>
          <w:szCs w:val="22"/>
        </w:rPr>
      </w:pPr>
      <w:r w:rsidRPr="00C66056">
        <w:rPr>
          <w:b/>
          <w:bCs/>
          <w:sz w:val="22"/>
          <w:szCs w:val="22"/>
        </w:rPr>
        <w:t>Supplementary materials</w:t>
      </w:r>
      <w:r>
        <w:rPr>
          <w:b/>
          <w:bCs/>
          <w:sz w:val="22"/>
          <w:szCs w:val="22"/>
        </w:rPr>
        <w:t xml:space="preserve"> S3</w:t>
      </w:r>
    </w:p>
    <w:p w14:paraId="25CA25A9" w14:textId="77777777" w:rsidR="00CE717B" w:rsidRPr="009951E4" w:rsidRDefault="00CE717B" w:rsidP="00CE717B">
      <w:pPr>
        <w:spacing w:after="160" w:line="259" w:lineRule="auto"/>
        <w:rPr>
          <w:b/>
          <w:bCs/>
          <w:sz w:val="22"/>
          <w:szCs w:val="22"/>
        </w:rPr>
      </w:pPr>
      <w:r w:rsidRPr="009951E4">
        <w:rPr>
          <w:b/>
          <w:bCs/>
          <w:sz w:val="22"/>
          <w:szCs w:val="22"/>
        </w:rPr>
        <w:t xml:space="preserve">Table </w:t>
      </w:r>
      <w:r>
        <w:rPr>
          <w:b/>
          <w:bCs/>
          <w:sz w:val="22"/>
          <w:szCs w:val="22"/>
        </w:rPr>
        <w:t>5</w:t>
      </w:r>
      <w:r w:rsidRPr="00806407">
        <w:rPr>
          <w:sz w:val="22"/>
          <w:szCs w:val="22"/>
        </w:rPr>
        <w:t xml:space="preserve"> - Cohen’s Kappa Coefficients calculated between each coding pair for each transcript</w:t>
      </w:r>
    </w:p>
    <w:tbl>
      <w:tblPr>
        <w:tblStyle w:val="PlainTable3"/>
        <w:tblW w:w="3814" w:type="pct"/>
        <w:tblLook w:val="04A0" w:firstRow="1" w:lastRow="0" w:firstColumn="1" w:lastColumn="0" w:noHBand="0" w:noVBand="1"/>
      </w:tblPr>
      <w:tblGrid>
        <w:gridCol w:w="2160"/>
        <w:gridCol w:w="871"/>
        <w:gridCol w:w="1160"/>
        <w:gridCol w:w="1080"/>
        <w:gridCol w:w="1869"/>
      </w:tblGrid>
      <w:tr w:rsidR="00CE717B" w:rsidRPr="00D92C1D" w14:paraId="501DF1F2" w14:textId="77777777" w:rsidTr="00E652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13" w:type="pct"/>
          </w:tcPr>
          <w:p w14:paraId="57138295" w14:textId="77777777" w:rsidR="00CE717B" w:rsidRPr="00D92C1D" w:rsidRDefault="00CE717B" w:rsidP="00E652B0">
            <w:pPr>
              <w:jc w:val="both"/>
              <w:rPr>
                <w:b w:val="0"/>
                <w:bCs w:val="0"/>
                <w:i/>
                <w:iCs/>
                <w:sz w:val="22"/>
                <w:szCs w:val="22"/>
              </w:rPr>
            </w:pPr>
          </w:p>
        </w:tc>
        <w:tc>
          <w:tcPr>
            <w:tcW w:w="610" w:type="pct"/>
          </w:tcPr>
          <w:p w14:paraId="22858531" w14:textId="77777777" w:rsidR="00CE717B" w:rsidRPr="00D92C1D" w:rsidRDefault="00CE717B" w:rsidP="00E652B0">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D92C1D">
              <w:rPr>
                <w:b w:val="0"/>
                <w:bCs w:val="0"/>
                <w:sz w:val="22"/>
                <w:szCs w:val="22"/>
              </w:rPr>
              <w:t xml:space="preserve">G.B. </w:t>
            </w:r>
            <w:r>
              <w:rPr>
                <w:b w:val="0"/>
                <w:bCs w:val="0"/>
                <w:sz w:val="22"/>
                <w:szCs w:val="22"/>
              </w:rPr>
              <w:t>&amp;</w:t>
            </w:r>
            <w:r w:rsidRPr="00D92C1D">
              <w:rPr>
                <w:b w:val="0"/>
                <w:bCs w:val="0"/>
                <w:sz w:val="22"/>
                <w:szCs w:val="22"/>
              </w:rPr>
              <w:t xml:space="preserve"> E.B.</w:t>
            </w:r>
          </w:p>
        </w:tc>
        <w:tc>
          <w:tcPr>
            <w:tcW w:w="812" w:type="pct"/>
          </w:tcPr>
          <w:p w14:paraId="77537453" w14:textId="77777777" w:rsidR="00CE717B" w:rsidRPr="00D92C1D" w:rsidRDefault="00CE717B" w:rsidP="00E652B0">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D92C1D">
              <w:rPr>
                <w:b w:val="0"/>
                <w:bCs w:val="0"/>
                <w:sz w:val="22"/>
                <w:szCs w:val="22"/>
              </w:rPr>
              <w:t xml:space="preserve">G.B. </w:t>
            </w:r>
            <w:r>
              <w:rPr>
                <w:b w:val="0"/>
                <w:bCs w:val="0"/>
                <w:sz w:val="22"/>
                <w:szCs w:val="22"/>
              </w:rPr>
              <w:t>&amp;</w:t>
            </w:r>
            <w:r w:rsidRPr="00D92C1D">
              <w:rPr>
                <w:b w:val="0"/>
                <w:bCs w:val="0"/>
                <w:sz w:val="22"/>
                <w:szCs w:val="22"/>
              </w:rPr>
              <w:t xml:space="preserve"> A.S.</w:t>
            </w:r>
          </w:p>
        </w:tc>
        <w:tc>
          <w:tcPr>
            <w:tcW w:w="756" w:type="pct"/>
          </w:tcPr>
          <w:p w14:paraId="57A297F3" w14:textId="77777777" w:rsidR="00CE717B" w:rsidRPr="00D92C1D" w:rsidRDefault="00CE717B" w:rsidP="00E652B0">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D92C1D">
              <w:rPr>
                <w:b w:val="0"/>
                <w:bCs w:val="0"/>
                <w:sz w:val="22"/>
                <w:szCs w:val="22"/>
              </w:rPr>
              <w:t xml:space="preserve">E.B. </w:t>
            </w:r>
            <w:r>
              <w:rPr>
                <w:b w:val="0"/>
                <w:bCs w:val="0"/>
                <w:sz w:val="22"/>
                <w:szCs w:val="22"/>
              </w:rPr>
              <w:t>&amp;</w:t>
            </w:r>
            <w:r w:rsidRPr="00D92C1D">
              <w:rPr>
                <w:b w:val="0"/>
                <w:bCs w:val="0"/>
                <w:sz w:val="22"/>
                <w:szCs w:val="22"/>
              </w:rPr>
              <w:t xml:space="preserve"> A.S.</w:t>
            </w:r>
          </w:p>
        </w:tc>
        <w:tc>
          <w:tcPr>
            <w:tcW w:w="1309" w:type="pct"/>
          </w:tcPr>
          <w:p w14:paraId="13AC329A" w14:textId="77777777" w:rsidR="00CE717B" w:rsidRPr="00D92C1D" w:rsidRDefault="00CE717B" w:rsidP="00E652B0">
            <w:pPr>
              <w:cnfStyle w:val="100000000000" w:firstRow="1" w:lastRow="0" w:firstColumn="0" w:lastColumn="0" w:oddVBand="0" w:evenVBand="0" w:oddHBand="0" w:evenHBand="0" w:firstRowFirstColumn="0" w:firstRowLastColumn="0" w:lastRowFirstColumn="0" w:lastRowLastColumn="0"/>
              <w:rPr>
                <w:i/>
                <w:iCs/>
                <w:sz w:val="22"/>
                <w:szCs w:val="22"/>
              </w:rPr>
            </w:pPr>
            <w:r w:rsidRPr="00D92C1D">
              <w:rPr>
                <w:i/>
                <w:iCs/>
                <w:caps w:val="0"/>
                <w:sz w:val="22"/>
                <w:szCs w:val="22"/>
              </w:rPr>
              <w:t>Session Average</w:t>
            </w:r>
          </w:p>
        </w:tc>
      </w:tr>
      <w:tr w:rsidR="00CE717B" w:rsidRPr="00D92C1D" w14:paraId="2D9A5C9E" w14:textId="77777777" w:rsidTr="00E65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27D7AD01" w14:textId="77777777" w:rsidR="00CE717B" w:rsidRPr="00D92C1D" w:rsidRDefault="00CE717B" w:rsidP="00E652B0">
            <w:pPr>
              <w:rPr>
                <w:b w:val="0"/>
                <w:bCs w:val="0"/>
                <w:sz w:val="22"/>
                <w:szCs w:val="22"/>
              </w:rPr>
            </w:pPr>
            <w:r w:rsidRPr="00D92C1D">
              <w:rPr>
                <w:b w:val="0"/>
                <w:bCs w:val="0"/>
                <w:caps w:val="0"/>
                <w:sz w:val="22"/>
                <w:szCs w:val="22"/>
              </w:rPr>
              <w:t>Community advocate session</w:t>
            </w:r>
          </w:p>
        </w:tc>
        <w:tc>
          <w:tcPr>
            <w:tcW w:w="0" w:type="pct"/>
          </w:tcPr>
          <w:p w14:paraId="1814BBE8" w14:textId="77777777" w:rsidR="00CE717B" w:rsidRPr="00D92C1D" w:rsidRDefault="00CE717B" w:rsidP="00E652B0">
            <w:pPr>
              <w:cnfStyle w:val="000000100000" w:firstRow="0" w:lastRow="0" w:firstColumn="0" w:lastColumn="0" w:oddVBand="0" w:evenVBand="0" w:oddHBand="1" w:evenHBand="0" w:firstRowFirstColumn="0" w:firstRowLastColumn="0" w:lastRowFirstColumn="0" w:lastRowLastColumn="0"/>
              <w:rPr>
                <w:sz w:val="22"/>
                <w:szCs w:val="22"/>
              </w:rPr>
            </w:pPr>
            <w:r w:rsidRPr="00D92C1D">
              <w:rPr>
                <w:sz w:val="22"/>
                <w:szCs w:val="22"/>
              </w:rPr>
              <w:t>0.98</w:t>
            </w:r>
          </w:p>
        </w:tc>
        <w:tc>
          <w:tcPr>
            <w:tcW w:w="0" w:type="pct"/>
          </w:tcPr>
          <w:p w14:paraId="6E798420" w14:textId="77777777" w:rsidR="00CE717B" w:rsidRPr="00D92C1D" w:rsidRDefault="00CE717B" w:rsidP="00E652B0">
            <w:pPr>
              <w:cnfStyle w:val="000000100000" w:firstRow="0" w:lastRow="0" w:firstColumn="0" w:lastColumn="0" w:oddVBand="0" w:evenVBand="0" w:oddHBand="1" w:evenHBand="0" w:firstRowFirstColumn="0" w:firstRowLastColumn="0" w:lastRowFirstColumn="0" w:lastRowLastColumn="0"/>
              <w:rPr>
                <w:sz w:val="22"/>
                <w:szCs w:val="22"/>
              </w:rPr>
            </w:pPr>
            <w:r w:rsidRPr="00D92C1D">
              <w:rPr>
                <w:sz w:val="22"/>
                <w:szCs w:val="22"/>
              </w:rPr>
              <w:t>0.93</w:t>
            </w:r>
          </w:p>
        </w:tc>
        <w:tc>
          <w:tcPr>
            <w:tcW w:w="0" w:type="pct"/>
          </w:tcPr>
          <w:p w14:paraId="46CEBF74" w14:textId="77777777" w:rsidR="00CE717B" w:rsidRPr="00D92C1D" w:rsidRDefault="00CE717B" w:rsidP="00E652B0">
            <w:pPr>
              <w:cnfStyle w:val="000000100000" w:firstRow="0" w:lastRow="0" w:firstColumn="0" w:lastColumn="0" w:oddVBand="0" w:evenVBand="0" w:oddHBand="1" w:evenHBand="0" w:firstRowFirstColumn="0" w:firstRowLastColumn="0" w:lastRowFirstColumn="0" w:lastRowLastColumn="0"/>
              <w:rPr>
                <w:sz w:val="22"/>
                <w:szCs w:val="22"/>
              </w:rPr>
            </w:pPr>
            <w:r w:rsidRPr="00D92C1D">
              <w:rPr>
                <w:sz w:val="22"/>
                <w:szCs w:val="22"/>
              </w:rPr>
              <w:t>0.93</w:t>
            </w:r>
          </w:p>
        </w:tc>
        <w:tc>
          <w:tcPr>
            <w:tcW w:w="1309" w:type="pct"/>
          </w:tcPr>
          <w:p w14:paraId="04939A7D" w14:textId="77777777" w:rsidR="00CE717B" w:rsidRPr="00D92C1D" w:rsidRDefault="00CE717B" w:rsidP="00E652B0">
            <w:pPr>
              <w:cnfStyle w:val="000000100000" w:firstRow="0" w:lastRow="0" w:firstColumn="0" w:lastColumn="0" w:oddVBand="0" w:evenVBand="0" w:oddHBand="1" w:evenHBand="0" w:firstRowFirstColumn="0" w:firstRowLastColumn="0" w:lastRowFirstColumn="0" w:lastRowLastColumn="0"/>
              <w:rPr>
                <w:b/>
                <w:bCs/>
                <w:sz w:val="22"/>
                <w:szCs w:val="22"/>
              </w:rPr>
            </w:pPr>
            <w:r w:rsidRPr="00D92C1D">
              <w:rPr>
                <w:b/>
                <w:bCs/>
                <w:sz w:val="22"/>
                <w:szCs w:val="22"/>
              </w:rPr>
              <w:t>0.95</w:t>
            </w:r>
          </w:p>
        </w:tc>
      </w:tr>
      <w:tr w:rsidR="00CE717B" w:rsidRPr="00D92C1D" w14:paraId="60EF259C" w14:textId="77777777" w:rsidTr="00E652B0">
        <w:tc>
          <w:tcPr>
            <w:cnfStyle w:val="001000000000" w:firstRow="0" w:lastRow="0" w:firstColumn="1" w:lastColumn="0" w:oddVBand="0" w:evenVBand="0" w:oddHBand="0" w:evenHBand="0" w:firstRowFirstColumn="0" w:firstRowLastColumn="0" w:lastRowFirstColumn="0" w:lastRowLastColumn="0"/>
            <w:tcW w:w="1513" w:type="pct"/>
          </w:tcPr>
          <w:p w14:paraId="15DFDD83" w14:textId="77777777" w:rsidR="00CE717B" w:rsidRPr="00D92C1D" w:rsidRDefault="00CE717B" w:rsidP="00E652B0">
            <w:pPr>
              <w:rPr>
                <w:b w:val="0"/>
                <w:bCs w:val="0"/>
                <w:sz w:val="22"/>
                <w:szCs w:val="22"/>
              </w:rPr>
            </w:pPr>
            <w:r w:rsidRPr="00D92C1D">
              <w:rPr>
                <w:b w:val="0"/>
                <w:bCs w:val="0"/>
                <w:caps w:val="0"/>
                <w:sz w:val="22"/>
                <w:szCs w:val="22"/>
              </w:rPr>
              <w:t>Belmont Cragin session</w:t>
            </w:r>
          </w:p>
        </w:tc>
        <w:tc>
          <w:tcPr>
            <w:tcW w:w="610" w:type="pct"/>
          </w:tcPr>
          <w:p w14:paraId="4841A256" w14:textId="77777777" w:rsidR="00CE717B" w:rsidRPr="00D92C1D" w:rsidRDefault="00CE717B" w:rsidP="00E652B0">
            <w:pPr>
              <w:cnfStyle w:val="000000000000" w:firstRow="0" w:lastRow="0" w:firstColumn="0" w:lastColumn="0" w:oddVBand="0" w:evenVBand="0" w:oddHBand="0" w:evenHBand="0" w:firstRowFirstColumn="0" w:firstRowLastColumn="0" w:lastRowFirstColumn="0" w:lastRowLastColumn="0"/>
              <w:rPr>
                <w:sz w:val="22"/>
                <w:szCs w:val="22"/>
              </w:rPr>
            </w:pPr>
            <w:r w:rsidRPr="00D92C1D">
              <w:rPr>
                <w:sz w:val="22"/>
                <w:szCs w:val="22"/>
              </w:rPr>
              <w:t>0.90</w:t>
            </w:r>
          </w:p>
        </w:tc>
        <w:tc>
          <w:tcPr>
            <w:tcW w:w="812" w:type="pct"/>
          </w:tcPr>
          <w:p w14:paraId="18FD9C7B" w14:textId="77777777" w:rsidR="00CE717B" w:rsidRPr="00D92C1D" w:rsidRDefault="00CE717B" w:rsidP="00E652B0">
            <w:pPr>
              <w:cnfStyle w:val="000000000000" w:firstRow="0" w:lastRow="0" w:firstColumn="0" w:lastColumn="0" w:oddVBand="0" w:evenVBand="0" w:oddHBand="0" w:evenHBand="0" w:firstRowFirstColumn="0" w:firstRowLastColumn="0" w:lastRowFirstColumn="0" w:lastRowLastColumn="0"/>
              <w:rPr>
                <w:sz w:val="22"/>
                <w:szCs w:val="22"/>
              </w:rPr>
            </w:pPr>
            <w:r w:rsidRPr="00D92C1D">
              <w:rPr>
                <w:sz w:val="22"/>
                <w:szCs w:val="22"/>
              </w:rPr>
              <w:t>0.91</w:t>
            </w:r>
          </w:p>
        </w:tc>
        <w:tc>
          <w:tcPr>
            <w:tcW w:w="756" w:type="pct"/>
          </w:tcPr>
          <w:p w14:paraId="5468C8FD" w14:textId="77777777" w:rsidR="00CE717B" w:rsidRPr="00D92C1D" w:rsidRDefault="00CE717B" w:rsidP="00E652B0">
            <w:pPr>
              <w:cnfStyle w:val="000000000000" w:firstRow="0" w:lastRow="0" w:firstColumn="0" w:lastColumn="0" w:oddVBand="0" w:evenVBand="0" w:oddHBand="0" w:evenHBand="0" w:firstRowFirstColumn="0" w:firstRowLastColumn="0" w:lastRowFirstColumn="0" w:lastRowLastColumn="0"/>
              <w:rPr>
                <w:sz w:val="22"/>
                <w:szCs w:val="22"/>
              </w:rPr>
            </w:pPr>
            <w:r w:rsidRPr="00D92C1D">
              <w:rPr>
                <w:sz w:val="22"/>
                <w:szCs w:val="22"/>
              </w:rPr>
              <w:t>0.89</w:t>
            </w:r>
          </w:p>
        </w:tc>
        <w:tc>
          <w:tcPr>
            <w:tcW w:w="1309" w:type="pct"/>
          </w:tcPr>
          <w:p w14:paraId="52F3757D" w14:textId="77777777" w:rsidR="00CE717B" w:rsidRPr="00D92C1D" w:rsidRDefault="00CE717B" w:rsidP="00E652B0">
            <w:pPr>
              <w:cnfStyle w:val="000000000000" w:firstRow="0" w:lastRow="0" w:firstColumn="0" w:lastColumn="0" w:oddVBand="0" w:evenVBand="0" w:oddHBand="0" w:evenHBand="0" w:firstRowFirstColumn="0" w:firstRowLastColumn="0" w:lastRowFirstColumn="0" w:lastRowLastColumn="0"/>
              <w:rPr>
                <w:b/>
                <w:bCs/>
                <w:sz w:val="22"/>
                <w:szCs w:val="22"/>
              </w:rPr>
            </w:pPr>
            <w:r w:rsidRPr="00D92C1D">
              <w:rPr>
                <w:b/>
                <w:bCs/>
                <w:sz w:val="22"/>
                <w:szCs w:val="22"/>
              </w:rPr>
              <w:t>0.90</w:t>
            </w:r>
          </w:p>
        </w:tc>
      </w:tr>
      <w:tr w:rsidR="00CE717B" w:rsidRPr="00D92C1D" w14:paraId="041E142A" w14:textId="77777777" w:rsidTr="00E65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5182AC69" w14:textId="77777777" w:rsidR="00CE717B" w:rsidRPr="00D92C1D" w:rsidRDefault="00CE717B" w:rsidP="00E652B0">
            <w:pPr>
              <w:rPr>
                <w:b w:val="0"/>
                <w:bCs w:val="0"/>
                <w:sz w:val="22"/>
                <w:szCs w:val="22"/>
              </w:rPr>
            </w:pPr>
            <w:r w:rsidRPr="00D92C1D">
              <w:rPr>
                <w:b w:val="0"/>
                <w:bCs w:val="0"/>
                <w:caps w:val="0"/>
                <w:sz w:val="22"/>
                <w:szCs w:val="22"/>
              </w:rPr>
              <w:t>Washington Park session</w:t>
            </w:r>
          </w:p>
        </w:tc>
        <w:tc>
          <w:tcPr>
            <w:tcW w:w="0" w:type="pct"/>
          </w:tcPr>
          <w:p w14:paraId="1D1D10B6" w14:textId="77777777" w:rsidR="00CE717B" w:rsidRPr="00D92C1D" w:rsidRDefault="00CE717B" w:rsidP="00E652B0">
            <w:pPr>
              <w:cnfStyle w:val="000000100000" w:firstRow="0" w:lastRow="0" w:firstColumn="0" w:lastColumn="0" w:oddVBand="0" w:evenVBand="0" w:oddHBand="1" w:evenHBand="0" w:firstRowFirstColumn="0" w:firstRowLastColumn="0" w:lastRowFirstColumn="0" w:lastRowLastColumn="0"/>
              <w:rPr>
                <w:sz w:val="22"/>
                <w:szCs w:val="22"/>
              </w:rPr>
            </w:pPr>
            <w:r w:rsidRPr="00D92C1D">
              <w:rPr>
                <w:sz w:val="22"/>
                <w:szCs w:val="22"/>
              </w:rPr>
              <w:t>0.96</w:t>
            </w:r>
          </w:p>
        </w:tc>
        <w:tc>
          <w:tcPr>
            <w:tcW w:w="0" w:type="pct"/>
          </w:tcPr>
          <w:p w14:paraId="7F16E46A" w14:textId="77777777" w:rsidR="00CE717B" w:rsidRPr="00D92C1D" w:rsidRDefault="00CE717B" w:rsidP="00E652B0">
            <w:pPr>
              <w:cnfStyle w:val="000000100000" w:firstRow="0" w:lastRow="0" w:firstColumn="0" w:lastColumn="0" w:oddVBand="0" w:evenVBand="0" w:oddHBand="1" w:evenHBand="0" w:firstRowFirstColumn="0" w:firstRowLastColumn="0" w:lastRowFirstColumn="0" w:lastRowLastColumn="0"/>
              <w:rPr>
                <w:sz w:val="22"/>
                <w:szCs w:val="22"/>
              </w:rPr>
            </w:pPr>
            <w:r w:rsidRPr="00D92C1D">
              <w:rPr>
                <w:sz w:val="22"/>
                <w:szCs w:val="22"/>
              </w:rPr>
              <w:t>0.91</w:t>
            </w:r>
          </w:p>
        </w:tc>
        <w:tc>
          <w:tcPr>
            <w:tcW w:w="0" w:type="pct"/>
          </w:tcPr>
          <w:p w14:paraId="2C45AF98" w14:textId="77777777" w:rsidR="00CE717B" w:rsidRPr="00D92C1D" w:rsidRDefault="00CE717B" w:rsidP="00E652B0">
            <w:pPr>
              <w:cnfStyle w:val="000000100000" w:firstRow="0" w:lastRow="0" w:firstColumn="0" w:lastColumn="0" w:oddVBand="0" w:evenVBand="0" w:oddHBand="1" w:evenHBand="0" w:firstRowFirstColumn="0" w:firstRowLastColumn="0" w:lastRowFirstColumn="0" w:lastRowLastColumn="0"/>
              <w:rPr>
                <w:sz w:val="22"/>
                <w:szCs w:val="22"/>
              </w:rPr>
            </w:pPr>
            <w:r w:rsidRPr="00D92C1D">
              <w:rPr>
                <w:sz w:val="22"/>
                <w:szCs w:val="22"/>
              </w:rPr>
              <w:t>0.89</w:t>
            </w:r>
          </w:p>
        </w:tc>
        <w:tc>
          <w:tcPr>
            <w:tcW w:w="1309" w:type="pct"/>
          </w:tcPr>
          <w:p w14:paraId="086E2214" w14:textId="77777777" w:rsidR="00CE717B" w:rsidRPr="00D92C1D" w:rsidRDefault="00CE717B" w:rsidP="00E652B0">
            <w:pPr>
              <w:cnfStyle w:val="000000100000" w:firstRow="0" w:lastRow="0" w:firstColumn="0" w:lastColumn="0" w:oddVBand="0" w:evenVBand="0" w:oddHBand="1" w:evenHBand="0" w:firstRowFirstColumn="0" w:firstRowLastColumn="0" w:lastRowFirstColumn="0" w:lastRowLastColumn="0"/>
              <w:rPr>
                <w:b/>
                <w:bCs/>
                <w:sz w:val="22"/>
                <w:szCs w:val="22"/>
              </w:rPr>
            </w:pPr>
            <w:r w:rsidRPr="00D92C1D">
              <w:rPr>
                <w:b/>
                <w:bCs/>
                <w:sz w:val="22"/>
                <w:szCs w:val="22"/>
              </w:rPr>
              <w:t>0.92</w:t>
            </w:r>
          </w:p>
        </w:tc>
      </w:tr>
      <w:tr w:rsidR="00CE717B" w:rsidRPr="00D92C1D" w14:paraId="1CD8F62B" w14:textId="77777777" w:rsidTr="00E652B0">
        <w:tc>
          <w:tcPr>
            <w:cnfStyle w:val="001000000000" w:firstRow="0" w:lastRow="0" w:firstColumn="1" w:lastColumn="0" w:oddVBand="0" w:evenVBand="0" w:oddHBand="0" w:evenHBand="0" w:firstRowFirstColumn="0" w:firstRowLastColumn="0" w:lastRowFirstColumn="0" w:lastRowLastColumn="0"/>
            <w:tcW w:w="1513" w:type="pct"/>
          </w:tcPr>
          <w:p w14:paraId="10F839E5" w14:textId="77777777" w:rsidR="00CE717B" w:rsidRPr="00D92C1D" w:rsidRDefault="00CE717B" w:rsidP="00E652B0">
            <w:pPr>
              <w:rPr>
                <w:i/>
                <w:iCs/>
                <w:sz w:val="22"/>
                <w:szCs w:val="22"/>
              </w:rPr>
            </w:pPr>
            <w:r w:rsidRPr="00D92C1D">
              <w:rPr>
                <w:i/>
                <w:iCs/>
                <w:caps w:val="0"/>
                <w:sz w:val="22"/>
                <w:szCs w:val="22"/>
              </w:rPr>
              <w:t>Coder Average</w:t>
            </w:r>
          </w:p>
        </w:tc>
        <w:tc>
          <w:tcPr>
            <w:tcW w:w="610" w:type="pct"/>
          </w:tcPr>
          <w:p w14:paraId="1DD1C73B" w14:textId="77777777" w:rsidR="00CE717B" w:rsidRPr="00D92C1D" w:rsidRDefault="00CE717B" w:rsidP="00E652B0">
            <w:pPr>
              <w:cnfStyle w:val="000000000000" w:firstRow="0" w:lastRow="0" w:firstColumn="0" w:lastColumn="0" w:oddVBand="0" w:evenVBand="0" w:oddHBand="0" w:evenHBand="0" w:firstRowFirstColumn="0" w:firstRowLastColumn="0" w:lastRowFirstColumn="0" w:lastRowLastColumn="0"/>
              <w:rPr>
                <w:b/>
                <w:bCs/>
                <w:sz w:val="22"/>
                <w:szCs w:val="22"/>
              </w:rPr>
            </w:pPr>
            <w:r w:rsidRPr="00D92C1D">
              <w:rPr>
                <w:b/>
                <w:bCs/>
                <w:sz w:val="22"/>
                <w:szCs w:val="22"/>
              </w:rPr>
              <w:t>0.96</w:t>
            </w:r>
          </w:p>
        </w:tc>
        <w:tc>
          <w:tcPr>
            <w:tcW w:w="812" w:type="pct"/>
          </w:tcPr>
          <w:p w14:paraId="13D4EF63" w14:textId="77777777" w:rsidR="00CE717B" w:rsidRPr="00D92C1D" w:rsidRDefault="00CE717B" w:rsidP="00E652B0">
            <w:pPr>
              <w:cnfStyle w:val="000000000000" w:firstRow="0" w:lastRow="0" w:firstColumn="0" w:lastColumn="0" w:oddVBand="0" w:evenVBand="0" w:oddHBand="0" w:evenHBand="0" w:firstRowFirstColumn="0" w:firstRowLastColumn="0" w:lastRowFirstColumn="0" w:lastRowLastColumn="0"/>
              <w:rPr>
                <w:b/>
                <w:bCs/>
                <w:sz w:val="22"/>
                <w:szCs w:val="22"/>
              </w:rPr>
            </w:pPr>
            <w:r w:rsidRPr="00D92C1D">
              <w:rPr>
                <w:b/>
                <w:bCs/>
                <w:sz w:val="22"/>
                <w:szCs w:val="22"/>
              </w:rPr>
              <w:t>0.92</w:t>
            </w:r>
          </w:p>
        </w:tc>
        <w:tc>
          <w:tcPr>
            <w:tcW w:w="756" w:type="pct"/>
          </w:tcPr>
          <w:p w14:paraId="6AF07158" w14:textId="77777777" w:rsidR="00CE717B" w:rsidRPr="00D92C1D" w:rsidRDefault="00CE717B" w:rsidP="00E652B0">
            <w:pPr>
              <w:cnfStyle w:val="000000000000" w:firstRow="0" w:lastRow="0" w:firstColumn="0" w:lastColumn="0" w:oddVBand="0" w:evenVBand="0" w:oddHBand="0" w:evenHBand="0" w:firstRowFirstColumn="0" w:firstRowLastColumn="0" w:lastRowFirstColumn="0" w:lastRowLastColumn="0"/>
              <w:rPr>
                <w:b/>
                <w:bCs/>
                <w:sz w:val="22"/>
                <w:szCs w:val="22"/>
              </w:rPr>
            </w:pPr>
            <w:r w:rsidRPr="00D92C1D">
              <w:rPr>
                <w:b/>
                <w:bCs/>
                <w:sz w:val="22"/>
                <w:szCs w:val="22"/>
              </w:rPr>
              <w:t>0.91</w:t>
            </w:r>
          </w:p>
        </w:tc>
        <w:tc>
          <w:tcPr>
            <w:tcW w:w="1309" w:type="pct"/>
          </w:tcPr>
          <w:p w14:paraId="253928A5" w14:textId="77777777" w:rsidR="00CE717B" w:rsidRPr="00D92C1D" w:rsidRDefault="00CE717B" w:rsidP="00E652B0">
            <w:pPr>
              <w:cnfStyle w:val="000000000000" w:firstRow="0" w:lastRow="0" w:firstColumn="0" w:lastColumn="0" w:oddVBand="0" w:evenVBand="0" w:oddHBand="0" w:evenHBand="0" w:firstRowFirstColumn="0" w:firstRowLastColumn="0" w:lastRowFirstColumn="0" w:lastRowLastColumn="0"/>
              <w:rPr>
                <w:b/>
                <w:bCs/>
                <w:sz w:val="22"/>
                <w:szCs w:val="22"/>
              </w:rPr>
            </w:pPr>
            <w:r w:rsidRPr="00D92C1D">
              <w:rPr>
                <w:b/>
                <w:bCs/>
                <w:sz w:val="22"/>
                <w:szCs w:val="22"/>
              </w:rPr>
              <w:t>0.91</w:t>
            </w:r>
          </w:p>
        </w:tc>
      </w:tr>
    </w:tbl>
    <w:p w14:paraId="4A689A40" w14:textId="77777777" w:rsidR="00CE717B" w:rsidRDefault="00CE717B" w:rsidP="00CE717B">
      <w:pPr>
        <w:spacing w:after="160" w:line="259" w:lineRule="auto"/>
        <w:rPr>
          <w:b/>
          <w:bCs/>
          <w:sz w:val="22"/>
          <w:szCs w:val="22"/>
        </w:rPr>
      </w:pPr>
      <w:r>
        <w:rPr>
          <w:b/>
          <w:bCs/>
          <w:sz w:val="22"/>
          <w:szCs w:val="22"/>
        </w:rPr>
        <w:br w:type="page"/>
      </w:r>
    </w:p>
    <w:p w14:paraId="29F25FCB" w14:textId="77777777" w:rsidR="00CE717B" w:rsidRDefault="00CE717B" w:rsidP="00CE717B">
      <w:pPr>
        <w:spacing w:after="160" w:line="259" w:lineRule="auto"/>
        <w:rPr>
          <w:b/>
          <w:bCs/>
          <w:sz w:val="22"/>
          <w:szCs w:val="22"/>
        </w:rPr>
      </w:pPr>
      <w:r w:rsidRPr="00C66056">
        <w:rPr>
          <w:b/>
          <w:bCs/>
          <w:sz w:val="22"/>
          <w:szCs w:val="22"/>
        </w:rPr>
        <w:lastRenderedPageBreak/>
        <w:t xml:space="preserve">Supplementary </w:t>
      </w:r>
      <w:r>
        <w:rPr>
          <w:b/>
          <w:bCs/>
          <w:sz w:val="22"/>
          <w:szCs w:val="22"/>
        </w:rPr>
        <w:t>M</w:t>
      </w:r>
      <w:r w:rsidRPr="00C66056">
        <w:rPr>
          <w:b/>
          <w:bCs/>
          <w:sz w:val="22"/>
          <w:szCs w:val="22"/>
        </w:rPr>
        <w:t>aterials</w:t>
      </w:r>
      <w:r>
        <w:rPr>
          <w:b/>
          <w:bCs/>
          <w:sz w:val="22"/>
          <w:szCs w:val="22"/>
        </w:rPr>
        <w:t xml:space="preserve"> S4</w:t>
      </w:r>
    </w:p>
    <w:p w14:paraId="5251C0B8" w14:textId="77777777" w:rsidR="00CE717B" w:rsidRPr="00751434" w:rsidRDefault="00CE717B" w:rsidP="00CE717B">
      <w:pPr>
        <w:spacing w:before="240"/>
        <w:rPr>
          <w:sz w:val="22"/>
          <w:szCs w:val="22"/>
        </w:rPr>
      </w:pPr>
      <w:r>
        <w:rPr>
          <w:b/>
          <w:bCs/>
          <w:sz w:val="22"/>
          <w:szCs w:val="22"/>
        </w:rPr>
        <w:t>Figure 6</w:t>
      </w:r>
      <w:r w:rsidRPr="00D92C1D">
        <w:rPr>
          <w:b/>
          <w:bCs/>
          <w:sz w:val="22"/>
          <w:szCs w:val="22"/>
        </w:rPr>
        <w:t>:</w:t>
      </w:r>
      <w:r>
        <w:rPr>
          <w:b/>
          <w:bCs/>
          <w:sz w:val="22"/>
          <w:szCs w:val="22"/>
        </w:rPr>
        <w:t xml:space="preserve"> </w:t>
      </w:r>
      <w:r w:rsidRPr="00751434">
        <w:rPr>
          <w:sz w:val="22"/>
          <w:szCs w:val="22"/>
        </w:rPr>
        <w:t>Concept Code-Emotion Code Occurrence Matrix</w:t>
      </w:r>
    </w:p>
    <w:p w14:paraId="255B21BF" w14:textId="77777777" w:rsidR="00CE717B" w:rsidRPr="009B6691" w:rsidRDefault="00CE717B" w:rsidP="00CE717B">
      <w:pPr>
        <w:spacing w:after="240"/>
        <w:rPr>
          <w:sz w:val="22"/>
          <w:szCs w:val="22"/>
        </w:rPr>
      </w:pPr>
      <w:r w:rsidRPr="00D92C1D">
        <w:rPr>
          <w:noProof/>
          <w:sz w:val="22"/>
          <w:szCs w:val="22"/>
        </w:rPr>
        <w:drawing>
          <wp:inline distT="0" distB="0" distL="0" distR="0" wp14:anchorId="342A5A21" wp14:editId="57D0713D">
            <wp:extent cx="5943600" cy="1984364"/>
            <wp:effectExtent l="0" t="0" r="0" b="0"/>
            <wp:docPr id="305415145" name="Picture 2" descr="A screenshot of a computer&#10;&#10;Description automatically generated">
              <a:extLst xmlns:a="http://schemas.openxmlformats.org/drawingml/2006/main">
                <a:ext uri="{FF2B5EF4-FFF2-40B4-BE49-F238E27FC236}">
                  <a16:creationId xmlns:a16="http://schemas.microsoft.com/office/drawing/2014/main" id="{A0C21F29-0611-8876-2054-5E8A779F66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15145" name="Picture 2" descr="A screenshot of a computer&#10;&#10;Description automatically generated">
                      <a:extLst>
                        <a:ext uri="{FF2B5EF4-FFF2-40B4-BE49-F238E27FC236}">
                          <a16:creationId xmlns:a16="http://schemas.microsoft.com/office/drawing/2014/main" id="{A0C21F29-0611-8876-2054-5E8A779F66CA}"/>
                        </a:ext>
                      </a:extLst>
                    </pic:cNvPr>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5943600" cy="1984364"/>
                    </a:xfrm>
                    <a:prstGeom prst="rect">
                      <a:avLst/>
                    </a:prstGeom>
                    <a:noFill/>
                  </pic:spPr>
                </pic:pic>
              </a:graphicData>
            </a:graphic>
          </wp:inline>
        </w:drawing>
      </w:r>
    </w:p>
    <w:p w14:paraId="3C9091AB" w14:textId="77777777" w:rsidR="00CE717B" w:rsidRDefault="00CE717B"/>
    <w:sectPr w:rsidR="00CE717B" w:rsidSect="00DC1807">
      <w:headerReference w:type="default" r:id="rId5"/>
      <w:footerReference w:type="default" r:id="rId6"/>
      <w:pgSz w:w="12240" w:h="15840"/>
      <w:pgMar w:top="1440" w:right="1440" w:bottom="1440" w:left="1440" w:header="720" w:footer="720" w:gutter="0"/>
      <w:lnNumType w:countBy="1"/>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0DEA7" w14:textId="77777777" w:rsidR="00000000" w:rsidRPr="00093383" w:rsidRDefault="00000000">
    <w:pPr>
      <w:pStyle w:val="Footer"/>
      <w:jc w:val="right"/>
      <w:rPr>
        <w:sz w:val="20"/>
        <w:szCs w:val="20"/>
      </w:rPr>
    </w:pPr>
  </w:p>
  <w:p w14:paraId="0B0AA3E2"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490146925"/>
      <w:docPartObj>
        <w:docPartGallery w:val="Page Numbers (Top of Page)"/>
        <w:docPartUnique/>
      </w:docPartObj>
    </w:sdtPr>
    <w:sdtEndPr>
      <w:rPr>
        <w:noProof/>
      </w:rPr>
    </w:sdtEndPr>
    <w:sdtContent>
      <w:p w14:paraId="72951569" w14:textId="77777777" w:rsidR="00000000" w:rsidRPr="00D92C1D" w:rsidRDefault="00000000" w:rsidP="00093383">
        <w:pPr>
          <w:pStyle w:val="Header"/>
          <w:rPr>
            <w:rFonts w:ascii="Times New Roman" w:hAnsi="Times New Roman" w:cs="Times New Roman"/>
          </w:rPr>
        </w:pPr>
        <w:r w:rsidRPr="00D92C1D">
          <w:rPr>
            <w:rFonts w:ascii="Times New Roman" w:hAnsi="Times New Roman" w:cs="Times New Roman"/>
          </w:rPr>
          <w:t xml:space="preserve">Bella, Borowski, Stathopoulos </w:t>
        </w:r>
        <w:r w:rsidRPr="00D92C1D">
          <w:rPr>
            <w:rFonts w:ascii="Times New Roman" w:hAnsi="Times New Roman" w:cs="Times New Roman"/>
          </w:rPr>
          <w:tab/>
        </w:r>
        <w:r w:rsidRPr="00D92C1D">
          <w:rPr>
            <w:rFonts w:ascii="Times New Roman" w:hAnsi="Times New Roman" w:cs="Times New Roman"/>
          </w:rPr>
          <w:tab/>
        </w:r>
        <w:r w:rsidRPr="00D92C1D">
          <w:rPr>
            <w:rFonts w:ascii="Times New Roman" w:hAnsi="Times New Roman" w:cs="Times New Roman"/>
          </w:rPr>
          <w:fldChar w:fldCharType="begin"/>
        </w:r>
        <w:r w:rsidRPr="00D92C1D">
          <w:rPr>
            <w:rFonts w:ascii="Times New Roman" w:hAnsi="Times New Roman" w:cs="Times New Roman"/>
          </w:rPr>
          <w:instrText xml:space="preserve"> PAGE   \* MERGEFORMAT </w:instrText>
        </w:r>
        <w:r w:rsidRPr="00D92C1D">
          <w:rPr>
            <w:rFonts w:ascii="Times New Roman" w:hAnsi="Times New Roman" w:cs="Times New Roman"/>
          </w:rPr>
          <w:fldChar w:fldCharType="separate"/>
        </w:r>
        <w:r w:rsidRPr="00D92C1D">
          <w:rPr>
            <w:rFonts w:ascii="Times New Roman" w:hAnsi="Times New Roman" w:cs="Times New Roman"/>
            <w:noProof/>
          </w:rPr>
          <w:t>2</w:t>
        </w:r>
        <w:r w:rsidRPr="00D92C1D">
          <w:rPr>
            <w:rFonts w:ascii="Times New Roman" w:hAnsi="Times New Roman" w:cs="Times New Roman"/>
            <w:noProof/>
          </w:rPr>
          <w:fldChar w:fldCharType="end"/>
        </w:r>
      </w:p>
    </w:sdtContent>
  </w:sdt>
  <w:p w14:paraId="5C635EB2"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17B"/>
    <w:rsid w:val="00CE717B"/>
    <w:rsid w:val="00DC180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9385"/>
  <w15:chartTrackingRefBased/>
  <w15:docId w15:val="{786A1BE9-2E31-4CF7-A074-7CAD5D65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17B"/>
    <w:pPr>
      <w:spacing w:after="0" w:line="240" w:lineRule="auto"/>
    </w:pPr>
    <w:rPr>
      <w:rFonts w:ascii="Times New Roman" w:eastAsia="Times New Roman" w:hAnsi="Times New Roman" w:cs="Times New Roman"/>
      <w:kern w:val="0"/>
      <w:sz w:val="24"/>
      <w:szCs w:val="24"/>
      <w:lang w:val="en-US"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3">
    <w:name w:val="Plain Table 3"/>
    <w:basedOn w:val="TableNormal"/>
    <w:uiPriority w:val="43"/>
    <w:rsid w:val="00CE717B"/>
    <w:pPr>
      <w:spacing w:after="0" w:line="240" w:lineRule="auto"/>
    </w:pPr>
    <w:rPr>
      <w:kern w:val="0"/>
      <w:lang w:val="en-US"/>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CE717B"/>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E717B"/>
    <w:rPr>
      <w:kern w:val="0"/>
      <w:lang w:val="en-US"/>
      <w14:ligatures w14:val="none"/>
    </w:rPr>
  </w:style>
  <w:style w:type="paragraph" w:styleId="Footer">
    <w:name w:val="footer"/>
    <w:basedOn w:val="Normal"/>
    <w:link w:val="FooterChar"/>
    <w:uiPriority w:val="99"/>
    <w:unhideWhenUsed/>
    <w:rsid w:val="00CE717B"/>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E717B"/>
    <w:rPr>
      <w:kern w:val="0"/>
      <w:lang w:val="en-US"/>
      <w14:ligatures w14:val="none"/>
    </w:rPr>
  </w:style>
  <w:style w:type="character" w:styleId="LineNumber">
    <w:name w:val="line number"/>
    <w:basedOn w:val="DefaultParagraphFont"/>
    <w:uiPriority w:val="99"/>
    <w:semiHidden/>
    <w:unhideWhenUsed/>
    <w:rsid w:val="00CE7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889</Words>
  <Characters>5070</Characters>
  <Application>Microsoft Office Word</Application>
  <DocSecurity>0</DocSecurity>
  <Lines>42</Lines>
  <Paragraphs>11</Paragraphs>
  <ScaleCrop>false</ScaleCrop>
  <Company>Springer Nature</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2024-04-08T18:13:00Z</dcterms:created>
  <dcterms:modified xsi:type="dcterms:W3CDTF">2024-04-08T18:13:00Z</dcterms:modified>
</cp:coreProperties>
</file>