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B80B88" w14:textId="16526F37" w:rsidR="00AE2CE1" w:rsidRDefault="00AE2CE1" w:rsidP="00822FA8">
      <w:pPr>
        <w:rPr>
          <w:rFonts w:ascii="Arial" w:hAnsi="Arial" w:cs="Arial"/>
          <w:b/>
          <w:spacing w:val="-3"/>
          <w:kern w:val="2"/>
          <w:sz w:val="24"/>
          <w:szCs w:val="24"/>
          <w14:ligatures w14:val="standardContextual"/>
        </w:rPr>
      </w:pPr>
      <w:r>
        <w:rPr>
          <w:rFonts w:ascii="Arial" w:hAnsi="Arial" w:cs="Arial"/>
          <w:b/>
          <w:spacing w:val="-3"/>
          <w:kern w:val="2"/>
          <w:sz w:val="24"/>
          <w:szCs w:val="24"/>
          <w14:ligatures w14:val="standardContextual"/>
        </w:rPr>
        <w:t>Supplementary information</w:t>
      </w:r>
    </w:p>
    <w:p w14:paraId="20F55DEC" w14:textId="136577F7" w:rsidR="00822FA8" w:rsidRPr="00497974" w:rsidRDefault="00822FA8" w:rsidP="00822FA8">
      <w:pPr>
        <w:rPr>
          <w:rFonts w:ascii="Arial" w:hAnsi="Arial" w:cs="Arial"/>
          <w:sz w:val="24"/>
          <w:szCs w:val="24"/>
        </w:rPr>
      </w:pPr>
      <w:r w:rsidRPr="00497974">
        <w:rPr>
          <w:rFonts w:ascii="Arial" w:hAnsi="Arial" w:cs="Arial"/>
          <w:b/>
          <w:spacing w:val="-3"/>
          <w:kern w:val="2"/>
          <w:sz w:val="24"/>
          <w:szCs w:val="24"/>
          <w14:ligatures w14:val="standardContextual"/>
        </w:rPr>
        <w:t xml:space="preserve">Supplementary Fig. 1. </w:t>
      </w:r>
      <w:r w:rsidRPr="00497974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Mouse </w:t>
      </w:r>
      <w:r w:rsidRPr="00497974">
        <w:rPr>
          <w:rFonts w:ascii="Arial" w:hAnsi="Arial" w:cs="Arial"/>
          <w:b/>
          <w:bCs/>
          <w:i/>
          <w:iCs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gene knock-out and human </w:t>
      </w:r>
      <w:r w:rsidRPr="00497974">
        <w:rPr>
          <w:rFonts w:ascii="Arial" w:hAnsi="Arial" w:cs="Arial"/>
          <w:b/>
          <w:bCs/>
          <w:i/>
          <w:iCs/>
          <w:kern w:val="2"/>
          <w:sz w:val="24"/>
          <w:szCs w:val="24"/>
          <w14:ligatures w14:val="standardContextual"/>
        </w:rPr>
        <w:t>G6PC-c.247C&gt;T</w:t>
      </w:r>
      <w:r w:rsidRPr="00497974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cDNA knock-in strategy</w:t>
      </w:r>
      <w:r w:rsidRPr="00497974">
        <w:rPr>
          <w:rFonts w:ascii="Arial" w:eastAsia="Arial" w:hAnsi="Arial" w:cs="Arial"/>
          <w:b/>
          <w:bCs/>
          <w:kern w:val="2"/>
          <w:sz w:val="24"/>
          <w:szCs w:val="24"/>
          <w14:ligatures w14:val="standardContextual"/>
        </w:rPr>
        <w:t xml:space="preserve">. </w:t>
      </w:r>
      <w:r w:rsidRPr="00497974">
        <w:rPr>
          <w:rFonts w:ascii="Arial" w:eastAsia="Arial" w:hAnsi="Arial" w:cs="Arial"/>
          <w:kern w:val="2"/>
          <w:sz w:val="24"/>
          <w:szCs w:val="24"/>
          <w14:ligatures w14:val="standardContextual"/>
        </w:rPr>
        <w:t>T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he generation of the </w:t>
      </w:r>
      <w:r w:rsidRPr="00497974">
        <w:rPr>
          <w:rFonts w:ascii="Arial" w:hAnsi="Arial" w:cs="Arial"/>
          <w:sz w:val="24"/>
          <w:szCs w:val="24"/>
        </w:rPr>
        <w:t>heterozygous (mR83/huR83C) mice</w:t>
      </w:r>
    </w:p>
    <w:p w14:paraId="0020EAC6" w14:textId="77777777" w:rsidR="00822FA8" w:rsidRPr="00497974" w:rsidRDefault="00822FA8" w:rsidP="00822FA8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97974">
        <w:rPr>
          <w:rFonts w:ascii="Arial" w:hAnsi="Arial" w:cs="Arial"/>
          <w:sz w:val="24"/>
          <w:szCs w:val="24"/>
        </w:rPr>
        <w:t xml:space="preserve">carrying one functional mouse </w:t>
      </w:r>
      <w:r w:rsidRPr="00497974">
        <w:rPr>
          <w:rFonts w:ascii="Arial" w:hAnsi="Arial" w:cs="Arial"/>
          <w:i/>
          <w:iCs/>
          <w:sz w:val="24"/>
          <w:szCs w:val="24"/>
        </w:rPr>
        <w:t>G6pc-</w:t>
      </w:r>
      <w:r w:rsidRPr="00497974">
        <w:rPr>
          <w:rFonts w:ascii="Arial" w:hAnsi="Arial" w:cs="Arial"/>
          <w:sz w:val="24"/>
          <w:szCs w:val="24"/>
        </w:rPr>
        <w:t>R83</w:t>
      </w:r>
      <w:r w:rsidRPr="0049797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497974">
        <w:rPr>
          <w:rFonts w:ascii="Arial" w:hAnsi="Arial" w:cs="Arial"/>
          <w:sz w:val="24"/>
          <w:szCs w:val="24"/>
        </w:rPr>
        <w:t xml:space="preserve">allele and one human </w:t>
      </w:r>
      <w:r w:rsidRPr="00497974">
        <w:rPr>
          <w:rFonts w:ascii="Arial" w:hAnsi="Arial" w:cs="Arial"/>
          <w:i/>
          <w:iCs/>
          <w:sz w:val="24"/>
          <w:szCs w:val="24"/>
        </w:rPr>
        <w:t>G6PC</w:t>
      </w:r>
      <w:r w:rsidRPr="00497974">
        <w:rPr>
          <w:rFonts w:ascii="Arial" w:hAnsi="Arial" w:cs="Arial"/>
          <w:sz w:val="24"/>
          <w:szCs w:val="24"/>
        </w:rPr>
        <w:t>-R83C (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G6PC-</w:t>
      </w:r>
      <w:r w:rsidRPr="00497974">
        <w:rPr>
          <w:rFonts w:ascii="Arial" w:hAnsi="Arial" w:cs="Arial"/>
          <w:iCs/>
          <w:kern w:val="2"/>
          <w:sz w:val="24"/>
          <w:szCs w:val="24"/>
          <w14:ligatures w14:val="standardContextual"/>
        </w:rPr>
        <w:t>c.247C&gt;T</w:t>
      </w:r>
      <w:r w:rsidRPr="00497974">
        <w:rPr>
          <w:rFonts w:ascii="Arial" w:hAnsi="Arial" w:cs="Arial"/>
          <w:sz w:val="24"/>
          <w:szCs w:val="24"/>
        </w:rPr>
        <w:t xml:space="preserve">) variant allele involved 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the simultaneous knock-out of a mouse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allele by the knock-in of a human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G6PC-</w:t>
      </w:r>
      <w:r w:rsidRPr="00497974">
        <w:rPr>
          <w:rFonts w:ascii="Arial" w:hAnsi="Arial" w:cs="Arial"/>
          <w:iCs/>
          <w:kern w:val="2"/>
          <w:sz w:val="24"/>
          <w:szCs w:val="24"/>
          <w14:ligatures w14:val="standardContextual"/>
        </w:rPr>
        <w:t>c.247C&gt;T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cDNA. The on-target insertion of the human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G6PC-</w:t>
      </w:r>
      <w:r w:rsidRPr="00497974">
        <w:rPr>
          <w:rFonts w:ascii="Arial" w:hAnsi="Arial" w:cs="Arial"/>
          <w:iCs/>
          <w:kern w:val="2"/>
          <w:sz w:val="24"/>
          <w:szCs w:val="24"/>
          <w14:ligatures w14:val="standardContextual"/>
        </w:rPr>
        <w:t>c.247C&gt;T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cDNA encoding the p.R83C variant was designed to disrupt the mouse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gene by co-opting the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translation initiation site for expression of the human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G6PC-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c.247C&gt;T cDNA, which included a 3’ UTR and poly(A) signal sequence, upstream of the remainder of the </w:t>
      </w:r>
      <w:r w:rsidRPr="00497974">
        <w:rPr>
          <w:rFonts w:ascii="Arial" w:hAnsi="Arial" w:cs="Arial"/>
          <w:i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gene. </w:t>
      </w:r>
    </w:p>
    <w:p w14:paraId="09DB5EB6" w14:textId="77777777" w:rsidR="00822FA8" w:rsidRPr="00497974" w:rsidRDefault="00822FA8" w:rsidP="00822FA8">
      <w:pPr>
        <w:rPr>
          <w:rFonts w:ascii="Arial" w:hAnsi="Arial" w:cs="Arial"/>
          <w:color w:val="0000CC"/>
          <w:spacing w:val="-2"/>
          <w:sz w:val="24"/>
          <w:szCs w:val="24"/>
        </w:rPr>
      </w:pPr>
    </w:p>
    <w:p w14:paraId="3FCD291C" w14:textId="77777777" w:rsidR="00822FA8" w:rsidRPr="00497974" w:rsidRDefault="00822FA8" w:rsidP="00822FA8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97974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Supplementary Fig. 2. Characterization of pSVL-huG6Pase-α-Y85H and pSVL-huG6Pase-α-V332L variants. 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P</w:t>
      </w:r>
      <w:r w:rsidRPr="00497974">
        <w:rPr>
          <w:rFonts w:ascii="Arial" w:hAnsi="Arial" w:cs="Arial"/>
          <w:spacing w:val="-2"/>
          <w:kern w:val="2"/>
          <w:sz w:val="24"/>
          <w:szCs w:val="24"/>
          <w14:ligatures w14:val="standardContextual"/>
        </w:rPr>
        <w:t xml:space="preserve">hosphohydrolase activity of human (hu) 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G6Pase-α wild-type, Y85H, and V332L</w:t>
      </w:r>
      <w:r w:rsidRPr="00497974">
        <w:rPr>
          <w:rFonts w:ascii="Arial" w:hAnsi="Arial" w:cs="Arial"/>
          <w:spacing w:val="-2"/>
          <w:kern w:val="2"/>
          <w:sz w:val="24"/>
          <w:szCs w:val="24"/>
          <w14:ligatures w14:val="standardContextual"/>
        </w:rPr>
        <w:t xml:space="preserve"> 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following transfection of the respective </w:t>
      </w:r>
      <w:proofErr w:type="spellStart"/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pSVL</w:t>
      </w:r>
      <w:proofErr w:type="spellEnd"/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construct into COS-1 cells. The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 pSVL-hu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G6Pase-α-wild-type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 vector containing the entire coding region of </w:t>
      </w:r>
      <w:r w:rsidRPr="00497974">
        <w:rPr>
          <w:rFonts w:ascii="Arial" w:hAnsi="Arial" w:cs="Arial"/>
          <w:i/>
          <w:iCs/>
          <w:kern w:val="2"/>
          <w:sz w:val="24"/>
          <w:szCs w:val="24"/>
          <w14:ligatures w14:val="standardContextual"/>
        </w:rPr>
        <w:t>G6PC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 cDNA at nucleotides 1 to 1074 was used as a template to generate the pSVL-hu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G6Pase-α-Y85H and the 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>pSVL-hu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G6Pase-α-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V332L </w:t>
      </w:r>
      <w:r w:rsidRPr="00497974">
        <w:rPr>
          <w:rFonts w:ascii="Arial" w:hAnsi="Arial" w:cs="Arial"/>
          <w:bCs/>
          <w:kern w:val="2"/>
          <w:sz w:val="24"/>
          <w:szCs w:val="24"/>
          <w14:ligatures w14:val="standardContextual"/>
        </w:rPr>
        <w:t>constructs by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 PCR-directed mutagenesis as previously described (28). 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The 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>pSVL-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huG6Pase-α-Y85H construct displayed non-detectable p</w:t>
      </w:r>
      <w:r w:rsidRPr="00497974">
        <w:rPr>
          <w:rFonts w:ascii="Arial" w:hAnsi="Arial" w:cs="Arial"/>
          <w:spacing w:val="-2"/>
          <w:kern w:val="2"/>
          <w:sz w:val="24"/>
          <w:szCs w:val="24"/>
          <w14:ligatures w14:val="standardContextual"/>
        </w:rPr>
        <w:t xml:space="preserve">hosphohydrolase activity. The 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>pSVL-</w:t>
      </w:r>
      <w:r w:rsidRPr="00497974">
        <w:rPr>
          <w:rFonts w:ascii="Arial" w:hAnsi="Arial" w:cs="Arial"/>
          <w:spacing w:val="-2"/>
          <w:kern w:val="2"/>
          <w:sz w:val="24"/>
          <w:szCs w:val="24"/>
          <w14:ligatures w14:val="standardContextual"/>
        </w:rPr>
        <w:t>hu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G6Pase-α-V332L construct retained, on average, 81% of phosphohydrolase activity</w:t>
      </w:r>
      <w:r w:rsidRPr="00497974">
        <w:rPr>
          <w:rFonts w:ascii="Arial" w:hAnsi="Arial" w:cs="Arial"/>
          <w:spacing w:val="-3"/>
          <w:kern w:val="2"/>
          <w:sz w:val="24"/>
          <w:szCs w:val="24"/>
          <w14:ligatures w14:val="standardContextual"/>
        </w:rPr>
        <w:t xml:space="preserve"> displayed by the pSVL-hu</w:t>
      </w:r>
      <w:r w:rsidRPr="00497974">
        <w:rPr>
          <w:rFonts w:ascii="Arial" w:hAnsi="Arial" w:cs="Arial"/>
          <w:kern w:val="2"/>
          <w:sz w:val="24"/>
          <w:szCs w:val="24"/>
          <w14:ligatures w14:val="standardContextual"/>
        </w:rPr>
        <w:t>G6Pase-α-wild-type construct, shown in this figure.</w:t>
      </w:r>
    </w:p>
    <w:p w14:paraId="3CAEF9D8" w14:textId="77777777" w:rsidR="00822FA8" w:rsidRPr="00497974" w:rsidRDefault="00822FA8" w:rsidP="00822FA8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42A2E136" w14:textId="77777777" w:rsidR="001A0962" w:rsidRPr="00977FB9" w:rsidRDefault="001A0962" w:rsidP="001A0962">
      <w:pPr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977FB9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Supplementary Fig. 3.</w:t>
      </w:r>
      <w:r w:rsidRPr="00977FB9">
        <w:rPr>
          <w:rFonts w:ascii="Arial" w:hAnsi="Arial" w:cs="Arial"/>
          <w:spacing w:val="-2"/>
          <w:sz w:val="24"/>
          <w:szCs w:val="24"/>
        </w:rPr>
        <w:t xml:space="preserve"> </w:t>
      </w:r>
      <w:r w:rsidRPr="00977FB9">
        <w:rPr>
          <w:rFonts w:ascii="Arial" w:hAnsi="Arial" w:cs="Arial"/>
          <w:b/>
          <w:bCs/>
          <w:spacing w:val="-2"/>
          <w:sz w:val="24"/>
          <w:szCs w:val="24"/>
        </w:rPr>
        <w:t xml:space="preserve">Fasting blood glucose profiles in 3-week-old control and untreated </w:t>
      </w:r>
      <w:r w:rsidRPr="00977FB9">
        <w:rPr>
          <w:rFonts w:ascii="Arial" w:hAnsi="Arial" w:cs="Arial"/>
          <w:b/>
          <w:bCs/>
          <w:iCs/>
          <w:sz w:val="24"/>
          <w:szCs w:val="24"/>
        </w:rPr>
        <w:t>huR83C</w:t>
      </w:r>
      <w:r w:rsidRPr="00977FB9">
        <w:rPr>
          <w:rFonts w:ascii="Arial" w:hAnsi="Arial" w:cs="Arial"/>
          <w:b/>
          <w:bCs/>
          <w:spacing w:val="-2"/>
          <w:sz w:val="24"/>
          <w:szCs w:val="24"/>
        </w:rPr>
        <w:t xml:space="preserve"> mice.</w:t>
      </w:r>
      <w:r>
        <w:rPr>
          <w:rFonts w:ascii="Arial" w:hAnsi="Arial" w:cs="Arial"/>
          <w:spacing w:val="-2"/>
          <w:sz w:val="24"/>
          <w:szCs w:val="24"/>
        </w:rPr>
        <w:t xml:space="preserve"> Representative fasting glucose profiles of two 3-week-old control mice and two untreated huR83C mice.</w:t>
      </w:r>
    </w:p>
    <w:p w14:paraId="7E743ADC" w14:textId="77777777" w:rsidR="005C56FF" w:rsidRDefault="005C56FF"/>
    <w:p w14:paraId="7B065BB9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  <w:r>
        <w:rPr>
          <w:rFonts w:ascii="Arial" w:hAnsi="Arial" w:cs="Arial"/>
          <w:b/>
          <w:noProof/>
          <w:spacing w:val="-3"/>
          <w:sz w:val="24"/>
          <w:szCs w:val="24"/>
        </w:rPr>
        <w:lastRenderedPageBreak/>
        <w:drawing>
          <wp:inline distT="0" distB="0" distL="0" distR="0" wp14:anchorId="3F9451AE" wp14:editId="380E46DE">
            <wp:extent cx="5943600" cy="2015490"/>
            <wp:effectExtent l="0" t="0" r="0" b="3810"/>
            <wp:docPr id="21025170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517044" name="Picture 21025170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9B694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  <w:r>
        <w:rPr>
          <w:rFonts w:ascii="Arial" w:hAnsi="Arial" w:cs="Arial"/>
          <w:b/>
          <w:spacing w:val="-3"/>
          <w:sz w:val="24"/>
          <w:szCs w:val="24"/>
        </w:rPr>
        <w:t>Supplementary Fig. 1</w:t>
      </w:r>
    </w:p>
    <w:p w14:paraId="2FDE14AC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</w:p>
    <w:p w14:paraId="75CBDA35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  <w:r>
        <w:rPr>
          <w:rFonts w:ascii="Arial" w:hAnsi="Arial" w:cs="Arial"/>
          <w:b/>
          <w:noProof/>
          <w:spacing w:val="-3"/>
          <w:sz w:val="24"/>
          <w:szCs w:val="24"/>
        </w:rPr>
        <w:drawing>
          <wp:inline distT="0" distB="0" distL="0" distR="0" wp14:anchorId="16C19781" wp14:editId="1BDDF613">
            <wp:extent cx="1502664" cy="2145792"/>
            <wp:effectExtent l="0" t="0" r="2540" b="6985"/>
            <wp:docPr id="62387992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87992" name="Picture 1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664" cy="214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F0749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  <w:r>
        <w:rPr>
          <w:rFonts w:ascii="Arial" w:hAnsi="Arial" w:cs="Arial"/>
          <w:b/>
          <w:spacing w:val="-3"/>
          <w:sz w:val="24"/>
          <w:szCs w:val="24"/>
        </w:rPr>
        <w:t>Supplementary Fig. 2</w:t>
      </w:r>
    </w:p>
    <w:p w14:paraId="2C4741E1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</w:p>
    <w:p w14:paraId="44B71DB8" w14:textId="77777777" w:rsidR="00764832" w:rsidRDefault="00764832" w:rsidP="00764832">
      <w:pPr>
        <w:rPr>
          <w:rFonts w:ascii="Arial" w:hAnsi="Arial" w:cs="Arial"/>
          <w:b/>
          <w:spacing w:val="-3"/>
          <w:sz w:val="24"/>
          <w:szCs w:val="24"/>
        </w:rPr>
      </w:pPr>
      <w:r>
        <w:rPr>
          <w:rFonts w:ascii="Arial" w:hAnsi="Arial" w:cs="Arial"/>
          <w:b/>
          <w:noProof/>
          <w:spacing w:val="-3"/>
          <w:sz w:val="24"/>
          <w:szCs w:val="24"/>
        </w:rPr>
        <w:drawing>
          <wp:inline distT="0" distB="0" distL="0" distR="0" wp14:anchorId="2D35F1F3" wp14:editId="098FAFDA">
            <wp:extent cx="2074164" cy="2491740"/>
            <wp:effectExtent l="0" t="0" r="2540" b="3810"/>
            <wp:docPr id="1898663176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663176" name="Picture 1" descr="Chart, line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4164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A5413" w14:textId="6859F6FD" w:rsidR="00764832" w:rsidRDefault="00764832">
      <w:r>
        <w:rPr>
          <w:rFonts w:ascii="Arial" w:hAnsi="Arial" w:cs="Arial"/>
          <w:b/>
          <w:spacing w:val="-3"/>
          <w:sz w:val="24"/>
          <w:szCs w:val="24"/>
        </w:rPr>
        <w:t>Supplementary Fig. 3</w:t>
      </w:r>
    </w:p>
    <w:sectPr w:rsidR="00764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FA8"/>
    <w:rsid w:val="001A0962"/>
    <w:rsid w:val="005C0D1F"/>
    <w:rsid w:val="005C56FF"/>
    <w:rsid w:val="00764832"/>
    <w:rsid w:val="00822FA8"/>
    <w:rsid w:val="00965CA0"/>
    <w:rsid w:val="00AD0629"/>
    <w:rsid w:val="00AE2CE1"/>
    <w:rsid w:val="00AE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522A"/>
  <w15:chartTrackingRefBased/>
  <w15:docId w15:val="{BB866CF2-8D21-4E8D-8EFC-6E2A79232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FA8"/>
    <w:pPr>
      <w:spacing w:after="0" w:line="480" w:lineRule="atLeast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FA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FA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FA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FA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FA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FA8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FA8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FA8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FA8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F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F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F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F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F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F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F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F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F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F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2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FA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2F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FA8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2F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FA8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2F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F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F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F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Chou, Janice (NIH/NICHD) [E]</dc:creator>
  <cp:keywords/>
  <dc:description/>
  <cp:lastModifiedBy>Chou, Janice (NIH/NICHD) [E]</cp:lastModifiedBy>
  <cp:revision>2</cp:revision>
  <dcterms:created xsi:type="dcterms:W3CDTF">2024-03-27T19:19:00Z</dcterms:created>
  <dcterms:modified xsi:type="dcterms:W3CDTF">2024-03-27T19:19:00Z</dcterms:modified>
</cp:coreProperties>
</file>