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B7B8" w14:textId="77777777" w:rsidR="00D850CD" w:rsidRDefault="00D850CD" w:rsidP="00D850CD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514AE">
        <w:rPr>
          <w:rFonts w:ascii="Times New Roman" w:hAnsi="Times New Roman" w:cs="Times New Roman"/>
          <w:b/>
          <w:sz w:val="24"/>
          <w:szCs w:val="28"/>
        </w:rPr>
        <w:t>Appendix</w:t>
      </w:r>
      <w:r>
        <w:rPr>
          <w:rFonts w:ascii="Times New Roman" w:hAnsi="Times New Roman" w:cs="Times New Roman"/>
          <w:b/>
          <w:sz w:val="24"/>
          <w:szCs w:val="28"/>
        </w:rPr>
        <w:t>-A</w:t>
      </w:r>
    </w:p>
    <w:p w14:paraId="75A8DE17" w14:textId="77777777" w:rsidR="00D850CD" w:rsidRPr="009514AE" w:rsidRDefault="00D850CD" w:rsidP="00D850CD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9514AE">
        <w:rPr>
          <w:rFonts w:ascii="Times New Roman" w:hAnsi="Times New Roman" w:cs="Times New Roman"/>
          <w:b/>
          <w:sz w:val="24"/>
          <w:szCs w:val="28"/>
        </w:rPr>
        <w:t xml:space="preserve">Development and </w:t>
      </w:r>
      <w:r>
        <w:rPr>
          <w:rFonts w:ascii="Times New Roman" w:hAnsi="Times New Roman" w:cs="Times New Roman"/>
          <w:b/>
          <w:sz w:val="24"/>
          <w:szCs w:val="28"/>
        </w:rPr>
        <w:t xml:space="preserve">Evaluation </w:t>
      </w:r>
      <w:r w:rsidRPr="009514AE">
        <w:rPr>
          <w:rFonts w:ascii="Times New Roman" w:hAnsi="Times New Roman" w:cs="Times New Roman"/>
          <w:b/>
          <w:sz w:val="24"/>
          <w:szCs w:val="28"/>
        </w:rPr>
        <w:t xml:space="preserve">of </w:t>
      </w:r>
      <w:r>
        <w:rPr>
          <w:rFonts w:ascii="Times New Roman" w:hAnsi="Times New Roman" w:cs="Times New Roman"/>
          <w:b/>
          <w:sz w:val="24"/>
          <w:szCs w:val="28"/>
        </w:rPr>
        <w:t xml:space="preserve">a Tapered Tensile Geometry </w:t>
      </w:r>
      <w:r w:rsidRPr="009514AE">
        <w:rPr>
          <w:rFonts w:ascii="Times New Roman" w:hAnsi="Times New Roman" w:cs="Times New Roman"/>
          <w:b/>
          <w:sz w:val="24"/>
          <w:szCs w:val="28"/>
        </w:rPr>
        <w:t xml:space="preserve">for Constitutive Characterization </w:t>
      </w:r>
      <w:r>
        <w:rPr>
          <w:rFonts w:ascii="Times New Roman" w:hAnsi="Times New Roman" w:cs="Times New Roman"/>
          <w:b/>
          <w:sz w:val="24"/>
          <w:szCs w:val="28"/>
        </w:rPr>
        <w:t xml:space="preserve">of Gleeble-Processed Materials in </w:t>
      </w:r>
      <w:r w:rsidRPr="009514AE">
        <w:rPr>
          <w:rFonts w:ascii="Times New Roman" w:hAnsi="Times New Roman" w:cs="Times New Roman"/>
          <w:b/>
          <w:sz w:val="24"/>
          <w:szCs w:val="28"/>
        </w:rPr>
        <w:t>Uniaxial Tension</w:t>
      </w:r>
    </w:p>
    <w:p w14:paraId="6A5D06CC" w14:textId="77777777" w:rsidR="00D850CD" w:rsidRDefault="00D850CD" w:rsidP="00D850CD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The temperature gradient along the length of the Gleeble test specimen produces an unavoidable variation in the mechanical properties as reflected by the hardness plots shown in </w:t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REF _Ref151320435 \h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separate"/>
      </w:r>
      <w:r>
        <w:t xml:space="preserve">Figure </w:t>
      </w:r>
      <w:r>
        <w:rPr>
          <w:noProof/>
        </w:rPr>
        <w:t>5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t xml:space="preserve">. The extraction of sub-sized ASTM E8 tensile coupons having a uniform gauge width from the Gleeble processed specimens resulted in to premature localization in the softer region for the IC Q&amp;P condition, leading to significant underprediction of tensile stresses (see </w:t>
      </w:r>
      <w:r>
        <w:rPr>
          <w:rFonts w:ascii="Times New Roman" w:hAnsi="Times New Roman" w:cs="Times New Roman"/>
          <w:szCs w:val="24"/>
        </w:rPr>
        <w:fldChar w:fldCharType="begin"/>
      </w:r>
      <w:r>
        <w:rPr>
          <w:rFonts w:ascii="Times New Roman" w:hAnsi="Times New Roman" w:cs="Times New Roman"/>
          <w:szCs w:val="24"/>
        </w:rPr>
        <w:instrText xml:space="preserve"> REF _Ref153815156 \h </w:instrTex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  <w:fldChar w:fldCharType="separate"/>
      </w:r>
      <w:r>
        <w:t>Figure A</w:t>
      </w:r>
      <w:r>
        <w:rPr>
          <w:noProof/>
        </w:rPr>
        <w:t>1</w:t>
      </w:r>
      <w:r>
        <w:rPr>
          <w:rFonts w:ascii="Times New Roman" w:hAnsi="Times New Roman" w:cs="Times New Roman"/>
          <w:szCs w:val="24"/>
        </w:rPr>
        <w:fldChar w:fldCharType="end"/>
      </w:r>
      <w:r>
        <w:rPr>
          <w:rFonts w:ascii="Times New Roman" w:hAnsi="Times New Roman" w:cs="Times New Roman"/>
          <w:szCs w:val="24"/>
        </w:rPr>
        <w:t xml:space="preserve">). A scaled-down version of the sub-sized specimen with a taper in the gage section was required to promote necking at the specimen center, corresponding to the location at which the temperature was controlled. However, the addition of a taper can result in an underestimation of uniform elongation and lead to higher stress measurements. To determine the influence of the taper, a numerical study was conducted to compare the </w:t>
      </w:r>
      <w:r w:rsidRPr="009514AE">
        <w:rPr>
          <w:rFonts w:ascii="Times New Roman" w:hAnsi="Times New Roman" w:cs="Times New Roman"/>
          <w:szCs w:val="24"/>
        </w:rPr>
        <w:t xml:space="preserve">yield strength, ultimate tensile strength, uniform, and total elongations </w:t>
      </w:r>
      <w:r>
        <w:rPr>
          <w:rFonts w:ascii="Times New Roman" w:hAnsi="Times New Roman" w:cs="Times New Roman"/>
          <w:szCs w:val="24"/>
        </w:rPr>
        <w:t xml:space="preserve">from the tapered tensile specimen </w:t>
      </w:r>
      <w:r w:rsidRPr="009514AE">
        <w:rPr>
          <w:rFonts w:ascii="Times New Roman" w:hAnsi="Times New Roman" w:cs="Times New Roman"/>
          <w:szCs w:val="24"/>
        </w:rPr>
        <w:t>against the baseline ASTM E8 sub-sized geometry</w:t>
      </w:r>
      <w:r>
        <w:rPr>
          <w:rFonts w:ascii="Times New Roman" w:hAnsi="Times New Roman" w:cs="Times New Roman"/>
          <w:szCs w:val="24"/>
        </w:rPr>
        <w:t>.</w:t>
      </w:r>
    </w:p>
    <w:p w14:paraId="0DDAB66D" w14:textId="77777777" w:rsidR="00D850CD" w:rsidRDefault="00D850CD" w:rsidP="00D850CD">
      <w:pPr>
        <w:keepNext/>
        <w:spacing w:after="120" w:line="360" w:lineRule="auto"/>
        <w:jc w:val="center"/>
      </w:pPr>
      <w:r w:rsidRPr="00863036">
        <w:rPr>
          <w:noProof/>
          <w:lang w:val="en-US" w:eastAsia="en-US"/>
        </w:rPr>
        <w:drawing>
          <wp:inline distT="0" distB="0" distL="0" distR="0" wp14:anchorId="79AD5D6E" wp14:editId="0AE632A9">
            <wp:extent cx="5401602" cy="2599805"/>
            <wp:effectExtent l="0" t="0" r="889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81" b="2025"/>
                    <a:stretch/>
                  </pic:blipFill>
                  <pic:spPr bwMode="auto">
                    <a:xfrm>
                      <a:off x="0" y="0"/>
                      <a:ext cx="5408079" cy="260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51FCF" w14:textId="77777777" w:rsidR="00D850CD" w:rsidRPr="00FE6E4C" w:rsidRDefault="00D850CD" w:rsidP="00D850CD">
      <w:pPr>
        <w:pStyle w:val="Caption"/>
        <w:rPr>
          <w:rFonts w:cstheme="majorBidi"/>
          <w:color w:val="000000"/>
          <w:szCs w:val="22"/>
        </w:rPr>
      </w:pPr>
      <w:bookmarkStart w:id="0" w:name="_Ref153815156"/>
      <w:r>
        <w:t>Figure A</w:t>
      </w:r>
      <w:r>
        <w:fldChar w:fldCharType="begin"/>
      </w:r>
      <w:r>
        <w:instrText xml:space="preserve"> SEQ Figure_A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bookmarkEnd w:id="0"/>
      <w:r w:rsidRPr="00C33338">
        <w:rPr>
          <w:szCs w:val="22"/>
        </w:rPr>
        <w:t>(a) Engineering stress</w:t>
      </w:r>
      <w:r>
        <w:rPr>
          <w:szCs w:val="22"/>
        </w:rPr>
        <w:t>-</w:t>
      </w:r>
      <w:r w:rsidRPr="00C33338">
        <w:rPr>
          <w:szCs w:val="22"/>
        </w:rPr>
        <w:t xml:space="preserve">strain curve of </w:t>
      </w:r>
      <w:r>
        <w:rPr>
          <w:szCs w:val="22"/>
        </w:rPr>
        <w:t xml:space="preserve">3G-980 steel subjected to </w:t>
      </w:r>
      <w:r w:rsidRPr="00C33338">
        <w:rPr>
          <w:szCs w:val="22"/>
        </w:rPr>
        <w:t xml:space="preserve">IC Q&amp;P </w:t>
      </w:r>
      <w:r>
        <w:rPr>
          <w:szCs w:val="22"/>
        </w:rPr>
        <w:t>heat treatment</w:t>
      </w:r>
      <w:r w:rsidRPr="00C33338">
        <w:rPr>
          <w:szCs w:val="22"/>
        </w:rPr>
        <w:t xml:space="preserve"> </w:t>
      </w:r>
      <w:r>
        <w:rPr>
          <w:szCs w:val="22"/>
        </w:rPr>
        <w:t xml:space="preserve">obtained </w:t>
      </w:r>
      <w:r w:rsidRPr="00C33338">
        <w:rPr>
          <w:szCs w:val="22"/>
        </w:rPr>
        <w:t xml:space="preserve">from </w:t>
      </w:r>
      <w:r>
        <w:rPr>
          <w:szCs w:val="22"/>
        </w:rPr>
        <w:t xml:space="preserve">sub-sized </w:t>
      </w:r>
      <w:r w:rsidRPr="00C33338">
        <w:rPr>
          <w:szCs w:val="22"/>
        </w:rPr>
        <w:t xml:space="preserve">ASTM </w:t>
      </w:r>
      <w:r>
        <w:rPr>
          <w:szCs w:val="22"/>
        </w:rPr>
        <w:t xml:space="preserve">E8 </w:t>
      </w:r>
      <w:r w:rsidRPr="00C33338">
        <w:rPr>
          <w:szCs w:val="22"/>
        </w:rPr>
        <w:t xml:space="preserve">and tapered tensile tests, and </w:t>
      </w:r>
      <w:r>
        <w:rPr>
          <w:szCs w:val="22"/>
        </w:rPr>
        <w:t>DIC strain contours showing localization in a representative repeat of</w:t>
      </w:r>
      <w:r w:rsidRPr="00C33338">
        <w:rPr>
          <w:szCs w:val="22"/>
        </w:rPr>
        <w:t xml:space="preserve"> (b) ASTM E8 and (c) tapered tensile </w:t>
      </w:r>
      <w:r>
        <w:rPr>
          <w:szCs w:val="22"/>
        </w:rPr>
        <w:t>specimens</w:t>
      </w:r>
      <w:r w:rsidRPr="00C33338">
        <w:rPr>
          <w:szCs w:val="22"/>
        </w:rPr>
        <w:t>.</w:t>
      </w:r>
    </w:p>
    <w:p w14:paraId="65F2021E" w14:textId="77777777" w:rsidR="00D850CD" w:rsidRPr="009514AE" w:rsidRDefault="00D850CD" w:rsidP="00D850CD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514AE">
        <w:rPr>
          <w:rFonts w:ascii="Times New Roman" w:hAnsi="Times New Roman" w:cs="Times New Roman"/>
          <w:szCs w:val="24"/>
        </w:rPr>
        <w:t xml:space="preserve">Finite-element </w:t>
      </w:r>
      <w:r>
        <w:rPr>
          <w:rFonts w:ascii="Times New Roman" w:hAnsi="Times New Roman" w:cs="Times New Roman"/>
          <w:szCs w:val="24"/>
        </w:rPr>
        <w:t xml:space="preserve">models using the full-scale geometries </w:t>
      </w:r>
      <w:r w:rsidRPr="009514AE">
        <w:rPr>
          <w:rFonts w:ascii="Times New Roman" w:hAnsi="Times New Roman" w:cs="Times New Roman"/>
          <w:szCs w:val="24"/>
        </w:rPr>
        <w:t>were created in LS</w:t>
      </w:r>
      <w:r>
        <w:rPr>
          <w:rFonts w:ascii="Times New Roman" w:hAnsi="Times New Roman" w:cs="Times New Roman"/>
          <w:szCs w:val="24"/>
        </w:rPr>
        <w:t>-</w:t>
      </w:r>
      <w:r w:rsidRPr="009514AE">
        <w:rPr>
          <w:rFonts w:ascii="Times New Roman" w:hAnsi="Times New Roman" w:cs="Times New Roman"/>
          <w:szCs w:val="24"/>
        </w:rPr>
        <w:t>D</w:t>
      </w:r>
      <w:r>
        <w:rPr>
          <w:rFonts w:ascii="Times New Roman" w:hAnsi="Times New Roman" w:cs="Times New Roman"/>
          <w:szCs w:val="24"/>
        </w:rPr>
        <w:t>YNA</w:t>
      </w:r>
      <w:r w:rsidRPr="009514AE">
        <w:rPr>
          <w:rFonts w:ascii="Times New Roman" w:hAnsi="Times New Roman" w:cs="Times New Roman"/>
          <w:szCs w:val="24"/>
        </w:rPr>
        <w:t xml:space="preserve"> for a </w:t>
      </w:r>
      <w:r>
        <w:rPr>
          <w:rFonts w:ascii="Times New Roman" w:hAnsi="Times New Roman" w:cs="Times New Roman"/>
          <w:szCs w:val="24"/>
        </w:rPr>
        <w:t xml:space="preserve">1.5 mm thick steel </w:t>
      </w:r>
      <w:r w:rsidRPr="009514AE">
        <w:rPr>
          <w:rFonts w:ascii="Times New Roman" w:hAnsi="Times New Roman" w:cs="Times New Roman"/>
          <w:szCs w:val="24"/>
        </w:rPr>
        <w:t>sheet</w:t>
      </w:r>
      <w:r>
        <w:rPr>
          <w:rFonts w:ascii="Times New Roman" w:hAnsi="Times New Roman" w:cs="Times New Roman"/>
        </w:rPr>
        <w:t xml:space="preserve">. The reader is referred to </w:t>
      </w:r>
      <w:r w:rsidRPr="003769EC">
        <w:rPr>
          <w:rFonts w:ascii="Times New Roman" w:hAnsi="Times New Roman" w:cs="Times New Roman"/>
        </w:rPr>
        <w:fldChar w:fldCharType="begin"/>
      </w:r>
      <w:r w:rsidRPr="003F5C7E">
        <w:rPr>
          <w:rFonts w:ascii="Times New Roman" w:hAnsi="Times New Roman" w:cs="Times New Roman"/>
        </w:rPr>
        <w:instrText xml:space="preserve"> REF _Ref125626631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3769EC">
        <w:rPr>
          <w:rFonts w:ascii="Times New Roman" w:hAnsi="Times New Roman" w:cs="Times New Roman"/>
        </w:rPr>
      </w:r>
      <w:r w:rsidRPr="003769EC">
        <w:rPr>
          <w:rFonts w:ascii="Times New Roman" w:hAnsi="Times New Roman" w:cs="Times New Roman"/>
        </w:rPr>
        <w:fldChar w:fldCharType="separate"/>
      </w:r>
      <w:r w:rsidRPr="003769EC">
        <w:t xml:space="preserve">Figure </w:t>
      </w:r>
      <w:r w:rsidRPr="003769EC">
        <w:rPr>
          <w:noProof/>
        </w:rPr>
        <w:t>1</w:t>
      </w:r>
      <w:r w:rsidRPr="003769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(a)</w:t>
      </w:r>
      <w:r w:rsidRPr="003769EC">
        <w:rPr>
          <w:rFonts w:ascii="Times New Roman" w:hAnsi="Times New Roman" w:cs="Times New Roman"/>
        </w:rPr>
        <w:t xml:space="preserve"> and </w:t>
      </w:r>
      <w:r w:rsidRPr="003769EC">
        <w:rPr>
          <w:rFonts w:ascii="Times New Roman" w:hAnsi="Times New Roman" w:cs="Times New Roman"/>
        </w:rPr>
        <w:fldChar w:fldCharType="begin"/>
      </w:r>
      <w:r w:rsidRPr="003F5C7E">
        <w:rPr>
          <w:rFonts w:ascii="Times New Roman" w:hAnsi="Times New Roman" w:cs="Times New Roman"/>
        </w:rPr>
        <w:instrText xml:space="preserve"> REF _Ref151320930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3769EC">
        <w:rPr>
          <w:rFonts w:ascii="Times New Roman" w:hAnsi="Times New Roman" w:cs="Times New Roman"/>
        </w:rPr>
      </w:r>
      <w:r w:rsidRPr="003769EC">
        <w:rPr>
          <w:rFonts w:ascii="Times New Roman" w:hAnsi="Times New Roman" w:cs="Times New Roman"/>
        </w:rPr>
        <w:fldChar w:fldCharType="separate"/>
      </w:r>
      <w:r w:rsidRPr="003769EC">
        <w:t xml:space="preserve">Figure </w:t>
      </w:r>
      <w:r w:rsidRPr="003769EC">
        <w:rPr>
          <w:noProof/>
        </w:rPr>
        <w:t>6</w:t>
      </w:r>
      <w:r w:rsidRPr="003769EC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(a) for dimensions of the tensile specimens</w:t>
      </w:r>
      <w:r>
        <w:rPr>
          <w:rFonts w:ascii="Times New Roman" w:hAnsi="Times New Roman" w:cs="Times New Roman"/>
          <w:szCs w:val="24"/>
        </w:rPr>
        <w:t xml:space="preserve">. </w:t>
      </w:r>
      <w:r w:rsidRPr="009514AE">
        <w:rPr>
          <w:rFonts w:ascii="Times New Roman" w:hAnsi="Times New Roman" w:cs="Times New Roman"/>
          <w:szCs w:val="24"/>
        </w:rPr>
        <w:t xml:space="preserve">The gauge region was meshed using hexahedral elements </w:t>
      </w:r>
      <w:r>
        <w:rPr>
          <w:rFonts w:ascii="Times New Roman" w:hAnsi="Times New Roman" w:cs="Times New Roman"/>
          <w:szCs w:val="24"/>
        </w:rPr>
        <w:t>having</w:t>
      </w:r>
      <w:r w:rsidRPr="009514AE">
        <w:rPr>
          <w:rFonts w:ascii="Times New Roman" w:hAnsi="Times New Roman" w:cs="Times New Roman"/>
          <w:szCs w:val="24"/>
        </w:rPr>
        <w:t xml:space="preserve"> a size of 0.1 x 0.1 x 0.1 mm</w:t>
      </w:r>
      <w:r w:rsidRPr="009514AE">
        <w:rPr>
          <w:rFonts w:ascii="Times New Roman" w:hAnsi="Times New Roman" w:cs="Times New Roman"/>
          <w:szCs w:val="24"/>
          <w:vertAlign w:val="superscript"/>
        </w:rPr>
        <w:t>3</w:t>
      </w:r>
      <w:r w:rsidRPr="009514AE">
        <w:rPr>
          <w:rFonts w:ascii="Times New Roman" w:hAnsi="Times New Roman" w:cs="Times New Roman"/>
          <w:szCs w:val="24"/>
        </w:rPr>
        <w:t>. A fully integrated selectively</w:t>
      </w:r>
      <w:r>
        <w:rPr>
          <w:rFonts w:ascii="Times New Roman" w:hAnsi="Times New Roman" w:cs="Times New Roman"/>
          <w:szCs w:val="24"/>
        </w:rPr>
        <w:t xml:space="preserve"> </w:t>
      </w:r>
      <w:r w:rsidRPr="009514AE">
        <w:rPr>
          <w:rFonts w:ascii="Times New Roman" w:hAnsi="Times New Roman" w:cs="Times New Roman"/>
          <w:szCs w:val="24"/>
        </w:rPr>
        <w:t>reduced element formulation was used (element type</w:t>
      </w:r>
      <w:r>
        <w:rPr>
          <w:rFonts w:ascii="Times New Roman" w:hAnsi="Times New Roman" w:cs="Times New Roman"/>
          <w:szCs w:val="24"/>
        </w:rPr>
        <w:t xml:space="preserve"> </w:t>
      </w:r>
      <w:r w:rsidRPr="009514AE">
        <w:rPr>
          <w:rFonts w:ascii="Times New Roman" w:hAnsi="Times New Roman" w:cs="Times New Roman"/>
          <w:szCs w:val="24"/>
        </w:rPr>
        <w:t>-1 in LS-DYNA) with hourglass control using the formulation of Puso</w:t>
      </w:r>
      <w:r>
        <w:rPr>
          <w:rFonts w:ascii="Times New Roman" w:hAnsi="Times New Roman" w:cs="Times New Roman"/>
          <w:szCs w:val="24"/>
        </w:rPr>
        <w:t xml:space="preserve"> [44]</w:t>
      </w:r>
      <w:r w:rsidRPr="009514AE">
        <w:rPr>
          <w:rFonts w:ascii="Times New Roman" w:hAnsi="Times New Roman" w:cs="Times New Roman"/>
          <w:szCs w:val="24"/>
        </w:rPr>
        <w:t xml:space="preserve"> and a coefficient of 0.10. Finally, a velocity was prescribed to the nodes </w:t>
      </w:r>
      <w:r w:rsidRPr="009514AE">
        <w:rPr>
          <w:rFonts w:ascii="Times New Roman" w:hAnsi="Times New Roman" w:cs="Times New Roman"/>
          <w:szCs w:val="24"/>
        </w:rPr>
        <w:lastRenderedPageBreak/>
        <w:t>on one end of the grip section</w:t>
      </w:r>
      <w:r>
        <w:rPr>
          <w:rFonts w:ascii="Times New Roman" w:hAnsi="Times New Roman" w:cs="Times New Roman"/>
          <w:szCs w:val="24"/>
        </w:rPr>
        <w:t>,</w:t>
      </w:r>
      <w:r w:rsidRPr="009514AE">
        <w:rPr>
          <w:rFonts w:ascii="Times New Roman" w:hAnsi="Times New Roman" w:cs="Times New Roman"/>
          <w:szCs w:val="24"/>
        </w:rPr>
        <w:t xml:space="preserve"> while the opposite end was kept fixed</w:t>
      </w:r>
      <w:r>
        <w:rPr>
          <w:rFonts w:ascii="Times New Roman" w:hAnsi="Times New Roman" w:cs="Times New Roman"/>
          <w:szCs w:val="24"/>
        </w:rPr>
        <w:t>, to impose</w:t>
      </w:r>
      <w:r w:rsidRPr="009514AE">
        <w:rPr>
          <w:rFonts w:ascii="Times New Roman" w:hAnsi="Times New Roman" w:cs="Times New Roman"/>
          <w:szCs w:val="24"/>
        </w:rPr>
        <w:t xml:space="preserve"> a strain rate of 0.001 s</w:t>
      </w:r>
      <w:r w:rsidRPr="009514AE">
        <w:rPr>
          <w:rFonts w:ascii="Times New Roman" w:hAnsi="Times New Roman" w:cs="Times New Roman"/>
          <w:szCs w:val="24"/>
          <w:vertAlign w:val="superscript"/>
        </w:rPr>
        <w:t>-1</w:t>
      </w:r>
      <w:r>
        <w:rPr>
          <w:rFonts w:ascii="Times New Roman" w:hAnsi="Times New Roman" w:cs="Times New Roman"/>
          <w:szCs w:val="24"/>
        </w:rPr>
        <w:t>, thereby</w:t>
      </w:r>
      <w:r w:rsidRPr="009514AE">
        <w:rPr>
          <w:rFonts w:ascii="Times New Roman" w:hAnsi="Times New Roman" w:cs="Times New Roman"/>
          <w:szCs w:val="24"/>
        </w:rPr>
        <w:t xml:space="preserve"> mimic</w:t>
      </w:r>
      <w:r>
        <w:rPr>
          <w:rFonts w:ascii="Times New Roman" w:hAnsi="Times New Roman" w:cs="Times New Roman"/>
          <w:szCs w:val="24"/>
        </w:rPr>
        <w:t>king</w:t>
      </w:r>
      <w:r w:rsidRPr="009514AE">
        <w:rPr>
          <w:rFonts w:ascii="Times New Roman" w:hAnsi="Times New Roman" w:cs="Times New Roman"/>
          <w:szCs w:val="24"/>
        </w:rPr>
        <w:t xml:space="preserve"> the experimental conditions. </w:t>
      </w:r>
    </w:p>
    <w:p w14:paraId="10482267" w14:textId="77777777" w:rsidR="00D850CD" w:rsidRPr="009514AE" w:rsidRDefault="00D850CD" w:rsidP="00D850CD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The material was modelling using a</w:t>
      </w:r>
      <w:r w:rsidRPr="009514AE">
        <w:rPr>
          <w:rFonts w:ascii="Times New Roman" w:hAnsi="Times New Roman" w:cs="Times New Roman"/>
          <w:szCs w:val="24"/>
        </w:rPr>
        <w:t xml:space="preserve"> Mises yield </w:t>
      </w:r>
      <w:r>
        <w:rPr>
          <w:rFonts w:ascii="Times New Roman" w:hAnsi="Times New Roman" w:cs="Times New Roman"/>
          <w:szCs w:val="24"/>
        </w:rPr>
        <w:t>assumption, along with S</w:t>
      </w:r>
      <w:r w:rsidRPr="009514AE">
        <w:rPr>
          <w:rFonts w:ascii="Times New Roman" w:hAnsi="Times New Roman" w:cs="Times New Roman"/>
          <w:szCs w:val="24"/>
        </w:rPr>
        <w:t>wift</w:t>
      </w:r>
      <w:r>
        <w:rPr>
          <w:rFonts w:ascii="Times New Roman" w:hAnsi="Times New Roman" w:cs="Times New Roman"/>
          <w:szCs w:val="24"/>
        </w:rPr>
        <w:t>’s</w:t>
      </w:r>
      <w:r w:rsidRPr="009514AE">
        <w:rPr>
          <w:rFonts w:ascii="Times New Roman" w:hAnsi="Times New Roman" w:cs="Times New Roman"/>
          <w:szCs w:val="24"/>
        </w:rPr>
        <w:t xml:space="preserve"> power-law hardening</w:t>
      </w:r>
      <w:r>
        <w:rPr>
          <w:rFonts w:ascii="Times New Roman" w:hAnsi="Times New Roman" w:cs="Times New Roman"/>
          <w:szCs w:val="24"/>
        </w:rPr>
        <w:t>, given by</w:t>
      </w:r>
    </w:p>
    <w:p w14:paraId="3A5C734E" w14:textId="77777777" w:rsidR="00D850CD" w:rsidRDefault="00D850CD" w:rsidP="00D850C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D00E2">
        <w:rPr>
          <w:rFonts w:ascii="Times New Roman" w:hAnsi="Times New Roman" w:cs="Times New Roman"/>
          <w:position w:val="-10"/>
          <w:sz w:val="24"/>
          <w:szCs w:val="24"/>
        </w:rPr>
        <w:object w:dxaOrig="1780" w:dyaOrig="340" w14:anchorId="3E06B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3pt;height:16.3pt" o:ole="">
            <v:imagedata r:id="rId5" o:title=""/>
          </v:shape>
          <o:OLEObject Type="Embed" ProgID="Equation.DSMT4" ShapeID="_x0000_i1025" DrawAspect="Content" ObjectID="_1774462799" r:id="rId6"/>
        </w:object>
      </w:r>
      <w:r>
        <w:rPr>
          <w:rFonts w:ascii="Times New Roman" w:hAnsi="Times New Roman" w:cs="Times New Roman"/>
          <w:sz w:val="24"/>
          <w:szCs w:val="24"/>
        </w:rPr>
        <w:t xml:space="preserve"> ,                                                           </w:t>
      </w:r>
      <w:r w:rsidRPr="009514AE">
        <w:rPr>
          <w:rFonts w:ascii="Times New Roman" w:hAnsi="Times New Roman" w:cs="Times New Roman"/>
          <w:szCs w:val="24"/>
        </w:rPr>
        <w:t>(A1)</w:t>
      </w:r>
    </w:p>
    <w:p w14:paraId="07C03F6C" w14:textId="77777777" w:rsidR="00D850CD" w:rsidRPr="00790368" w:rsidRDefault="00D850CD" w:rsidP="00D850CD">
      <w:pPr>
        <w:spacing w:line="360" w:lineRule="auto"/>
        <w:jc w:val="both"/>
      </w:pPr>
      <w:r w:rsidRPr="009514AE">
        <w:rPr>
          <w:rFonts w:ascii="Times New Roman" w:hAnsi="Times New Roman" w:cs="Times New Roman"/>
          <w:szCs w:val="24"/>
        </w:rPr>
        <w:t xml:space="preserve">where </w:t>
      </w:r>
      <w:r w:rsidRPr="009514AE">
        <w:rPr>
          <w:rFonts w:ascii="Times New Roman" w:hAnsi="Times New Roman" w:cs="Times New Roman"/>
          <w:i/>
          <w:szCs w:val="24"/>
        </w:rPr>
        <w:t>K</w:t>
      </w:r>
      <w:r w:rsidRPr="009514AE">
        <w:rPr>
          <w:rFonts w:ascii="Times New Roman" w:hAnsi="Times New Roman" w:cs="Times New Roman"/>
          <w:szCs w:val="24"/>
        </w:rPr>
        <w:t xml:space="preserve"> and </w:t>
      </w:r>
      <w:r w:rsidRPr="009514AE">
        <w:rPr>
          <w:rFonts w:ascii="Times New Roman" w:hAnsi="Times New Roman" w:cs="Times New Roman"/>
          <w:i/>
          <w:szCs w:val="24"/>
        </w:rPr>
        <w:t>n</w:t>
      </w:r>
      <w:r w:rsidRPr="009514AE">
        <w:rPr>
          <w:rFonts w:ascii="Times New Roman" w:hAnsi="Times New Roman" w:cs="Times New Roman"/>
          <w:szCs w:val="24"/>
        </w:rPr>
        <w:t xml:space="preserve"> are the coefficients of the hardening model, and </w:t>
      </w:r>
      <w:r w:rsidRPr="009514AE">
        <w:rPr>
          <w:rFonts w:ascii="Times New Roman" w:hAnsi="Times New Roman" w:cs="Times New Roman"/>
          <w:i/>
          <w:szCs w:val="24"/>
        </w:rPr>
        <w:t>ε</w:t>
      </w:r>
      <w:r w:rsidRPr="009514AE">
        <w:rPr>
          <w:rFonts w:ascii="Times New Roman" w:hAnsi="Times New Roman" w:cs="Times New Roman"/>
          <w:i/>
          <w:szCs w:val="24"/>
          <w:vertAlign w:val="superscript"/>
        </w:rPr>
        <w:t>p</w:t>
      </w:r>
      <w:r w:rsidRPr="009514AE">
        <w:rPr>
          <w:rFonts w:ascii="Times New Roman" w:hAnsi="Times New Roman" w:cs="Times New Roman"/>
          <w:szCs w:val="24"/>
        </w:rPr>
        <w:t xml:space="preserve"> is the equivalent plastic strain. Three different combinations of the coefficients </w:t>
      </w:r>
      <w:r w:rsidRPr="009514AE">
        <w:rPr>
          <w:rFonts w:ascii="Times New Roman" w:hAnsi="Times New Roman" w:cs="Times New Roman"/>
          <w:i/>
          <w:szCs w:val="24"/>
        </w:rPr>
        <w:t>K</w:t>
      </w:r>
      <w:r w:rsidRPr="009514AE">
        <w:rPr>
          <w:rFonts w:ascii="Times New Roman" w:hAnsi="Times New Roman" w:cs="Times New Roman"/>
          <w:szCs w:val="24"/>
        </w:rPr>
        <w:t xml:space="preserve"> and </w:t>
      </w:r>
      <w:r w:rsidRPr="009514AE">
        <w:rPr>
          <w:rFonts w:ascii="Times New Roman" w:hAnsi="Times New Roman" w:cs="Times New Roman"/>
          <w:i/>
          <w:szCs w:val="24"/>
        </w:rPr>
        <w:t>n</w:t>
      </w:r>
      <w:r w:rsidRPr="009514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(given in Table A.1) </w:t>
      </w:r>
      <w:r w:rsidRPr="009514AE">
        <w:rPr>
          <w:rFonts w:ascii="Times New Roman" w:hAnsi="Times New Roman" w:cs="Times New Roman"/>
          <w:szCs w:val="24"/>
        </w:rPr>
        <w:t>were chosen</w:t>
      </w:r>
      <w:r>
        <w:rPr>
          <w:rFonts w:ascii="Times New Roman" w:hAnsi="Times New Roman" w:cs="Times New Roman"/>
          <w:szCs w:val="24"/>
        </w:rPr>
        <w:t xml:space="preserve"> since the Gleeble processing of the 3G-980 steel can produce a range of microstructures with varying properties. </w:t>
      </w:r>
      <w:r w:rsidRPr="009514AE">
        <w:rPr>
          <w:rFonts w:ascii="Times New Roman" w:hAnsi="Times New Roman" w:cs="Times New Roman"/>
          <w:szCs w:val="24"/>
        </w:rPr>
        <w:t xml:space="preserve"> </w:t>
      </w:r>
    </w:p>
    <w:p w14:paraId="754DBBAB" w14:textId="77777777" w:rsidR="00D850CD" w:rsidRDefault="00D850CD" w:rsidP="00D850CD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514AE">
        <w:rPr>
          <w:rFonts w:ascii="Times New Roman" w:hAnsi="Times New Roman" w:cs="Times New Roman"/>
          <w:szCs w:val="24"/>
        </w:rPr>
        <w:t xml:space="preserve">The engineering stress-strain response </w:t>
      </w:r>
      <w:r>
        <w:rPr>
          <w:rFonts w:ascii="Times New Roman" w:hAnsi="Times New Roman" w:cs="Times New Roman"/>
          <w:szCs w:val="24"/>
        </w:rPr>
        <w:t>from the simulations conducted using the two geometries</w:t>
      </w:r>
      <w:r w:rsidRPr="009514AE">
        <w:rPr>
          <w:rFonts w:ascii="Times New Roman" w:hAnsi="Times New Roman" w:cs="Times New Roman"/>
          <w:szCs w:val="24"/>
        </w:rPr>
        <w:t xml:space="preserve"> are depicted in</w:t>
      </w:r>
      <w:r>
        <w:rPr>
          <w:rFonts w:ascii="Times New Roman" w:hAnsi="Times New Roman" w:cs="Times New Roman"/>
          <w:szCs w:val="24"/>
        </w:rPr>
        <w:t xml:space="preserve"> </w:t>
      </w:r>
      <w:r w:rsidRPr="008F4B48">
        <w:rPr>
          <w:rFonts w:ascii="Times New Roman" w:hAnsi="Times New Roman" w:cs="Times New Roman"/>
        </w:rPr>
        <w:fldChar w:fldCharType="begin"/>
      </w:r>
      <w:r w:rsidRPr="003F5C7E">
        <w:rPr>
          <w:rFonts w:ascii="Times New Roman" w:hAnsi="Times New Roman" w:cs="Times New Roman"/>
        </w:rPr>
        <w:instrText xml:space="preserve"> REF _Ref128545553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8F4B48">
        <w:rPr>
          <w:rFonts w:ascii="Times New Roman" w:hAnsi="Times New Roman" w:cs="Times New Roman"/>
        </w:rPr>
      </w:r>
      <w:r w:rsidRPr="008F4B48">
        <w:rPr>
          <w:rFonts w:ascii="Times New Roman" w:hAnsi="Times New Roman" w:cs="Times New Roman"/>
        </w:rPr>
        <w:fldChar w:fldCharType="separate"/>
      </w:r>
      <w:r w:rsidRPr="00FE6E4C">
        <w:rPr>
          <w:rFonts w:ascii="Times New Roman" w:hAnsi="Times New Roman" w:cs="Times New Roman"/>
        </w:rPr>
        <w:t>Figure A</w:t>
      </w:r>
      <w:r w:rsidRPr="00FE6E4C">
        <w:rPr>
          <w:rFonts w:ascii="Times New Roman" w:hAnsi="Times New Roman" w:cs="Times New Roman"/>
          <w:noProof/>
        </w:rPr>
        <w:t>2</w:t>
      </w:r>
      <w:r w:rsidRPr="008F4B48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9514AE">
        <w:rPr>
          <w:rFonts w:ascii="Times New Roman" w:hAnsi="Times New Roman" w:cs="Times New Roman"/>
          <w:szCs w:val="24"/>
        </w:rPr>
        <w:t>fo</w:t>
      </w:r>
      <w:r>
        <w:rPr>
          <w:rFonts w:ascii="Times New Roman" w:hAnsi="Times New Roman" w:cs="Times New Roman"/>
          <w:szCs w:val="24"/>
        </w:rPr>
        <w:t>r the three hardening exponents</w:t>
      </w:r>
      <w:r w:rsidRPr="009514AE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An</w:t>
      </w:r>
      <w:r w:rsidRPr="009514AE">
        <w:rPr>
          <w:rFonts w:ascii="Times New Roman" w:hAnsi="Times New Roman" w:cs="Times New Roman"/>
          <w:szCs w:val="24"/>
        </w:rPr>
        <w:t xml:space="preserve"> extensometer length </w:t>
      </w:r>
      <w:r>
        <w:rPr>
          <w:rFonts w:ascii="Times New Roman" w:hAnsi="Times New Roman" w:cs="Times New Roman"/>
          <w:szCs w:val="24"/>
        </w:rPr>
        <w:t xml:space="preserve">of 9.0 mm </w:t>
      </w:r>
      <w:r w:rsidRPr="009514AE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>as</w:t>
      </w:r>
      <w:r w:rsidRPr="009514AE">
        <w:rPr>
          <w:rFonts w:ascii="Times New Roman" w:hAnsi="Times New Roman" w:cs="Times New Roman"/>
          <w:szCs w:val="24"/>
        </w:rPr>
        <w:t xml:space="preserve"> chosen for the </w:t>
      </w:r>
      <w:r>
        <w:rPr>
          <w:rFonts w:ascii="Times New Roman" w:hAnsi="Times New Roman" w:cs="Times New Roman"/>
          <w:szCs w:val="24"/>
        </w:rPr>
        <w:t>tapered tensile</w:t>
      </w:r>
      <w:r w:rsidRPr="009514AE">
        <w:rPr>
          <w:rFonts w:ascii="Times New Roman" w:hAnsi="Times New Roman" w:cs="Times New Roman"/>
          <w:szCs w:val="24"/>
        </w:rPr>
        <w:t xml:space="preserve"> specimen to approximately match the total elongation </w:t>
      </w:r>
      <w:r>
        <w:rPr>
          <w:rFonts w:ascii="Times New Roman" w:hAnsi="Times New Roman" w:cs="Times New Roman"/>
          <w:szCs w:val="24"/>
        </w:rPr>
        <w:t>from</w:t>
      </w:r>
      <w:r w:rsidRPr="009514AE">
        <w:rPr>
          <w:rFonts w:ascii="Times New Roman" w:hAnsi="Times New Roman" w:cs="Times New Roman"/>
          <w:szCs w:val="24"/>
        </w:rPr>
        <w:t xml:space="preserve"> the </w:t>
      </w:r>
      <w:r>
        <w:rPr>
          <w:rFonts w:ascii="Times New Roman" w:hAnsi="Times New Roman" w:cs="Times New Roman"/>
          <w:szCs w:val="24"/>
        </w:rPr>
        <w:t xml:space="preserve">sub-sized </w:t>
      </w:r>
      <w:r w:rsidRPr="009514AE">
        <w:rPr>
          <w:rFonts w:ascii="Times New Roman" w:hAnsi="Times New Roman" w:cs="Times New Roman"/>
          <w:szCs w:val="24"/>
        </w:rPr>
        <w:t xml:space="preserve">ASTM </w:t>
      </w:r>
      <w:r>
        <w:rPr>
          <w:rFonts w:ascii="Times New Roman" w:hAnsi="Times New Roman" w:cs="Times New Roman"/>
          <w:szCs w:val="24"/>
        </w:rPr>
        <w:t xml:space="preserve">E8 </w:t>
      </w:r>
      <w:r w:rsidRPr="009514AE">
        <w:rPr>
          <w:rFonts w:ascii="Times New Roman" w:hAnsi="Times New Roman" w:cs="Times New Roman"/>
          <w:szCs w:val="24"/>
        </w:rPr>
        <w:t>coupon</w:t>
      </w:r>
      <w:r>
        <w:rPr>
          <w:rFonts w:ascii="Times New Roman" w:hAnsi="Times New Roman" w:cs="Times New Roman"/>
          <w:szCs w:val="24"/>
        </w:rPr>
        <w:t>,</w:t>
      </w:r>
      <w:r w:rsidRPr="009514AE">
        <w:rPr>
          <w:rFonts w:ascii="Times New Roman" w:hAnsi="Times New Roman" w:cs="Times New Roman"/>
          <w:szCs w:val="24"/>
        </w:rPr>
        <w:t xml:space="preserve"> which uses an extensometer length of 25.0 mm. </w:t>
      </w:r>
      <w:r>
        <w:rPr>
          <w:rFonts w:ascii="Times New Roman" w:hAnsi="Times New Roman" w:cs="Times New Roman"/>
          <w:szCs w:val="24"/>
        </w:rPr>
        <w:t xml:space="preserve">Since no fracture criterion was included in the models, the simulations were terminated after a force reduction of 10% after the peak load is reached. Overall, the tapered tensile geometry was able to </w:t>
      </w:r>
      <w:r w:rsidRPr="009514AE">
        <w:rPr>
          <w:rFonts w:ascii="Times New Roman" w:hAnsi="Times New Roman" w:cs="Times New Roman"/>
          <w:szCs w:val="24"/>
        </w:rPr>
        <w:t xml:space="preserve">replicate the </w:t>
      </w:r>
      <w:r>
        <w:rPr>
          <w:rFonts w:ascii="Times New Roman" w:hAnsi="Times New Roman" w:cs="Times New Roman"/>
          <w:szCs w:val="24"/>
        </w:rPr>
        <w:t>engineering</w:t>
      </w:r>
      <w:r w:rsidRPr="009514AE">
        <w:rPr>
          <w:rFonts w:ascii="Times New Roman" w:hAnsi="Times New Roman" w:cs="Times New Roman"/>
          <w:szCs w:val="24"/>
        </w:rPr>
        <w:t xml:space="preserve"> stress response of the ASTM</w:t>
      </w:r>
      <w:r>
        <w:rPr>
          <w:rFonts w:ascii="Times New Roman" w:hAnsi="Times New Roman" w:cs="Times New Roman"/>
          <w:szCs w:val="24"/>
        </w:rPr>
        <w:t xml:space="preserve"> E8</w:t>
      </w:r>
      <w:r w:rsidRPr="009514AE">
        <w:rPr>
          <w:rFonts w:ascii="Times New Roman" w:hAnsi="Times New Roman" w:cs="Times New Roman"/>
          <w:szCs w:val="24"/>
        </w:rPr>
        <w:t xml:space="preserve"> specimen</w:t>
      </w:r>
      <w:r>
        <w:rPr>
          <w:rFonts w:ascii="Times New Roman" w:hAnsi="Times New Roman" w:cs="Times New Roman"/>
          <w:szCs w:val="24"/>
        </w:rPr>
        <w:t xml:space="preserve"> reasonably well</w:t>
      </w:r>
      <w:r w:rsidRPr="009514AE">
        <w:rPr>
          <w:rFonts w:ascii="Times New Roman" w:hAnsi="Times New Roman" w:cs="Times New Roman"/>
          <w:szCs w:val="24"/>
        </w:rPr>
        <w:t xml:space="preserve">. Differences can be observed after the </w:t>
      </w:r>
      <w:r>
        <w:rPr>
          <w:rFonts w:ascii="Times New Roman" w:hAnsi="Times New Roman" w:cs="Times New Roman"/>
          <w:szCs w:val="24"/>
        </w:rPr>
        <w:t>UTS</w:t>
      </w:r>
      <w:r w:rsidRPr="009514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that</w:t>
      </w:r>
      <w:r w:rsidRPr="009514AE">
        <w:rPr>
          <w:rFonts w:ascii="Times New Roman" w:hAnsi="Times New Roman" w:cs="Times New Roman"/>
          <w:szCs w:val="24"/>
        </w:rPr>
        <w:t xml:space="preserve"> is attributed to different cross-sectional aspect ratios that may influence the rate of localization and the necking mode. </w:t>
      </w:r>
    </w:p>
    <w:p w14:paraId="42257A1E" w14:textId="77777777" w:rsidR="00D850CD" w:rsidRDefault="00D850CD" w:rsidP="00D850CD">
      <w:pPr>
        <w:keepNext/>
        <w:spacing w:after="120" w:line="360" w:lineRule="auto"/>
        <w:jc w:val="center"/>
      </w:pPr>
      <w:r w:rsidRPr="0099051F">
        <w:rPr>
          <w:noProof/>
          <w:lang w:val="en-US" w:eastAsia="en-US"/>
        </w:rPr>
        <w:lastRenderedPageBreak/>
        <w:drawing>
          <wp:inline distT="0" distB="0" distL="0" distR="0" wp14:anchorId="3C322DE0" wp14:editId="6C16B1DB">
            <wp:extent cx="4719955" cy="4085112"/>
            <wp:effectExtent l="0" t="0" r="4445" b="0"/>
            <wp:docPr id="693055492" name="Picture 693055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579" b="19886"/>
                    <a:stretch/>
                  </pic:blipFill>
                  <pic:spPr bwMode="auto">
                    <a:xfrm>
                      <a:off x="0" y="0"/>
                      <a:ext cx="4720474" cy="4085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CAB96D" w14:textId="77777777" w:rsidR="00D850CD" w:rsidRPr="00FE6E4C" w:rsidRDefault="00D850CD" w:rsidP="00D850CD">
      <w:pPr>
        <w:pStyle w:val="Caption"/>
        <w:rPr>
          <w:rFonts w:ascii="Times New Roman" w:hAnsi="Times New Roman" w:cs="Times New Roman"/>
          <w:sz w:val="20"/>
          <w:szCs w:val="20"/>
        </w:rPr>
      </w:pPr>
      <w:r w:rsidRPr="00FE6E4C">
        <w:rPr>
          <w:sz w:val="20"/>
          <w:szCs w:val="20"/>
        </w:rPr>
        <w:t>Figure A</w:t>
      </w:r>
      <w:r w:rsidRPr="00FE6E4C">
        <w:rPr>
          <w:sz w:val="20"/>
          <w:szCs w:val="20"/>
        </w:rPr>
        <w:fldChar w:fldCharType="begin"/>
      </w:r>
      <w:r w:rsidRPr="00FE6E4C">
        <w:rPr>
          <w:sz w:val="20"/>
          <w:szCs w:val="20"/>
        </w:rPr>
        <w:instrText xml:space="preserve"> SEQ Figure_A \* ARABIC </w:instrText>
      </w:r>
      <w:r w:rsidRPr="00FE6E4C">
        <w:rPr>
          <w:sz w:val="20"/>
          <w:szCs w:val="20"/>
        </w:rPr>
        <w:fldChar w:fldCharType="separate"/>
      </w:r>
      <w:r w:rsidRPr="00FE6E4C">
        <w:rPr>
          <w:noProof/>
          <w:sz w:val="20"/>
          <w:szCs w:val="20"/>
        </w:rPr>
        <w:t>2</w:t>
      </w:r>
      <w:r w:rsidRPr="00FE6E4C">
        <w:rPr>
          <w:sz w:val="20"/>
          <w:szCs w:val="20"/>
        </w:rPr>
        <w:fldChar w:fldCharType="end"/>
      </w:r>
      <w:r w:rsidRPr="00FE6E4C">
        <w:rPr>
          <w:sz w:val="20"/>
          <w:szCs w:val="20"/>
        </w:rPr>
        <w:t xml:space="preserve"> </w:t>
      </w:r>
      <w:r w:rsidRPr="00FE6E4C">
        <w:rPr>
          <w:rFonts w:ascii="Times New Roman" w:hAnsi="Times New Roman" w:cs="Times New Roman"/>
          <w:color w:val="auto"/>
          <w:sz w:val="20"/>
          <w:szCs w:val="20"/>
        </w:rPr>
        <w:t xml:space="preserve">Predicted engineering stress-strain response from </w:t>
      </w:r>
      <w:r>
        <w:rPr>
          <w:rFonts w:ascii="Times New Roman" w:hAnsi="Times New Roman" w:cs="Times New Roman"/>
          <w:color w:val="auto"/>
          <w:sz w:val="20"/>
          <w:szCs w:val="20"/>
        </w:rPr>
        <w:t>sub-sized ASTM E8 and tapered tensile simulations</w:t>
      </w:r>
      <w:r w:rsidRPr="00FE6E4C">
        <w:rPr>
          <w:rFonts w:ascii="Times New Roman" w:hAnsi="Times New Roman" w:cs="Times New Roman"/>
          <w:color w:val="auto"/>
          <w:sz w:val="20"/>
          <w:szCs w:val="20"/>
        </w:rPr>
        <w:t xml:space="preserve"> for (a) n=0.05, (b) n=0.15, and (c) n=0.25</w:t>
      </w:r>
    </w:p>
    <w:p w14:paraId="26384CFC" w14:textId="77777777" w:rsidR="00D850CD" w:rsidRPr="009514AE" w:rsidRDefault="00D850CD" w:rsidP="00D850CD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 w:rsidRPr="009514AE">
        <w:rPr>
          <w:rFonts w:ascii="Times New Roman" w:hAnsi="Times New Roman" w:cs="Times New Roman"/>
          <w:szCs w:val="24"/>
        </w:rPr>
        <w:t xml:space="preserve">The tensile properties from the coupon simulations are summarized in </w:t>
      </w:r>
      <w:r w:rsidRPr="0001255E">
        <w:rPr>
          <w:rFonts w:ascii="Times New Roman" w:hAnsi="Times New Roman" w:cs="Times New Roman"/>
          <w:szCs w:val="24"/>
        </w:rPr>
        <w:fldChar w:fldCharType="begin"/>
      </w:r>
      <w:r w:rsidRPr="009514AE">
        <w:rPr>
          <w:rFonts w:ascii="Times New Roman" w:hAnsi="Times New Roman" w:cs="Times New Roman"/>
          <w:szCs w:val="24"/>
        </w:rPr>
        <w:instrText xml:space="preserve"> REF _Ref128558810 \h  \* MERGEFORMAT </w:instrText>
      </w:r>
      <w:r w:rsidRPr="0001255E">
        <w:rPr>
          <w:rFonts w:ascii="Times New Roman" w:hAnsi="Times New Roman" w:cs="Times New Roman"/>
          <w:szCs w:val="24"/>
        </w:rPr>
      </w:r>
      <w:r w:rsidRPr="0001255E">
        <w:rPr>
          <w:rFonts w:ascii="Times New Roman" w:hAnsi="Times New Roman" w:cs="Times New Roman"/>
          <w:szCs w:val="24"/>
        </w:rPr>
        <w:fldChar w:fldCharType="separate"/>
      </w:r>
      <w:r w:rsidRPr="00CF459E">
        <w:rPr>
          <w:rFonts w:ascii="Times New Roman" w:hAnsi="Times New Roman" w:cs="Times New Roman"/>
          <w:szCs w:val="24"/>
        </w:rPr>
        <w:t>Table A</w:t>
      </w:r>
      <w:r>
        <w:rPr>
          <w:rFonts w:ascii="Times New Roman" w:hAnsi="Times New Roman" w:cs="Times New Roman"/>
          <w:szCs w:val="24"/>
        </w:rPr>
        <w:t>.</w:t>
      </w:r>
      <w:r w:rsidRPr="00CF459E">
        <w:rPr>
          <w:rFonts w:ascii="Times New Roman" w:hAnsi="Times New Roman" w:cs="Times New Roman"/>
          <w:szCs w:val="24"/>
        </w:rPr>
        <w:t>1</w:t>
      </w:r>
      <w:r w:rsidRPr="0001255E">
        <w:rPr>
          <w:rFonts w:ascii="Times New Roman" w:hAnsi="Times New Roman" w:cs="Times New Roman"/>
          <w:szCs w:val="24"/>
        </w:rPr>
        <w:fldChar w:fldCharType="end"/>
      </w:r>
      <w:r w:rsidRPr="009514AE">
        <w:rPr>
          <w:rFonts w:ascii="Times New Roman" w:hAnsi="Times New Roman" w:cs="Times New Roman"/>
          <w:szCs w:val="24"/>
        </w:rPr>
        <w:t xml:space="preserve">. The YS and UTS predicted by the </w:t>
      </w:r>
      <w:r>
        <w:rPr>
          <w:rFonts w:ascii="Times New Roman" w:hAnsi="Times New Roman" w:cs="Times New Roman"/>
          <w:szCs w:val="24"/>
        </w:rPr>
        <w:t>tapered</w:t>
      </w:r>
      <w:r w:rsidRPr="009514AE">
        <w:rPr>
          <w:rFonts w:ascii="Times New Roman" w:hAnsi="Times New Roman" w:cs="Times New Roman"/>
          <w:szCs w:val="24"/>
        </w:rPr>
        <w:t xml:space="preserve"> tensile specimen </w:t>
      </w:r>
      <w:r>
        <w:rPr>
          <w:rFonts w:ascii="Times New Roman" w:hAnsi="Times New Roman" w:cs="Times New Roman"/>
          <w:szCs w:val="24"/>
        </w:rPr>
        <w:t>are</w:t>
      </w:r>
      <w:r w:rsidRPr="009514AE">
        <w:rPr>
          <w:rFonts w:ascii="Times New Roman" w:hAnsi="Times New Roman" w:cs="Times New Roman"/>
          <w:szCs w:val="24"/>
        </w:rPr>
        <w:t xml:space="preserve"> in excellent agreement with maximum d</w:t>
      </w:r>
      <w:r>
        <w:rPr>
          <w:rFonts w:ascii="Times New Roman" w:hAnsi="Times New Roman" w:cs="Times New Roman"/>
          <w:szCs w:val="24"/>
        </w:rPr>
        <w:t>eviation</w:t>
      </w:r>
      <w:r w:rsidRPr="009514AE">
        <w:rPr>
          <w:rFonts w:ascii="Times New Roman" w:hAnsi="Times New Roman" w:cs="Times New Roman"/>
          <w:szCs w:val="24"/>
        </w:rPr>
        <w:t xml:space="preserve"> of up to 0.</w:t>
      </w:r>
      <w:r>
        <w:rPr>
          <w:rFonts w:ascii="Times New Roman" w:hAnsi="Times New Roman" w:cs="Times New Roman"/>
          <w:szCs w:val="24"/>
        </w:rPr>
        <w:t>8</w:t>
      </w:r>
      <w:r w:rsidRPr="009514AE">
        <w:rPr>
          <w:rFonts w:ascii="Times New Roman" w:hAnsi="Times New Roman" w:cs="Times New Roman"/>
          <w:szCs w:val="24"/>
        </w:rPr>
        <w:t xml:space="preserve">%, relative to the ASTM </w:t>
      </w:r>
      <w:r>
        <w:rPr>
          <w:rFonts w:ascii="Times New Roman" w:hAnsi="Times New Roman" w:cs="Times New Roman"/>
          <w:szCs w:val="24"/>
        </w:rPr>
        <w:t xml:space="preserve">E8 </w:t>
      </w:r>
      <w:r w:rsidRPr="009514AE">
        <w:rPr>
          <w:rFonts w:ascii="Times New Roman" w:hAnsi="Times New Roman" w:cs="Times New Roman"/>
          <w:szCs w:val="24"/>
        </w:rPr>
        <w:t xml:space="preserve">specimen. The uniform </w:t>
      </w:r>
      <w:r>
        <w:rPr>
          <w:rFonts w:ascii="Times New Roman" w:hAnsi="Times New Roman" w:cs="Times New Roman"/>
          <w:szCs w:val="24"/>
        </w:rPr>
        <w:t xml:space="preserve">and total </w:t>
      </w:r>
      <w:r w:rsidRPr="009514AE">
        <w:rPr>
          <w:rFonts w:ascii="Times New Roman" w:hAnsi="Times New Roman" w:cs="Times New Roman"/>
          <w:szCs w:val="24"/>
        </w:rPr>
        <w:t>elongation</w:t>
      </w:r>
      <w:r>
        <w:rPr>
          <w:rFonts w:ascii="Times New Roman" w:hAnsi="Times New Roman" w:cs="Times New Roman"/>
          <w:szCs w:val="24"/>
        </w:rPr>
        <w:t>s</w:t>
      </w:r>
      <w:r w:rsidRPr="009514A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of the tapered tensile geometry show maximum </w:t>
      </w:r>
      <w:r w:rsidRPr="009514AE">
        <w:rPr>
          <w:rFonts w:ascii="Times New Roman" w:hAnsi="Times New Roman" w:cs="Times New Roman"/>
          <w:szCs w:val="24"/>
        </w:rPr>
        <w:t>a</w:t>
      </w:r>
      <w:r>
        <w:rPr>
          <w:rFonts w:ascii="Times New Roman" w:hAnsi="Times New Roman" w:cs="Times New Roman"/>
          <w:szCs w:val="24"/>
        </w:rPr>
        <w:t>bsolute differences of 1.6</w:t>
      </w:r>
      <w:r w:rsidRPr="009514AE">
        <w:rPr>
          <w:rFonts w:ascii="Times New Roman" w:hAnsi="Times New Roman" w:cs="Times New Roman"/>
          <w:szCs w:val="24"/>
        </w:rPr>
        <w:t xml:space="preserve">% </w:t>
      </w:r>
      <w:r>
        <w:rPr>
          <w:rFonts w:ascii="Times New Roman" w:hAnsi="Times New Roman" w:cs="Times New Roman"/>
          <w:szCs w:val="24"/>
        </w:rPr>
        <w:t xml:space="preserve">and 1.9% engineering strain, respectively, </w:t>
      </w:r>
      <w:r w:rsidRPr="009514AE">
        <w:rPr>
          <w:rFonts w:ascii="Times New Roman" w:hAnsi="Times New Roman" w:cs="Times New Roman"/>
          <w:szCs w:val="24"/>
        </w:rPr>
        <w:t xml:space="preserve">with respect to the </w:t>
      </w:r>
      <w:r>
        <w:rPr>
          <w:rFonts w:ascii="Times New Roman" w:hAnsi="Times New Roman" w:cs="Times New Roman"/>
          <w:szCs w:val="24"/>
        </w:rPr>
        <w:t>sub-sized ASTM E8 simulations</w:t>
      </w:r>
      <w:r w:rsidRPr="009514AE">
        <w:rPr>
          <w:rFonts w:ascii="Times New Roman" w:hAnsi="Times New Roman" w:cs="Times New Roman"/>
          <w:szCs w:val="24"/>
        </w:rPr>
        <w:t xml:space="preserve">.  </w:t>
      </w:r>
    </w:p>
    <w:p w14:paraId="58EE36D6" w14:textId="77777777" w:rsidR="00D850CD" w:rsidRPr="0001255E" w:rsidRDefault="00D850CD" w:rsidP="00D850CD">
      <w:pPr>
        <w:pStyle w:val="Caption"/>
        <w:keepNext/>
        <w:rPr>
          <w:rFonts w:ascii="Times New Roman" w:hAnsi="Times New Roman" w:cs="Times New Roman"/>
          <w:color w:val="auto"/>
          <w:sz w:val="20"/>
        </w:rPr>
      </w:pPr>
      <w:bookmarkStart w:id="1" w:name="_Ref128558810"/>
      <w:r w:rsidRPr="0001255E">
        <w:rPr>
          <w:rFonts w:ascii="Times New Roman" w:hAnsi="Times New Roman" w:cs="Times New Roman"/>
          <w:color w:val="auto"/>
          <w:sz w:val="20"/>
        </w:rPr>
        <w:t>Table A</w:t>
      </w:r>
      <w:r>
        <w:rPr>
          <w:rFonts w:ascii="Times New Roman" w:hAnsi="Times New Roman" w:cs="Times New Roman"/>
          <w:color w:val="auto"/>
          <w:sz w:val="20"/>
        </w:rPr>
        <w:t>.</w:t>
      </w:r>
      <w:r w:rsidRPr="0001255E">
        <w:rPr>
          <w:rFonts w:ascii="Times New Roman" w:hAnsi="Times New Roman" w:cs="Times New Roman"/>
          <w:color w:val="auto"/>
          <w:sz w:val="20"/>
        </w:rPr>
        <w:fldChar w:fldCharType="begin"/>
      </w:r>
      <w:r w:rsidRPr="0001255E">
        <w:rPr>
          <w:rFonts w:ascii="Times New Roman" w:hAnsi="Times New Roman" w:cs="Times New Roman"/>
          <w:color w:val="auto"/>
          <w:sz w:val="20"/>
        </w:rPr>
        <w:instrText xml:space="preserve"> SEQ Table_A \* ARABIC </w:instrText>
      </w:r>
      <w:r w:rsidRPr="0001255E">
        <w:rPr>
          <w:rFonts w:ascii="Times New Roman" w:hAnsi="Times New Roman" w:cs="Times New Roman"/>
          <w:color w:val="auto"/>
          <w:sz w:val="20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0"/>
        </w:rPr>
        <w:t>1</w:t>
      </w:r>
      <w:r w:rsidRPr="0001255E">
        <w:rPr>
          <w:rFonts w:ascii="Times New Roman" w:hAnsi="Times New Roman" w:cs="Times New Roman"/>
          <w:color w:val="auto"/>
          <w:sz w:val="20"/>
        </w:rPr>
        <w:fldChar w:fldCharType="end"/>
      </w:r>
      <w:bookmarkEnd w:id="1"/>
      <w:r w:rsidRPr="0001255E">
        <w:rPr>
          <w:rFonts w:ascii="Times New Roman" w:hAnsi="Times New Roman" w:cs="Times New Roman"/>
          <w:color w:val="auto"/>
          <w:sz w:val="20"/>
        </w:rPr>
        <w:t xml:space="preserve"> Predicted mechanical properties from </w:t>
      </w:r>
      <w:r>
        <w:rPr>
          <w:rFonts w:ascii="Times New Roman" w:hAnsi="Times New Roman" w:cs="Times New Roman"/>
          <w:color w:val="auto"/>
          <w:sz w:val="20"/>
        </w:rPr>
        <w:t>finite-element</w:t>
      </w:r>
      <w:r w:rsidRPr="0001255E">
        <w:rPr>
          <w:rFonts w:ascii="Times New Roman" w:hAnsi="Times New Roman" w:cs="Times New Roman"/>
          <w:color w:val="auto"/>
          <w:sz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</w:rPr>
        <w:t>simulations</w:t>
      </w:r>
      <w:r w:rsidRPr="0001255E">
        <w:rPr>
          <w:rFonts w:ascii="Times New Roman" w:hAnsi="Times New Roman" w:cs="Times New Roman"/>
          <w:color w:val="auto"/>
          <w:sz w:val="20"/>
        </w:rPr>
        <w:t xml:space="preserve"> </w:t>
      </w:r>
      <w:r>
        <w:rPr>
          <w:rFonts w:ascii="Times New Roman" w:hAnsi="Times New Roman" w:cs="Times New Roman"/>
          <w:color w:val="auto"/>
          <w:sz w:val="20"/>
        </w:rPr>
        <w:t>of the two tensile geometries</w:t>
      </w:r>
    </w:p>
    <w:tbl>
      <w:tblPr>
        <w:tblStyle w:val="TableGrid"/>
        <w:tblW w:w="9340" w:type="dxa"/>
        <w:tblLook w:val="04A0" w:firstRow="1" w:lastRow="0" w:firstColumn="1" w:lastColumn="0" w:noHBand="0" w:noVBand="1"/>
      </w:tblPr>
      <w:tblGrid>
        <w:gridCol w:w="1536"/>
        <w:gridCol w:w="1116"/>
        <w:gridCol w:w="1144"/>
        <w:gridCol w:w="1515"/>
        <w:gridCol w:w="1560"/>
        <w:gridCol w:w="1249"/>
        <w:gridCol w:w="1220"/>
      </w:tblGrid>
      <w:tr w:rsidR="00D850CD" w:rsidRPr="007E33C1" w14:paraId="105CDE90" w14:textId="77777777" w:rsidTr="00381E96">
        <w:trPr>
          <w:trHeight w:val="494"/>
        </w:trPr>
        <w:tc>
          <w:tcPr>
            <w:tcW w:w="1574" w:type="dxa"/>
            <w:vAlign w:val="center"/>
            <w:hideMark/>
          </w:tcPr>
          <w:p w14:paraId="45BAA10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Tensile Geometry</w:t>
            </w:r>
          </w:p>
        </w:tc>
        <w:tc>
          <w:tcPr>
            <w:tcW w:w="960" w:type="dxa"/>
            <w:vAlign w:val="center"/>
          </w:tcPr>
          <w:p w14:paraId="23C0A253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 xml:space="preserve">Hardening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Coefficient (MPa)</w:t>
            </w:r>
          </w:p>
        </w:tc>
        <w:tc>
          <w:tcPr>
            <w:tcW w:w="1150" w:type="dxa"/>
            <w:vAlign w:val="center"/>
            <w:hideMark/>
          </w:tcPr>
          <w:p w14:paraId="30200BA4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Hardening Exponent</w:t>
            </w:r>
          </w:p>
        </w:tc>
        <w:tc>
          <w:tcPr>
            <w:tcW w:w="1560" w:type="dxa"/>
            <w:vAlign w:val="center"/>
            <w:hideMark/>
          </w:tcPr>
          <w:p w14:paraId="586B62FA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0.2% Yield Strength (MPa)</w:t>
            </w:r>
          </w:p>
        </w:tc>
        <w:tc>
          <w:tcPr>
            <w:tcW w:w="1607" w:type="dxa"/>
            <w:vAlign w:val="center"/>
            <w:hideMark/>
          </w:tcPr>
          <w:p w14:paraId="2AC0E6D7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Ultimate Tensile Strength (MPa)</w:t>
            </w:r>
          </w:p>
        </w:tc>
        <w:tc>
          <w:tcPr>
            <w:tcW w:w="1260" w:type="dxa"/>
            <w:vAlign w:val="center"/>
            <w:hideMark/>
          </w:tcPr>
          <w:p w14:paraId="45648DA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Uniform Elongation (%)</w:t>
            </w:r>
          </w:p>
        </w:tc>
        <w:tc>
          <w:tcPr>
            <w:tcW w:w="1229" w:type="dxa"/>
            <w:vAlign w:val="center"/>
            <w:hideMark/>
          </w:tcPr>
          <w:p w14:paraId="3D9B7824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Total Elongation (%)</w:t>
            </w:r>
          </w:p>
        </w:tc>
      </w:tr>
      <w:tr w:rsidR="00D850CD" w:rsidRPr="007E33C1" w14:paraId="6F7AC598" w14:textId="77777777" w:rsidTr="00381E96">
        <w:tc>
          <w:tcPr>
            <w:tcW w:w="1574" w:type="dxa"/>
            <w:vAlign w:val="center"/>
            <w:hideMark/>
          </w:tcPr>
          <w:p w14:paraId="55D2F9DA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ASTM E8</w:t>
            </w:r>
          </w:p>
        </w:tc>
        <w:tc>
          <w:tcPr>
            <w:tcW w:w="960" w:type="dxa"/>
            <w:vMerge w:val="restart"/>
            <w:vAlign w:val="center"/>
          </w:tcPr>
          <w:p w14:paraId="19C7FB3C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1800</w:t>
            </w:r>
          </w:p>
        </w:tc>
        <w:tc>
          <w:tcPr>
            <w:tcW w:w="1150" w:type="dxa"/>
            <w:vMerge w:val="restart"/>
            <w:vAlign w:val="center"/>
            <w:hideMark/>
          </w:tcPr>
          <w:p w14:paraId="27FDFAE0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=0.05</w:t>
            </w:r>
          </w:p>
        </w:tc>
        <w:tc>
          <w:tcPr>
            <w:tcW w:w="1560" w:type="dxa"/>
            <w:vAlign w:val="center"/>
            <w:hideMark/>
          </w:tcPr>
          <w:p w14:paraId="558E2131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1355.0</w:t>
            </w:r>
          </w:p>
        </w:tc>
        <w:tc>
          <w:tcPr>
            <w:tcW w:w="1607" w:type="dxa"/>
            <w:vAlign w:val="center"/>
            <w:hideMark/>
          </w:tcPr>
          <w:p w14:paraId="489C2905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1471.1</w:t>
            </w:r>
          </w:p>
        </w:tc>
        <w:tc>
          <w:tcPr>
            <w:tcW w:w="1260" w:type="dxa"/>
            <w:vAlign w:val="center"/>
            <w:hideMark/>
          </w:tcPr>
          <w:p w14:paraId="29DE84F3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229" w:type="dxa"/>
            <w:vAlign w:val="center"/>
            <w:hideMark/>
          </w:tcPr>
          <w:p w14:paraId="589F39D7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</w:tr>
      <w:tr w:rsidR="00D850CD" w:rsidRPr="007E33C1" w14:paraId="63B7EA42" w14:textId="77777777" w:rsidTr="00381E96">
        <w:tc>
          <w:tcPr>
            <w:tcW w:w="1574" w:type="dxa"/>
            <w:vAlign w:val="center"/>
            <w:hideMark/>
          </w:tcPr>
          <w:p w14:paraId="53FB45EA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Tapered Tensile</w:t>
            </w:r>
          </w:p>
        </w:tc>
        <w:tc>
          <w:tcPr>
            <w:tcW w:w="960" w:type="dxa"/>
            <w:vMerge/>
            <w:vAlign w:val="center"/>
          </w:tcPr>
          <w:p w14:paraId="69B5F8D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05188AAE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198CF3A1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1357.0</w:t>
            </w:r>
          </w:p>
        </w:tc>
        <w:tc>
          <w:tcPr>
            <w:tcW w:w="1607" w:type="dxa"/>
            <w:vAlign w:val="center"/>
            <w:hideMark/>
          </w:tcPr>
          <w:p w14:paraId="4F6B26BA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1475.1</w:t>
            </w:r>
          </w:p>
        </w:tc>
        <w:tc>
          <w:tcPr>
            <w:tcW w:w="1260" w:type="dxa"/>
            <w:vAlign w:val="center"/>
            <w:hideMark/>
          </w:tcPr>
          <w:p w14:paraId="5CB9931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229" w:type="dxa"/>
            <w:vAlign w:val="center"/>
            <w:hideMark/>
          </w:tcPr>
          <w:p w14:paraId="564D04A4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11.6</w:t>
            </w:r>
          </w:p>
        </w:tc>
      </w:tr>
      <w:tr w:rsidR="00D850CD" w:rsidRPr="007E33C1" w14:paraId="42B81F40" w14:textId="77777777" w:rsidTr="00381E96">
        <w:tc>
          <w:tcPr>
            <w:tcW w:w="1574" w:type="dxa"/>
            <w:vAlign w:val="center"/>
            <w:hideMark/>
          </w:tcPr>
          <w:p w14:paraId="21A2C84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ASTM E8</w:t>
            </w:r>
          </w:p>
        </w:tc>
        <w:tc>
          <w:tcPr>
            <w:tcW w:w="960" w:type="dxa"/>
            <w:vMerge w:val="restart"/>
            <w:vAlign w:val="center"/>
          </w:tcPr>
          <w:p w14:paraId="7CEA57FB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  <w:tc>
          <w:tcPr>
            <w:tcW w:w="1150" w:type="dxa"/>
            <w:vMerge w:val="restart"/>
            <w:vAlign w:val="center"/>
            <w:hideMark/>
          </w:tcPr>
          <w:p w14:paraId="453E329E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=0.15</w:t>
            </w:r>
          </w:p>
        </w:tc>
        <w:tc>
          <w:tcPr>
            <w:tcW w:w="1560" w:type="dxa"/>
            <w:vAlign w:val="center"/>
            <w:hideMark/>
          </w:tcPr>
          <w:p w14:paraId="7E28A9BE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647.0</w:t>
            </w:r>
          </w:p>
        </w:tc>
        <w:tc>
          <w:tcPr>
            <w:tcW w:w="1607" w:type="dxa"/>
            <w:vAlign w:val="center"/>
            <w:hideMark/>
          </w:tcPr>
          <w:p w14:paraId="7904CFC3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970.2</w:t>
            </w:r>
          </w:p>
        </w:tc>
        <w:tc>
          <w:tcPr>
            <w:tcW w:w="1260" w:type="dxa"/>
            <w:vAlign w:val="center"/>
            <w:hideMark/>
          </w:tcPr>
          <w:p w14:paraId="48A361DA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1229" w:type="dxa"/>
            <w:vAlign w:val="center"/>
            <w:hideMark/>
          </w:tcPr>
          <w:p w14:paraId="3EEDC555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</w:tr>
      <w:tr w:rsidR="00D850CD" w:rsidRPr="007E33C1" w14:paraId="21EE3065" w14:textId="77777777" w:rsidTr="00381E96">
        <w:tc>
          <w:tcPr>
            <w:tcW w:w="1574" w:type="dxa"/>
            <w:vAlign w:val="center"/>
            <w:hideMark/>
          </w:tcPr>
          <w:p w14:paraId="2C93BE22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Tapered Tensile</w:t>
            </w:r>
          </w:p>
        </w:tc>
        <w:tc>
          <w:tcPr>
            <w:tcW w:w="960" w:type="dxa"/>
            <w:vMerge/>
            <w:vAlign w:val="center"/>
          </w:tcPr>
          <w:p w14:paraId="3AF1D6B3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6AC65B47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56A8B338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649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607" w:type="dxa"/>
            <w:vAlign w:val="center"/>
            <w:hideMark/>
          </w:tcPr>
          <w:p w14:paraId="20F05213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972.0</w:t>
            </w:r>
          </w:p>
        </w:tc>
        <w:tc>
          <w:tcPr>
            <w:tcW w:w="1260" w:type="dxa"/>
            <w:vAlign w:val="center"/>
            <w:hideMark/>
          </w:tcPr>
          <w:p w14:paraId="3E895781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1229" w:type="dxa"/>
            <w:vAlign w:val="center"/>
            <w:hideMark/>
          </w:tcPr>
          <w:p w14:paraId="35EEB6F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D850CD" w:rsidRPr="007E33C1" w14:paraId="4C95C274" w14:textId="77777777" w:rsidTr="00381E96">
        <w:tc>
          <w:tcPr>
            <w:tcW w:w="1574" w:type="dxa"/>
            <w:vAlign w:val="center"/>
            <w:hideMark/>
          </w:tcPr>
          <w:p w14:paraId="49C3668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ASTM E8</w:t>
            </w:r>
          </w:p>
        </w:tc>
        <w:tc>
          <w:tcPr>
            <w:tcW w:w="960" w:type="dxa"/>
            <w:vMerge w:val="restart"/>
            <w:vAlign w:val="center"/>
          </w:tcPr>
          <w:p w14:paraId="6841796C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=500</w:t>
            </w:r>
          </w:p>
        </w:tc>
        <w:tc>
          <w:tcPr>
            <w:tcW w:w="1150" w:type="dxa"/>
            <w:vMerge w:val="restart"/>
            <w:vAlign w:val="center"/>
            <w:hideMark/>
          </w:tcPr>
          <w:p w14:paraId="32DC1467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=0.25</w:t>
            </w:r>
          </w:p>
        </w:tc>
        <w:tc>
          <w:tcPr>
            <w:tcW w:w="1560" w:type="dxa"/>
            <w:vAlign w:val="center"/>
            <w:hideMark/>
          </w:tcPr>
          <w:p w14:paraId="40078A09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126.0</w:t>
            </w:r>
          </w:p>
        </w:tc>
        <w:tc>
          <w:tcPr>
            <w:tcW w:w="1607" w:type="dxa"/>
            <w:vAlign w:val="center"/>
            <w:hideMark/>
          </w:tcPr>
          <w:p w14:paraId="7C475435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275.7</w:t>
            </w:r>
          </w:p>
        </w:tc>
        <w:tc>
          <w:tcPr>
            <w:tcW w:w="1260" w:type="dxa"/>
            <w:vAlign w:val="center"/>
            <w:hideMark/>
          </w:tcPr>
          <w:p w14:paraId="57766665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1229" w:type="dxa"/>
            <w:vAlign w:val="center"/>
            <w:hideMark/>
          </w:tcPr>
          <w:p w14:paraId="74431551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</w:tr>
      <w:tr w:rsidR="00D850CD" w:rsidRPr="007E33C1" w14:paraId="24B59764" w14:textId="77777777" w:rsidTr="00381E96">
        <w:tc>
          <w:tcPr>
            <w:tcW w:w="1574" w:type="dxa"/>
            <w:vAlign w:val="center"/>
            <w:hideMark/>
          </w:tcPr>
          <w:p w14:paraId="2851CA10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Tapered Tensile</w:t>
            </w:r>
          </w:p>
        </w:tc>
        <w:tc>
          <w:tcPr>
            <w:tcW w:w="960" w:type="dxa"/>
            <w:vMerge/>
            <w:vAlign w:val="center"/>
          </w:tcPr>
          <w:p w14:paraId="64C18D32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0" w:type="dxa"/>
            <w:vMerge/>
            <w:vAlign w:val="center"/>
            <w:hideMark/>
          </w:tcPr>
          <w:p w14:paraId="705298A5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  <w:hideMark/>
          </w:tcPr>
          <w:p w14:paraId="2BB6D7D8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127.0</w:t>
            </w:r>
          </w:p>
        </w:tc>
        <w:tc>
          <w:tcPr>
            <w:tcW w:w="1607" w:type="dxa"/>
            <w:vAlign w:val="center"/>
            <w:hideMark/>
          </w:tcPr>
          <w:p w14:paraId="20835482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276.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0" w:type="dxa"/>
            <w:vAlign w:val="center"/>
            <w:hideMark/>
          </w:tcPr>
          <w:p w14:paraId="694DCD4D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25.9</w:t>
            </w:r>
          </w:p>
        </w:tc>
        <w:tc>
          <w:tcPr>
            <w:tcW w:w="1229" w:type="dxa"/>
            <w:vAlign w:val="center"/>
            <w:hideMark/>
          </w:tcPr>
          <w:p w14:paraId="68C9E726" w14:textId="77777777" w:rsidR="00D850CD" w:rsidRPr="0001255E" w:rsidRDefault="00D850CD" w:rsidP="00381E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1255E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</w:tr>
    </w:tbl>
    <w:p w14:paraId="657D9119" w14:textId="77777777" w:rsidR="00D850CD" w:rsidRDefault="00D850CD" w:rsidP="00D850CD">
      <w:pPr>
        <w:spacing w:line="360" w:lineRule="auto"/>
        <w:rPr>
          <w:rFonts w:cstheme="majorBidi"/>
        </w:rPr>
      </w:pPr>
    </w:p>
    <w:p w14:paraId="1D3447A6" w14:textId="77777777" w:rsidR="00D850CD" w:rsidRDefault="00D850CD" w:rsidP="00D850CD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14:paraId="21B46988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CD"/>
    <w:rsid w:val="001C76BA"/>
    <w:rsid w:val="00D8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FEF67"/>
  <w15:chartTrackingRefBased/>
  <w15:docId w15:val="{572F70FD-6714-47D4-9A83-8E2ED6E6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0CD"/>
    <w:rPr>
      <w:rFonts w:asciiTheme="majorBidi" w:eastAsia="Calibri" w:hAnsiTheme="majorBidi" w:cs="Calibri"/>
      <w:kern w:val="0"/>
      <w:lang w:val="en-CA"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50CD"/>
    <w:pPr>
      <w:spacing w:after="0" w:line="240" w:lineRule="auto"/>
    </w:pPr>
    <w:rPr>
      <w:rFonts w:ascii="Calibri" w:eastAsia="Calibri" w:hAnsi="Calibri" w:cs="Calibri"/>
      <w:kern w:val="0"/>
      <w:lang w:val="en-CA" w:eastAsia="en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850CD"/>
    <w:pPr>
      <w:spacing w:after="200" w:line="240" w:lineRule="auto"/>
      <w:jc w:val="center"/>
    </w:pPr>
    <w:rPr>
      <w:i/>
      <w:iCs/>
      <w:color w:val="000000" w:themeColor="text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4178</Characters>
  <Application>Microsoft Office Word</Application>
  <DocSecurity>0</DocSecurity>
  <Lines>34</Lines>
  <Paragraphs>9</Paragraphs>
  <ScaleCrop>false</ScaleCrop>
  <Company>SpringerNature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2024-04-12T16:03:00Z</dcterms:created>
  <dcterms:modified xsi:type="dcterms:W3CDTF">2024-04-12T16:03:00Z</dcterms:modified>
</cp:coreProperties>
</file>