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B05B" w14:textId="77777777" w:rsidR="001E5BE9" w:rsidRPr="002236FC" w:rsidRDefault="001E5BE9" w:rsidP="001E5BE9">
      <w:pPr>
        <w:spacing w:after="0" w:line="360" w:lineRule="auto"/>
        <w:jc w:val="both"/>
        <w:rPr>
          <w:rFonts w:ascii="Times New Roman" w:eastAsia="Times New Roman" w:hAnsi="Times New Roman" w:cs="Times New Roman"/>
          <w:b/>
          <w:bCs/>
          <w:color w:val="000000"/>
          <w:sz w:val="24"/>
          <w:szCs w:val="24"/>
          <w:lang w:val="es-419"/>
        </w:rPr>
      </w:pPr>
      <w:r w:rsidRPr="002236FC">
        <w:rPr>
          <w:rFonts w:ascii="Times New Roman" w:eastAsia="Times New Roman" w:hAnsi="Times New Roman" w:cs="Times New Roman"/>
          <w:b/>
          <w:bCs/>
          <w:color w:val="000000"/>
          <w:sz w:val="24"/>
          <w:szCs w:val="24"/>
          <w:lang w:val="es-419"/>
        </w:rPr>
        <w:t>Supplementary material:</w:t>
      </w:r>
    </w:p>
    <w:p w14:paraId="19D85958" w14:textId="77777777" w:rsidR="001E5BE9" w:rsidRPr="002236FC" w:rsidRDefault="001E5BE9" w:rsidP="001E5BE9">
      <w:pPr>
        <w:spacing w:after="0" w:line="360" w:lineRule="auto"/>
        <w:jc w:val="both"/>
        <w:rPr>
          <w:rFonts w:ascii="Times New Roman" w:hAnsi="Times New Roman" w:cs="Times New Roman"/>
          <w:sz w:val="24"/>
          <w:szCs w:val="24"/>
          <w:lang w:val="es-419"/>
        </w:rPr>
      </w:pPr>
    </w:p>
    <w:p w14:paraId="1BE846FC" w14:textId="77777777" w:rsidR="001E5BE9" w:rsidRPr="002236FC" w:rsidRDefault="001E5BE9" w:rsidP="001E5BE9">
      <w:pPr>
        <w:spacing w:after="0" w:line="360" w:lineRule="auto"/>
        <w:jc w:val="both"/>
        <w:rPr>
          <w:rFonts w:ascii="Times New Roman" w:hAnsi="Times New Roman" w:cs="Times New Roman"/>
          <w:sz w:val="24"/>
          <w:szCs w:val="24"/>
          <w:lang w:val="es-419"/>
        </w:rPr>
      </w:pPr>
    </w:p>
    <w:p w14:paraId="38F7E5FF" w14:textId="77777777" w:rsidR="001E5BE9" w:rsidRPr="002236FC" w:rsidRDefault="001E5BE9" w:rsidP="001E5BE9">
      <w:pPr>
        <w:spacing w:after="0" w:line="360" w:lineRule="auto"/>
        <w:jc w:val="both"/>
        <w:rPr>
          <w:rFonts w:ascii="Times New Roman" w:hAnsi="Times New Roman" w:cs="Times New Roman"/>
          <w:sz w:val="24"/>
          <w:szCs w:val="24"/>
          <w:lang w:val="en-US"/>
        </w:rPr>
      </w:pPr>
      <w:r w:rsidRPr="00104AC3">
        <w:rPr>
          <w:rFonts w:ascii="Times New Roman" w:hAnsi="Times New Roman" w:cs="Times New Roman"/>
          <w:noProof/>
          <w:lang w:val="en-US"/>
        </w:rPr>
        <w:drawing>
          <wp:inline distT="0" distB="0" distL="0" distR="0" wp14:anchorId="280C24E9" wp14:editId="74F0B411">
            <wp:extent cx="4782185" cy="4196080"/>
            <wp:effectExtent l="0" t="0" r="0" b="0"/>
            <wp:docPr id="4"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pic:cNvPicPr>
                      <a:picLocks noChangeAspect="1" noChangeArrowheads="1"/>
                    </pic:cNvPicPr>
                  </pic:nvPicPr>
                  <pic:blipFill>
                    <a:blip r:embed="rId4"/>
                    <a:stretch>
                      <a:fillRect/>
                    </a:stretch>
                  </pic:blipFill>
                  <pic:spPr bwMode="auto">
                    <a:xfrm>
                      <a:off x="0" y="0"/>
                      <a:ext cx="4782185" cy="4196080"/>
                    </a:xfrm>
                    <a:prstGeom prst="rect">
                      <a:avLst/>
                    </a:prstGeom>
                  </pic:spPr>
                </pic:pic>
              </a:graphicData>
            </a:graphic>
          </wp:inline>
        </w:drawing>
      </w:r>
    </w:p>
    <w:p w14:paraId="193F472C" w14:textId="77777777" w:rsidR="001E5BE9" w:rsidRPr="002236FC" w:rsidRDefault="001E5BE9" w:rsidP="001E5BE9">
      <w:pPr>
        <w:spacing w:after="0" w:line="360" w:lineRule="auto"/>
        <w:jc w:val="both"/>
        <w:rPr>
          <w:rFonts w:ascii="Times New Roman" w:hAnsi="Times New Roman" w:cs="Times New Roman"/>
          <w:sz w:val="24"/>
          <w:szCs w:val="24"/>
          <w:lang w:val="en-US"/>
        </w:rPr>
      </w:pPr>
      <w:r w:rsidRPr="002236FC">
        <w:rPr>
          <w:rFonts w:ascii="Times New Roman" w:hAnsi="Times New Roman" w:cs="Times New Roman"/>
          <w:sz w:val="24"/>
          <w:szCs w:val="24"/>
          <w:lang w:val="en-US"/>
        </w:rPr>
        <w:t xml:space="preserve">Supplementary Figure 1. Time-calibrated phylogeny modified from </w:t>
      </w:r>
      <w:r w:rsidRPr="002236FC">
        <w:rPr>
          <w:rFonts w:ascii="Times New Roman" w:hAnsi="Times New Roman" w:cs="Times New Roman"/>
        </w:rPr>
        <w:fldChar w:fldCharType="begin"/>
      </w:r>
      <w:r w:rsidRPr="002236FC">
        <w:rPr>
          <w:rFonts w:ascii="Times New Roman" w:hAnsi="Times New Roman" w:cs="Times New Roman"/>
          <w:sz w:val="24"/>
          <w:szCs w:val="24"/>
          <w:lang w:val="en-US"/>
        </w:rPr>
        <w:instrText xml:space="preserve"> ADDIN ZOTERO_ITEM CSL_CITATION {"citationID":"Y1FM7frd","properties":{"formattedCitation":"\\super 17\\nosupersub{}","plainCitation":"17","noteIndex":0},"citationItems":[{"id":692,"uris":["http://zotero.org/users/6567224/items/K9P93QES"],"itemData":{"id":692,"type":"article-journal","abstract":"The use of genome-scale data in phylogenetics has enabled recent strides in determining the relationships between taxa that are taxonomically problematic because of extensive morphological variation. Here, we employ a phylogenomic approach to infer evolutionary relationships within Ranitomeya (Anura: Dendrobatidae), an Amazonian lineage of poison frogs consisting of 16 species with remarkable diversity in color pattern, range size, and parental care behavior. We infer phylogenies with all described species of Ranitomeya from ultraconserved nuclear genomic elements (UCEs) and also estimate divergence times. Our results differ from previous analyses regarding interspecific relationships. Notably, we find that R. toraro and R. defleri are not sister species but rather distantly related, contrary to previous analyses based on smaller genetic datasets. We recover R. uakarii as paraphyletic, designate certain populations formerly assigned to R. fantastica from Peru as R. summersi, and transfer the French Guianan and eastern Brazilian R. amazonica populations to R. variabilis. By clarifying both inter- and intraspecific relationships within Ranitomeya, our study paves the way for future tests of hypotheses on color pattern evolution and historical biogeography.","container-title":"Molecular Phylogenetics and Evolution","DOI":"10.1016/j.ympev.2022.107389","journalAbbreviation":"Molecular Phylogenetics and Evolution","page":"107389","source":"ResearchGate","title":"Phylogenomic analysis of evolutionary relationships in Ranitomeya poison frogs (Family Dendrobatidae) using ultraconserved elements","volume":"168","author":[{"family":"Muell","given":"Morgan"},{"family":"Chávez","given":"Germán"},{"family":"Prates","given":"Ivan"},{"family":"Guillory","given":"Wilson"},{"family":"Kahn","given":"Ted"},{"family":"Twomey","given":"Evan"},{"family":"Rodrigues","given":"Miguel"},{"family":"Brown","given":"Jason"}],"issued":{"date-parts":[["2022",1,10]]}}}],"schema":"https://github.com/citation-style-language/schema/raw/master/csl-citation.json"} </w:instrText>
      </w:r>
      <w:r w:rsidRPr="002236FC">
        <w:rPr>
          <w:rFonts w:ascii="Times New Roman" w:hAnsi="Times New Roman" w:cs="Times New Roman"/>
          <w:sz w:val="24"/>
          <w:szCs w:val="24"/>
          <w:lang w:val="en-US"/>
        </w:rPr>
        <w:fldChar w:fldCharType="separate"/>
      </w:r>
      <w:r w:rsidRPr="0086126D">
        <w:rPr>
          <w:rFonts w:ascii="Times New Roman" w:hAnsi="Times New Roman" w:cs="Times New Roman"/>
          <w:sz w:val="24"/>
          <w:szCs w:val="24"/>
          <w:vertAlign w:val="superscript"/>
          <w:lang w:val="en-US"/>
        </w:rPr>
        <w:t>17</w:t>
      </w:r>
      <w:r w:rsidRPr="002236FC">
        <w:rPr>
          <w:rFonts w:ascii="Times New Roman" w:hAnsi="Times New Roman" w:cs="Times New Roman"/>
          <w:sz w:val="24"/>
          <w:szCs w:val="24"/>
          <w:lang w:val="en-US"/>
        </w:rPr>
        <w:fldChar w:fldCharType="end"/>
      </w:r>
      <w:r w:rsidRPr="002236FC">
        <w:rPr>
          <w:rFonts w:ascii="Times New Roman" w:hAnsi="Times New Roman" w:cs="Times New Roman"/>
          <w:sz w:val="24"/>
          <w:szCs w:val="24"/>
          <w:lang w:val="en-US"/>
        </w:rPr>
        <w:t xml:space="preserve">, highlighting our focal species and ecotypes (colored frogs) within the whole </w:t>
      </w:r>
      <w:r w:rsidRPr="002236FC">
        <w:rPr>
          <w:rFonts w:ascii="Times New Roman" w:hAnsi="Times New Roman" w:cs="Times New Roman"/>
          <w:i/>
          <w:iCs/>
          <w:sz w:val="24"/>
          <w:szCs w:val="24"/>
          <w:lang w:val="en-US"/>
        </w:rPr>
        <w:t>Ranitomeya</w:t>
      </w:r>
      <w:r w:rsidRPr="002236FC">
        <w:rPr>
          <w:rFonts w:ascii="Times New Roman" w:hAnsi="Times New Roman" w:cs="Times New Roman"/>
          <w:sz w:val="24"/>
          <w:szCs w:val="24"/>
          <w:lang w:val="en-US"/>
        </w:rPr>
        <w:t xml:space="preserve"> clade (greyed frogs). </w:t>
      </w:r>
      <w:r w:rsidRPr="002236FC">
        <w:rPr>
          <w:rFonts w:ascii="Times New Roman" w:hAnsi="Times New Roman" w:cs="Times New Roman"/>
          <w:i/>
          <w:iCs/>
          <w:sz w:val="24"/>
          <w:szCs w:val="24"/>
          <w:lang w:val="en-US"/>
        </w:rPr>
        <w:t>Ranitomeya variabilis</w:t>
      </w:r>
      <w:r w:rsidRPr="002236FC">
        <w:rPr>
          <w:rFonts w:ascii="Times New Roman" w:hAnsi="Times New Roman" w:cs="Times New Roman"/>
          <w:sz w:val="24"/>
          <w:szCs w:val="24"/>
          <w:lang w:val="en-US"/>
        </w:rPr>
        <w:t xml:space="preserve"> “spotted” and “striped” from our study refer to “highland” and “lowland” respectively, from the phylogeny. </w:t>
      </w:r>
      <w:r w:rsidRPr="002236FC">
        <w:rPr>
          <w:rFonts w:ascii="Times New Roman" w:hAnsi="Times New Roman" w:cs="Times New Roman"/>
          <w:i/>
          <w:iCs/>
          <w:sz w:val="24"/>
          <w:szCs w:val="24"/>
          <w:lang w:val="en-US"/>
        </w:rPr>
        <w:t>Ranitomeya fantastica</w:t>
      </w:r>
      <w:r w:rsidRPr="002236FC">
        <w:rPr>
          <w:rFonts w:ascii="Times New Roman" w:hAnsi="Times New Roman" w:cs="Times New Roman"/>
          <w:sz w:val="24"/>
          <w:szCs w:val="24"/>
          <w:lang w:val="en-US"/>
        </w:rPr>
        <w:t xml:space="preserve"> “nominal” and “striped” from our study refer to “highland” and </w:t>
      </w:r>
      <w:r w:rsidRPr="002236FC">
        <w:rPr>
          <w:rFonts w:ascii="Times New Roman" w:hAnsi="Times New Roman" w:cs="Times New Roman"/>
          <w:i/>
          <w:iCs/>
          <w:sz w:val="24"/>
          <w:szCs w:val="24"/>
          <w:lang w:val="en-US"/>
        </w:rPr>
        <w:t>summersi</w:t>
      </w:r>
      <w:r w:rsidRPr="002236FC">
        <w:rPr>
          <w:rFonts w:ascii="Times New Roman" w:hAnsi="Times New Roman" w:cs="Times New Roman"/>
          <w:sz w:val="24"/>
          <w:szCs w:val="24"/>
          <w:lang w:val="en-US"/>
        </w:rPr>
        <w:t xml:space="preserve"> “white-banded” respectively, from the phylogeny. We used the same denomination for </w:t>
      </w:r>
      <w:r w:rsidRPr="002236FC">
        <w:rPr>
          <w:rFonts w:ascii="Times New Roman" w:hAnsi="Times New Roman" w:cs="Times New Roman"/>
          <w:i/>
          <w:iCs/>
          <w:sz w:val="24"/>
          <w:szCs w:val="24"/>
          <w:lang w:val="en-US"/>
        </w:rPr>
        <w:t>Ranitomeya imitator</w:t>
      </w:r>
      <w:r w:rsidRPr="002236FC">
        <w:rPr>
          <w:rFonts w:ascii="Times New Roman" w:hAnsi="Times New Roman" w:cs="Times New Roman"/>
          <w:sz w:val="24"/>
          <w:szCs w:val="24"/>
          <w:lang w:val="en-US"/>
        </w:rPr>
        <w:t>.</w:t>
      </w:r>
    </w:p>
    <w:p w14:paraId="2B9A2D2A" w14:textId="77777777" w:rsidR="001E5BE9" w:rsidRPr="002236FC" w:rsidRDefault="001E5BE9" w:rsidP="001E5BE9">
      <w:pPr>
        <w:spacing w:after="0" w:line="360" w:lineRule="auto"/>
        <w:jc w:val="both"/>
        <w:rPr>
          <w:rFonts w:ascii="Times New Roman" w:hAnsi="Times New Roman" w:cs="Times New Roman"/>
          <w:sz w:val="24"/>
          <w:szCs w:val="24"/>
          <w:lang w:val="en-US"/>
        </w:rPr>
      </w:pPr>
    </w:p>
    <w:p w14:paraId="54C3775A" w14:textId="77777777" w:rsidR="001E5BE9" w:rsidRPr="002236FC" w:rsidRDefault="001E5BE9" w:rsidP="001E5BE9">
      <w:pPr>
        <w:spacing w:after="0" w:line="360" w:lineRule="auto"/>
        <w:jc w:val="both"/>
        <w:rPr>
          <w:rFonts w:ascii="Times New Roman" w:hAnsi="Times New Roman" w:cs="Times New Roman"/>
          <w:sz w:val="24"/>
          <w:szCs w:val="24"/>
          <w:lang w:val="en-US"/>
        </w:rPr>
      </w:pPr>
      <w:r w:rsidRPr="001071DA">
        <w:rPr>
          <w:rFonts w:ascii="Times New Roman" w:hAnsi="Times New Roman" w:cs="Times New Roman"/>
          <w:noProof/>
          <w:lang w:val="en-US"/>
        </w:rPr>
        <w:lastRenderedPageBreak/>
        <w:drawing>
          <wp:inline distT="0" distB="0" distL="0" distR="0" wp14:anchorId="5138DD92" wp14:editId="0D990B60">
            <wp:extent cx="5753100" cy="3771900"/>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6"/>
                    <pic:cNvPicPr>
                      <a:picLocks noChangeAspect="1" noChangeArrowheads="1"/>
                    </pic:cNvPicPr>
                  </pic:nvPicPr>
                  <pic:blipFill>
                    <a:blip r:embed="rId5"/>
                    <a:stretch>
                      <a:fillRect/>
                    </a:stretch>
                  </pic:blipFill>
                  <pic:spPr bwMode="auto">
                    <a:xfrm>
                      <a:off x="0" y="0"/>
                      <a:ext cx="5753100" cy="3771900"/>
                    </a:xfrm>
                    <a:prstGeom prst="rect">
                      <a:avLst/>
                    </a:prstGeom>
                  </pic:spPr>
                </pic:pic>
              </a:graphicData>
            </a:graphic>
          </wp:inline>
        </w:drawing>
      </w:r>
    </w:p>
    <w:p w14:paraId="69C6A264" w14:textId="77777777" w:rsidR="001E5BE9" w:rsidRDefault="001E5BE9" w:rsidP="001E5BE9">
      <w:pPr>
        <w:spacing w:after="0" w:line="360" w:lineRule="auto"/>
        <w:jc w:val="both"/>
        <w:rPr>
          <w:rFonts w:ascii="Times New Roman" w:hAnsi="Times New Roman" w:cs="Times New Roman"/>
          <w:sz w:val="24"/>
          <w:szCs w:val="24"/>
          <w:lang w:val="en-US"/>
        </w:rPr>
      </w:pPr>
      <w:r w:rsidRPr="002236FC">
        <w:rPr>
          <w:rFonts w:ascii="Times New Roman" w:hAnsi="Times New Roman" w:cs="Times New Roman"/>
          <w:sz w:val="24"/>
          <w:szCs w:val="24"/>
          <w:lang w:val="en-US"/>
        </w:rPr>
        <w:t>Supplementary Figure 2. Distribution map of studied species in the region of San Martin and Loreto, Northern Peru, with locality names/ecotypes (Locality name: Purple: Boca-Toma, Yellow: Michaela, Pink: San-Jose, Blue: Varadero, Light-Blue: Varadero-Banda). </w:t>
      </w:r>
    </w:p>
    <w:p w14:paraId="0450C959" w14:textId="77777777" w:rsidR="001E5BE9" w:rsidRDefault="001E5BE9" w:rsidP="001E5BE9">
      <w:pPr>
        <w:spacing w:after="0" w:line="360" w:lineRule="auto"/>
        <w:jc w:val="both"/>
        <w:rPr>
          <w:rFonts w:ascii="Times New Roman" w:hAnsi="Times New Roman" w:cs="Times New Roman"/>
          <w:sz w:val="24"/>
          <w:szCs w:val="24"/>
          <w:lang w:val="en-US"/>
        </w:rPr>
      </w:pPr>
    </w:p>
    <w:p w14:paraId="2A4907D7" w14:textId="77777777" w:rsidR="001E5BE9" w:rsidRPr="002236FC" w:rsidRDefault="001E5BE9" w:rsidP="001E5BE9">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356137A" wp14:editId="5B906E3F">
            <wp:extent cx="5665470" cy="1868847"/>
            <wp:effectExtent l="0" t="0" r="0" b="0"/>
            <wp:docPr id="11280029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02992" name="Image 1128002992"/>
                    <pic:cNvPicPr/>
                  </pic:nvPicPr>
                  <pic:blipFill rotWithShape="1">
                    <a:blip r:embed="rId6" cstate="print">
                      <a:extLst>
                        <a:ext uri="{28A0092B-C50C-407E-A947-70E740481C1C}">
                          <a14:useLocalDpi xmlns:a14="http://schemas.microsoft.com/office/drawing/2010/main" val="0"/>
                        </a:ext>
                      </a:extLst>
                    </a:blip>
                    <a:srcRect l="695" t="2392" r="939" b="1942"/>
                    <a:stretch/>
                  </pic:blipFill>
                  <pic:spPr bwMode="auto">
                    <a:xfrm>
                      <a:off x="0" y="0"/>
                      <a:ext cx="5666604" cy="1869221"/>
                    </a:xfrm>
                    <a:prstGeom prst="rect">
                      <a:avLst/>
                    </a:prstGeom>
                    <a:ln>
                      <a:noFill/>
                    </a:ln>
                    <a:extLst>
                      <a:ext uri="{53640926-AAD7-44D8-BBD7-CCE9431645EC}">
                        <a14:shadowObscured xmlns:a14="http://schemas.microsoft.com/office/drawing/2010/main"/>
                      </a:ext>
                    </a:extLst>
                  </pic:spPr>
                </pic:pic>
              </a:graphicData>
            </a:graphic>
          </wp:inline>
        </w:drawing>
      </w:r>
    </w:p>
    <w:p w14:paraId="4EBE98E6" w14:textId="77777777" w:rsidR="001E5BE9" w:rsidRDefault="001E5BE9" w:rsidP="001E5BE9">
      <w:pPr>
        <w:spacing w:after="0" w:line="360" w:lineRule="auto"/>
        <w:jc w:val="both"/>
        <w:rPr>
          <w:rFonts w:ascii="Times New Roman" w:hAnsi="Times New Roman" w:cs="Times New Roman"/>
          <w:sz w:val="24"/>
          <w:szCs w:val="24"/>
          <w:lang w:val="en-US"/>
        </w:rPr>
      </w:pPr>
      <w:r w:rsidRPr="002236FC">
        <w:rPr>
          <w:rFonts w:ascii="Times New Roman" w:hAnsi="Times New Roman" w:cs="Times New Roman"/>
          <w:sz w:val="24"/>
          <w:szCs w:val="24"/>
          <w:lang w:val="en-US"/>
        </w:rPr>
        <w:t>Sup</w:t>
      </w:r>
      <w:r>
        <w:rPr>
          <w:rFonts w:ascii="Times New Roman" w:hAnsi="Times New Roman" w:cs="Times New Roman"/>
          <w:sz w:val="24"/>
          <w:szCs w:val="24"/>
          <w:lang w:val="en-US"/>
        </w:rPr>
        <w:t>plementary</w:t>
      </w:r>
      <w:r w:rsidRPr="002236FC">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2236FC">
        <w:rPr>
          <w:rFonts w:ascii="Times New Roman" w:hAnsi="Times New Roman" w:cs="Times New Roman"/>
          <w:sz w:val="24"/>
          <w:szCs w:val="24"/>
          <w:lang w:val="en-US"/>
        </w:rPr>
        <w:t>able 1</w:t>
      </w:r>
      <w:r>
        <w:rPr>
          <w:rFonts w:ascii="Times New Roman" w:hAnsi="Times New Roman" w:cs="Times New Roman"/>
          <w:sz w:val="24"/>
          <w:szCs w:val="24"/>
          <w:lang w:val="en-US"/>
        </w:rPr>
        <w:t>.</w:t>
      </w:r>
      <w:r w:rsidRPr="002236FC">
        <w:rPr>
          <w:rFonts w:ascii="Times New Roman" w:hAnsi="Times New Roman" w:cs="Times New Roman"/>
          <w:sz w:val="24"/>
          <w:szCs w:val="24"/>
          <w:lang w:val="en-US"/>
        </w:rPr>
        <w:t xml:space="preserve"> </w:t>
      </w:r>
      <w:r>
        <w:rPr>
          <w:rFonts w:ascii="Times New Roman" w:eastAsia="Times New Roman" w:hAnsi="Times New Roman" w:cs="Times New Roman"/>
          <w:color w:val="000000"/>
          <w:sz w:val="24"/>
          <w:szCs w:val="24"/>
          <w:lang w:val="en-GB"/>
        </w:rPr>
        <w:t>Prezygotic barriers: Individual phenotypic preference. Summary of data and results of the nonparametric</w:t>
      </w:r>
      <w:r>
        <w:rPr>
          <w:rFonts w:ascii="Times New Roman" w:hAnsi="Times New Roman" w:cs="Times New Roman"/>
          <w:sz w:val="24"/>
          <w:szCs w:val="24"/>
          <w:lang w:val="en-US"/>
        </w:rPr>
        <w:t xml:space="preserve"> Wilcoxon signed rank test.</w:t>
      </w:r>
    </w:p>
    <w:p w14:paraId="00FC8893" w14:textId="77777777" w:rsidR="001E5BE9" w:rsidRDefault="001E5BE9" w:rsidP="001E5BE9">
      <w:pPr>
        <w:spacing w:after="0" w:line="360" w:lineRule="auto"/>
        <w:jc w:val="both"/>
        <w:rPr>
          <w:rFonts w:ascii="Times New Roman" w:hAnsi="Times New Roman" w:cs="Times New Roman"/>
          <w:sz w:val="24"/>
          <w:szCs w:val="24"/>
          <w:lang w:val="en-US"/>
        </w:rPr>
      </w:pPr>
    </w:p>
    <w:p w14:paraId="73101AC8" w14:textId="77777777" w:rsidR="001E5BE9" w:rsidRDefault="001E5BE9" w:rsidP="001E5BE9">
      <w:pPr>
        <w:spacing w:after="0" w:line="360" w:lineRule="auto"/>
        <w:jc w:val="both"/>
        <w:rPr>
          <w:rFonts w:ascii="Times New Roman" w:hAnsi="Times New Roman" w:cs="Times New Roman"/>
          <w:sz w:val="24"/>
          <w:szCs w:val="24"/>
          <w:lang w:val="en-US"/>
        </w:rPr>
      </w:pPr>
    </w:p>
    <w:p w14:paraId="4BE07161" w14:textId="77777777" w:rsidR="001E5BE9" w:rsidRDefault="001E5BE9" w:rsidP="001E5BE9">
      <w:pPr>
        <w:spacing w:after="0" w:line="360" w:lineRule="auto"/>
        <w:jc w:val="both"/>
        <w:rPr>
          <w:rFonts w:ascii="Times New Roman" w:hAnsi="Times New Roman" w:cs="Times New Roman"/>
          <w:sz w:val="24"/>
          <w:szCs w:val="24"/>
          <w:lang w:val="en-US"/>
        </w:rPr>
      </w:pPr>
      <w:r w:rsidRPr="0086126D">
        <w:rPr>
          <w:noProof/>
        </w:rPr>
        <w:lastRenderedPageBreak/>
        <w:drawing>
          <wp:inline distT="0" distB="0" distL="0" distR="0" wp14:anchorId="2D746B46" wp14:editId="66442149">
            <wp:extent cx="2762250" cy="5880703"/>
            <wp:effectExtent l="0" t="0" r="0" b="635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3275" cy="5882884"/>
                    </a:xfrm>
                    <a:prstGeom prst="rect">
                      <a:avLst/>
                    </a:prstGeom>
                    <a:noFill/>
                    <a:ln>
                      <a:noFill/>
                    </a:ln>
                  </pic:spPr>
                </pic:pic>
              </a:graphicData>
            </a:graphic>
          </wp:inline>
        </w:drawing>
      </w:r>
      <w:r w:rsidRPr="0086126D" w:rsidDel="0086126D">
        <w:rPr>
          <w:lang w:val="en-US"/>
        </w:rPr>
        <w:t xml:space="preserve"> </w:t>
      </w:r>
    </w:p>
    <w:p w14:paraId="7C6A6BE1" w14:textId="77777777" w:rsidR="001E5BE9" w:rsidRPr="00447ED9" w:rsidRDefault="001E5BE9" w:rsidP="001E5BE9">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Supplementary table 2. Summary statistics for development time </w:t>
      </w:r>
      <w:r>
        <w:rPr>
          <w:rFonts w:ascii="Times New Roman" w:eastAsia="Times New Roman" w:hAnsi="Times New Roman" w:cs="Times New Roman"/>
          <w:color w:val="000000"/>
          <w:sz w:val="24"/>
          <w:szCs w:val="24"/>
          <w:lang w:val="en-GB"/>
        </w:rPr>
        <w:t xml:space="preserve">showing the results of the </w:t>
      </w:r>
      <w:r>
        <w:rPr>
          <w:rFonts w:ascii="Times New Roman" w:hAnsi="Times New Roman" w:cs="Times New Roman"/>
          <w:sz w:val="24"/>
          <w:szCs w:val="24"/>
          <w:lang w:val="en-US"/>
        </w:rPr>
        <w:t>Kruskal-Wallis</w:t>
      </w:r>
      <w:r w:rsidRPr="0086126D">
        <w:rPr>
          <w:rFonts w:ascii="Times New Roman" w:hAnsi="Times New Roman" w:cs="Times New Roman"/>
          <w:sz w:val="24"/>
          <w:szCs w:val="24"/>
          <w:lang w:val="en-US"/>
        </w:rPr>
        <w:t xml:space="preserve"> </w:t>
      </w:r>
      <w:r>
        <w:rPr>
          <w:rFonts w:ascii="Times New Roman" w:hAnsi="Times New Roman" w:cs="Times New Roman"/>
          <w:sz w:val="24"/>
          <w:szCs w:val="24"/>
          <w:lang w:val="en-US"/>
        </w:rPr>
        <w:t>test</w:t>
      </w:r>
      <w:r w:rsidRPr="0086126D">
        <w:rPr>
          <w:rStyle w:val="CommentReference"/>
          <w:lang w:val="en-US"/>
        </w:rPr>
        <w:t xml:space="preserve"> </w:t>
      </w:r>
      <w:r>
        <w:rPr>
          <w:rFonts w:ascii="Times New Roman" w:hAnsi="Times New Roman" w:cs="Times New Roman"/>
          <w:sz w:val="24"/>
          <w:szCs w:val="24"/>
          <w:lang w:val="en-US"/>
        </w:rPr>
        <w:t>and the</w:t>
      </w:r>
      <w:r w:rsidRPr="0086126D">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nonparametric</w:t>
      </w:r>
      <w:r>
        <w:rPr>
          <w:rFonts w:ascii="Times New Roman" w:hAnsi="Times New Roman" w:cs="Times New Roman"/>
          <w:sz w:val="24"/>
          <w:szCs w:val="24"/>
          <w:lang w:val="en-US"/>
        </w:rPr>
        <w:t xml:space="preserve"> Wilcoxon test. </w:t>
      </w:r>
    </w:p>
    <w:p w14:paraId="19B9882F" w14:textId="77777777" w:rsidR="001E5BE9" w:rsidRPr="002236FC" w:rsidRDefault="001E5BE9" w:rsidP="001E5BE9">
      <w:pPr>
        <w:spacing w:after="0" w:line="360" w:lineRule="auto"/>
        <w:jc w:val="both"/>
        <w:rPr>
          <w:rFonts w:ascii="Times New Roman" w:hAnsi="Times New Roman" w:cs="Times New Roman"/>
          <w:sz w:val="24"/>
          <w:szCs w:val="24"/>
          <w:lang w:val="en-US"/>
        </w:rPr>
      </w:pPr>
      <w:r w:rsidRPr="0086126D">
        <w:rPr>
          <w:noProof/>
        </w:rPr>
        <w:lastRenderedPageBreak/>
        <w:drawing>
          <wp:inline distT="0" distB="0" distL="0" distR="0" wp14:anchorId="5EBDEAF3" wp14:editId="36EB48AA">
            <wp:extent cx="5829300" cy="3092063"/>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32" cy="3098817"/>
                    </a:xfrm>
                    <a:prstGeom prst="rect">
                      <a:avLst/>
                    </a:prstGeom>
                    <a:noFill/>
                    <a:ln>
                      <a:noFill/>
                    </a:ln>
                  </pic:spPr>
                </pic:pic>
              </a:graphicData>
            </a:graphic>
          </wp:inline>
        </w:drawing>
      </w:r>
      <w:r w:rsidRPr="00E35BD9" w:rsidDel="0086126D">
        <w:rPr>
          <w:lang w:val="en-US"/>
        </w:rPr>
        <w:t xml:space="preserve"> </w:t>
      </w:r>
    </w:p>
    <w:p w14:paraId="7DAA26D9" w14:textId="77777777" w:rsidR="001E5BE9" w:rsidRDefault="001E5BE9" w:rsidP="001E5BE9">
      <w:pPr>
        <w:spacing w:after="0" w:line="360" w:lineRule="auto"/>
        <w:jc w:val="both"/>
        <w:rPr>
          <w:rFonts w:ascii="Times New Roman" w:hAnsi="Times New Roman" w:cs="Times New Roman"/>
          <w:sz w:val="24"/>
          <w:szCs w:val="24"/>
          <w:lang w:val="en-US"/>
        </w:rPr>
      </w:pPr>
      <w:r w:rsidRPr="002236FC">
        <w:rPr>
          <w:rFonts w:ascii="Times New Roman" w:hAnsi="Times New Roman" w:cs="Times New Roman"/>
          <w:sz w:val="24"/>
          <w:szCs w:val="24"/>
          <w:lang w:val="en-US"/>
        </w:rPr>
        <w:t>Sup</w:t>
      </w:r>
      <w:r>
        <w:rPr>
          <w:rFonts w:ascii="Times New Roman" w:hAnsi="Times New Roman" w:cs="Times New Roman"/>
          <w:sz w:val="24"/>
          <w:szCs w:val="24"/>
          <w:lang w:val="en-US"/>
        </w:rPr>
        <w:t>plementary</w:t>
      </w:r>
      <w:r w:rsidRPr="002236FC">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2236FC">
        <w:rPr>
          <w:rFonts w:ascii="Times New Roman" w:hAnsi="Times New Roman" w:cs="Times New Roman"/>
          <w:sz w:val="24"/>
          <w:szCs w:val="24"/>
          <w:lang w:val="en-US"/>
        </w:rPr>
        <w:t xml:space="preserve">able </w:t>
      </w:r>
      <w:r>
        <w:rPr>
          <w:rFonts w:ascii="Times New Roman" w:hAnsi="Times New Roman" w:cs="Times New Roman"/>
          <w:sz w:val="24"/>
          <w:szCs w:val="24"/>
          <w:lang w:val="en-US"/>
        </w:rPr>
        <w:t>3.</w:t>
      </w:r>
      <w:r w:rsidRPr="002236F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Summary statistics for the </w:t>
      </w:r>
      <w:r w:rsidRPr="002236FC">
        <w:rPr>
          <w:rFonts w:ascii="Times New Roman" w:hAnsi="Times New Roman" w:cs="Times New Roman"/>
          <w:sz w:val="24"/>
          <w:szCs w:val="24"/>
          <w:lang w:val="en-US"/>
        </w:rPr>
        <w:t xml:space="preserve">survival </w:t>
      </w:r>
      <w:r>
        <w:rPr>
          <w:rFonts w:ascii="Times New Roman" w:hAnsi="Times New Roman" w:cs="Times New Roman"/>
          <w:sz w:val="24"/>
          <w:szCs w:val="24"/>
          <w:lang w:val="en-US"/>
        </w:rPr>
        <w:t xml:space="preserve">rate </w:t>
      </w:r>
      <w:r w:rsidRPr="002236FC">
        <w:rPr>
          <w:rFonts w:ascii="Times New Roman" w:hAnsi="Times New Roman" w:cs="Times New Roman"/>
          <w:sz w:val="24"/>
          <w:szCs w:val="24"/>
          <w:lang w:val="en-US"/>
        </w:rPr>
        <w:t>from egg to tadpoles in crossbreed</w:t>
      </w:r>
      <w:r>
        <w:rPr>
          <w:rFonts w:ascii="Times New Roman" w:hAnsi="Times New Roman" w:cs="Times New Roman"/>
          <w:sz w:val="24"/>
          <w:szCs w:val="24"/>
          <w:lang w:val="en-US"/>
        </w:rPr>
        <w:t xml:space="preserve">, presenting group means, and their associated p-value. “N.S” for non-significant difference in mean, and bold values when mean was significantly different from controls (in </w:t>
      </w:r>
      <w:r w:rsidRPr="004E2216">
        <w:rPr>
          <w:rFonts w:ascii="Times New Roman" w:hAnsi="Times New Roman" w:cs="Times New Roman"/>
          <w:i/>
          <w:iCs/>
          <w:sz w:val="24"/>
          <w:szCs w:val="24"/>
          <w:lang w:val="en-US"/>
        </w:rPr>
        <w:t>R. fantastica</w:t>
      </w:r>
      <w:r>
        <w:rPr>
          <w:rFonts w:ascii="Times New Roman" w:hAnsi="Times New Roman" w:cs="Times New Roman"/>
          <w:sz w:val="24"/>
          <w:szCs w:val="24"/>
          <w:lang w:val="en-US"/>
        </w:rPr>
        <w:t>: Nominal, Spotted and Hybrid). Only the highest associated p-value is shown.</w:t>
      </w:r>
    </w:p>
    <w:p w14:paraId="03A14062" w14:textId="77777777" w:rsidR="001E5BE9" w:rsidRDefault="001E5BE9" w:rsidP="001E5BE9">
      <w:pPr>
        <w:spacing w:after="0" w:line="360" w:lineRule="auto"/>
        <w:jc w:val="both"/>
        <w:rPr>
          <w:rFonts w:ascii="Times New Roman" w:hAnsi="Times New Roman" w:cs="Times New Roman"/>
          <w:sz w:val="24"/>
          <w:szCs w:val="24"/>
          <w:lang w:val="en-US"/>
        </w:rPr>
      </w:pPr>
    </w:p>
    <w:p w14:paraId="5C2F924B" w14:textId="77777777" w:rsidR="001E5BE9" w:rsidRPr="002236FC" w:rsidRDefault="001E5BE9" w:rsidP="001E5BE9">
      <w:pPr>
        <w:spacing w:after="0" w:line="360" w:lineRule="auto"/>
        <w:jc w:val="both"/>
        <w:rPr>
          <w:rFonts w:ascii="Times New Roman" w:hAnsi="Times New Roman" w:cs="Times New Roman"/>
          <w:sz w:val="24"/>
          <w:szCs w:val="24"/>
          <w:lang w:val="en-US"/>
        </w:rPr>
      </w:pPr>
    </w:p>
    <w:p w14:paraId="40C44474" w14:textId="77777777" w:rsidR="00755780" w:rsidRDefault="00755780"/>
    <w:sectPr w:rsidR="00755780" w:rsidSect="00C83F65">
      <w:footerReference w:type="even" r:id="rId9"/>
      <w:footerReference w:type="default" r:id="rId10"/>
      <w:footerReference w:type="first" r:id="rId11"/>
      <w:pgSz w:w="11906" w:h="16838"/>
      <w:pgMar w:top="1417" w:right="1417" w:bottom="1417" w:left="1417" w:header="0" w:footer="708" w:gutter="0"/>
      <w:lnNumType w:countBy="1" w:restart="continuous"/>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792049"/>
      <w:docPartObj>
        <w:docPartGallery w:val="Page Numbers (Bottom of Page)"/>
        <w:docPartUnique/>
      </w:docPartObj>
    </w:sdtPr>
    <w:sdtContent>
      <w:p w14:paraId="7B4F7A2B" w14:textId="77777777" w:rsidR="00000000"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14:paraId="330ED0B6"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76361"/>
      <w:docPartObj>
        <w:docPartGallery w:val="Page Numbers (Bottom of Page)"/>
        <w:docPartUnique/>
      </w:docPartObj>
    </w:sdtPr>
    <w:sdtContent>
      <w:p w14:paraId="23BE199C" w14:textId="77777777" w:rsidR="00000000"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4EE9337D"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353636"/>
      <w:docPartObj>
        <w:docPartGallery w:val="Page Numbers (Bottom of Page)"/>
        <w:docPartUnique/>
      </w:docPartObj>
    </w:sdtPr>
    <w:sdtContent>
      <w:p w14:paraId="5195FE9F" w14:textId="77777777" w:rsidR="00000000"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sdtContent>
  </w:sdt>
  <w:p w14:paraId="0255F554"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BE9"/>
    <w:rsid w:val="001E5BE9"/>
    <w:rsid w:val="00755780"/>
    <w:rsid w:val="00857596"/>
    <w:rsid w:val="00C8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80F1"/>
  <w15:chartTrackingRefBased/>
  <w15:docId w15:val="{D625C6F0-F309-42DF-8B54-751863FD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BE9"/>
    <w:pPr>
      <w:suppressAutoHyphens/>
    </w:pPr>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1E5BE9"/>
    <w:rPr>
      <w:sz w:val="16"/>
      <w:szCs w:val="16"/>
    </w:rPr>
  </w:style>
  <w:style w:type="character" w:customStyle="1" w:styleId="FooterChar">
    <w:name w:val="Footer Char"/>
    <w:basedOn w:val="DefaultParagraphFont"/>
    <w:link w:val="Footer"/>
    <w:uiPriority w:val="99"/>
    <w:qFormat/>
    <w:rsid w:val="001E5BE9"/>
  </w:style>
  <w:style w:type="character" w:styleId="PageNumber">
    <w:name w:val="page number"/>
    <w:basedOn w:val="DefaultParagraphFont"/>
    <w:uiPriority w:val="99"/>
    <w:semiHidden/>
    <w:unhideWhenUsed/>
    <w:qFormat/>
    <w:rsid w:val="001E5BE9"/>
  </w:style>
  <w:style w:type="paragraph" w:styleId="Footer">
    <w:name w:val="footer"/>
    <w:basedOn w:val="Normal"/>
    <w:link w:val="FooterChar"/>
    <w:uiPriority w:val="99"/>
    <w:unhideWhenUsed/>
    <w:rsid w:val="001E5BE9"/>
    <w:pPr>
      <w:tabs>
        <w:tab w:val="center" w:pos="4536"/>
        <w:tab w:val="right" w:pos="9072"/>
      </w:tabs>
      <w:spacing w:after="0" w:line="240" w:lineRule="auto"/>
    </w:pPr>
    <w:rPr>
      <w:kern w:val="2"/>
      <w:lang w:val="en-US"/>
      <w14:ligatures w14:val="standardContextual"/>
    </w:rPr>
  </w:style>
  <w:style w:type="character" w:customStyle="1" w:styleId="FooterChar1">
    <w:name w:val="Footer Char1"/>
    <w:basedOn w:val="DefaultParagraphFont"/>
    <w:uiPriority w:val="99"/>
    <w:semiHidden/>
    <w:rsid w:val="001E5BE9"/>
    <w:rPr>
      <w:kern w:val="0"/>
      <w:lang w:val="fr-FR"/>
      <w14:ligatures w14:val="none"/>
    </w:rPr>
  </w:style>
  <w:style w:type="character" w:styleId="LineNumber">
    <w:name w:val="line number"/>
    <w:basedOn w:val="DefaultParagraphFont"/>
    <w:uiPriority w:val="99"/>
    <w:semiHidden/>
    <w:unhideWhenUsed/>
    <w:rsid w:val="001E5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3.xml"/><Relationship Id="rId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572</Words>
  <Characters>3265</Characters>
  <Application>Microsoft Office Word</Application>
  <DocSecurity>0</DocSecurity>
  <Lines>27</Lines>
  <Paragraphs>7</Paragraphs>
  <ScaleCrop>false</ScaleCrop>
  <Company>Springer Nature</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2024-04-25T09:47:00Z</dcterms:created>
  <dcterms:modified xsi:type="dcterms:W3CDTF">2024-04-25T09:47:00Z</dcterms:modified>
</cp:coreProperties>
</file>