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5E" w:rsidRPr="00450451" w:rsidRDefault="001623A4" w:rsidP="00DC4E5E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450451">
        <w:rPr>
          <w:rFonts w:eastAsia="Times New Roman" w:cs="Times New Roman"/>
          <w:b/>
          <w:sz w:val="20"/>
          <w:szCs w:val="20"/>
        </w:rPr>
        <w:t xml:space="preserve">Supplementary </w:t>
      </w:r>
      <w:r w:rsidR="00DC4E5E" w:rsidRPr="00450451">
        <w:rPr>
          <w:rFonts w:eastAsia="Times New Roman" w:cs="Times New Roman"/>
          <w:b/>
          <w:sz w:val="20"/>
          <w:szCs w:val="20"/>
        </w:rPr>
        <w:t>Tables</w:t>
      </w:r>
    </w:p>
    <w:p w:rsidR="00DC4E5E" w:rsidRPr="00450451" w:rsidRDefault="00DC4E5E" w:rsidP="00DC4E5E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:rsidR="00DC4E5E" w:rsidRPr="00450451" w:rsidRDefault="001623A4" w:rsidP="00DC4E5E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450451">
        <w:rPr>
          <w:rFonts w:eastAsia="Times New Roman" w:cs="Times New Roman"/>
          <w:b/>
          <w:sz w:val="20"/>
          <w:szCs w:val="20"/>
        </w:rPr>
        <w:t xml:space="preserve">Supplementary </w:t>
      </w:r>
      <w:r w:rsidR="00DC4E5E" w:rsidRPr="00450451">
        <w:rPr>
          <w:rFonts w:eastAsia="Times New Roman" w:cs="Times New Roman"/>
          <w:b/>
          <w:sz w:val="20"/>
          <w:szCs w:val="20"/>
        </w:rPr>
        <w:t>Table 1.</w:t>
      </w:r>
      <w:r w:rsidR="00DC4E5E" w:rsidRPr="00450451">
        <w:rPr>
          <w:rFonts w:eastAsia="Times New Roman" w:cs="Times New Roman"/>
          <w:sz w:val="20"/>
          <w:szCs w:val="20"/>
        </w:rPr>
        <w:t xml:space="preserve"> Primers sequences used for </w:t>
      </w:r>
      <w:proofErr w:type="spellStart"/>
      <w:r w:rsidR="00DC4E5E" w:rsidRPr="00450451">
        <w:rPr>
          <w:rFonts w:eastAsia="Times New Roman" w:cs="Times New Roman"/>
          <w:sz w:val="20"/>
          <w:szCs w:val="20"/>
        </w:rPr>
        <w:t>qRT</w:t>
      </w:r>
      <w:proofErr w:type="spellEnd"/>
      <w:r w:rsidR="00DC4E5E" w:rsidRPr="00450451">
        <w:rPr>
          <w:rFonts w:eastAsia="Times New Roman" w:cs="Times New Roman"/>
          <w:sz w:val="20"/>
          <w:szCs w:val="20"/>
        </w:rPr>
        <w:t>-PCR analysis of specific genes</w:t>
      </w:r>
    </w:p>
    <w:p w:rsidR="00DC4E5E" w:rsidRPr="00450451" w:rsidRDefault="00DC4E5E" w:rsidP="00DC4E5E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tbl>
      <w:tblPr>
        <w:tblStyle w:val="TableGrid"/>
        <w:tblW w:w="11028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4252"/>
        <w:gridCol w:w="1276"/>
        <w:gridCol w:w="1139"/>
        <w:gridCol w:w="2092"/>
      </w:tblGrid>
      <w:tr w:rsidR="00DC4E5E" w:rsidRPr="00450451" w:rsidTr="00374C6A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C2599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S. No.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C2599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C2599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Primer Sequence (5’ to 3’)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C2599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Annealing temp (°C)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C2599D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Product length (</w:t>
            </w:r>
            <w:proofErr w:type="spellStart"/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C4E5E" w:rsidRPr="00450451" w:rsidRDefault="00DC4E5E" w:rsidP="008762C3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450451">
              <w:rPr>
                <w:rFonts w:eastAsia="Times New Roman" w:cs="Times New Roman"/>
                <w:b/>
                <w:sz w:val="20"/>
                <w:szCs w:val="20"/>
              </w:rPr>
              <w:t>Reference</w:t>
            </w:r>
            <w:r w:rsidR="008762C3" w:rsidRPr="00450451">
              <w:rPr>
                <w:rFonts w:eastAsia="Times New Roman" w:cs="Times New Roman"/>
                <w:b/>
                <w:sz w:val="20"/>
                <w:szCs w:val="20"/>
              </w:rPr>
              <w:t xml:space="preserve"> /</w:t>
            </w:r>
            <w:r w:rsidR="008762C3" w:rsidRPr="00450451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762C3" w:rsidRPr="00450451">
              <w:rPr>
                <w:rFonts w:eastAsia="Times New Roman" w:cs="Times New Roman"/>
                <w:b/>
                <w:sz w:val="20"/>
                <w:szCs w:val="20"/>
              </w:rPr>
              <w:t>Accession no.</w:t>
            </w:r>
            <w:r w:rsidR="008762C3" w:rsidRPr="00450451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CB3D61" w:rsidRPr="00450451" w:rsidTr="00374C6A">
        <w:trPr>
          <w:trHeight w:val="304"/>
        </w:trPr>
        <w:tc>
          <w:tcPr>
            <w:tcW w:w="709" w:type="dxa"/>
            <w:tcBorders>
              <w:top w:val="single" w:sz="4" w:space="0" w:color="auto"/>
            </w:tcBorders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OCT-4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F: GGTTCTCTTTGGAAAGGTGTTC 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R: ACACTCGGACCACGTCTTTC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314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CB3D61" w:rsidRPr="00450451" w:rsidRDefault="00CB3D61" w:rsidP="002172CF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50451">
              <w:rPr>
                <w:rFonts w:eastAsia="Times New Roman" w:cs="Times New Roman"/>
                <w:sz w:val="20"/>
                <w:szCs w:val="20"/>
              </w:rPr>
              <w:t>Pramod</w:t>
            </w:r>
            <w:proofErr w:type="spellEnd"/>
            <w:r w:rsidRPr="00450451">
              <w:rPr>
                <w:rFonts w:eastAsia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450451">
              <w:rPr>
                <w:rFonts w:eastAsia="Times New Roman" w:cs="Times New Roman"/>
                <w:sz w:val="20"/>
                <w:szCs w:val="20"/>
              </w:rPr>
              <w:t>Mitra</w:t>
            </w:r>
            <w:proofErr w:type="spellEnd"/>
            <w:r w:rsidRPr="00450451">
              <w:rPr>
                <w:rFonts w:eastAsia="Times New Roman" w:cs="Times New Roman"/>
                <w:sz w:val="20"/>
                <w:szCs w:val="20"/>
              </w:rPr>
              <w:t xml:space="preserve"> 2014 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THY-1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F: TGCTAACAGTCTTACAGGTG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R: GGCTGAACTCATACTGAATGG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131</w:t>
            </w:r>
          </w:p>
        </w:tc>
        <w:tc>
          <w:tcPr>
            <w:tcW w:w="2092" w:type="dxa"/>
          </w:tcPr>
          <w:p w:rsidR="00CB3D61" w:rsidRPr="00450451" w:rsidRDefault="00CB3D61" w:rsidP="002172CF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Sharma </w:t>
            </w:r>
            <w:r w:rsidRPr="00450451">
              <w:rPr>
                <w:rFonts w:eastAsia="Times New Roman" w:cs="Times New Roman"/>
                <w:i/>
                <w:sz w:val="20"/>
                <w:szCs w:val="20"/>
              </w:rPr>
              <w:t>et al.</w:t>
            </w:r>
            <w:r w:rsidRPr="00450451">
              <w:rPr>
                <w:rFonts w:eastAsia="Times New Roman" w:cs="Times New Roman"/>
                <w:sz w:val="20"/>
                <w:szCs w:val="20"/>
              </w:rPr>
              <w:t xml:space="preserve"> 2019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UCHL-1 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F: GATAAGCACTTACCCTCAACC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R:GCCTTAACTTACAGACACAAACC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165</w:t>
            </w:r>
          </w:p>
        </w:tc>
        <w:tc>
          <w:tcPr>
            <w:tcW w:w="2092" w:type="dxa"/>
          </w:tcPr>
          <w:p w:rsidR="00CB3D61" w:rsidRPr="00450451" w:rsidRDefault="00CB3D61" w:rsidP="002172C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Sharma </w:t>
            </w:r>
            <w:r w:rsidRPr="00450451">
              <w:rPr>
                <w:rFonts w:eastAsia="Times New Roman" w:cs="Times New Roman"/>
                <w:i/>
                <w:sz w:val="20"/>
                <w:szCs w:val="20"/>
              </w:rPr>
              <w:t>et al.</w:t>
            </w:r>
            <w:r w:rsidRPr="00450451">
              <w:rPr>
                <w:rFonts w:eastAsia="Times New Roman" w:cs="Times New Roman"/>
                <w:sz w:val="20"/>
                <w:szCs w:val="20"/>
              </w:rPr>
              <w:t xml:space="preserve"> 2019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/>
                <w:sz w:val="20"/>
                <w:szCs w:val="20"/>
              </w:rPr>
              <w:t>Integrin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F: CAAGTCATGTGGGGAGTGTA</w:t>
            </w:r>
          </w:p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CACATCGAGCAGATGTAGGC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NM_001314156.1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/>
                <w:sz w:val="20"/>
                <w:szCs w:val="20"/>
              </w:rPr>
              <w:t>CDH1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F: GTTCTGCCAGACTCTAGCC </w:t>
            </w:r>
          </w:p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GGGCTCCGGCTCCTGGCA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145 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XM_005692180.3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/>
                <w:sz w:val="20"/>
                <w:szCs w:val="20"/>
              </w:rPr>
              <w:t>PPAR γ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F: ACACGATGCTGGCCTCCTTG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CAGCAAACTCGAACTTGGGC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135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NM_001285658.1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/>
                <w:sz w:val="20"/>
                <w:szCs w:val="20"/>
              </w:rPr>
              <w:t xml:space="preserve"> C/EBPα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F: </w:t>
            </w:r>
            <w:r w:rsidRPr="00450451">
              <w:rPr>
                <w:rFonts w:cs="Times New Roman"/>
                <w:sz w:val="20"/>
                <w:szCs w:val="20"/>
              </w:rPr>
              <w:t>TGGGCGGCATCTGCGAGC</w:t>
            </w:r>
          </w:p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R: </w:t>
            </w:r>
            <w:r w:rsidRPr="00450451">
              <w:rPr>
                <w:rFonts w:cs="Times New Roman"/>
                <w:sz w:val="20"/>
                <w:szCs w:val="20"/>
              </w:rPr>
              <w:t>GGCTGTGCTGGAACAGGTC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 xml:space="preserve">102 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NM_001287424.2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Nestin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F: GCGGACCACTGAGCAG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GTCCTGTATGTGGCCACC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XM_018046299.1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Doublecortin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F: GTTCTACGTGGGCCGCAAGT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GCGTCGGCGTGAAGAGGC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125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XM_018052787.1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Calibri" w:cs="Times New Roman"/>
                <w:sz w:val="20"/>
                <w:szCs w:val="20"/>
              </w:rPr>
              <w:t xml:space="preserve">β-tubulin 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F: </w:t>
            </w:r>
            <w:r w:rsidRPr="00450451">
              <w:rPr>
                <w:rFonts w:eastAsia="Calibri" w:cs="Times New Roman"/>
                <w:sz w:val="20"/>
                <w:szCs w:val="20"/>
              </w:rPr>
              <w:t>CTTCCCACGTCTCCACTTCT</w:t>
            </w:r>
          </w:p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R: </w:t>
            </w:r>
            <w:r w:rsidRPr="00450451">
              <w:rPr>
                <w:rFonts w:eastAsia="Calibri" w:cs="Times New Roman"/>
                <w:sz w:val="20"/>
                <w:szCs w:val="20"/>
              </w:rPr>
              <w:t xml:space="preserve">TCTTGTTCTGCACGTTGAGC </w:t>
            </w:r>
          </w:p>
        </w:tc>
        <w:tc>
          <w:tcPr>
            <w:tcW w:w="1276" w:type="dxa"/>
          </w:tcPr>
          <w:p w:rsidR="00CB3D61" w:rsidRPr="00450451" w:rsidRDefault="00BB2824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13781C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233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Wang et al., 2015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Col2A1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F: TTCCTGGCAAAGATGGTGAG </w:t>
            </w:r>
          </w:p>
          <w:p w:rsidR="00CB3D61" w:rsidRPr="00450451" w:rsidRDefault="00CB3D61" w:rsidP="00CB3D61">
            <w:pPr>
              <w:rPr>
                <w:rFonts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>R: GGGAGGGCCAGGAAGTC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126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XM_018047868.1</w:t>
            </w:r>
          </w:p>
        </w:tc>
      </w:tr>
      <w:tr w:rsidR="00CB3D61" w:rsidRPr="00450451" w:rsidTr="00374C6A">
        <w:tc>
          <w:tcPr>
            <w:tcW w:w="709" w:type="dxa"/>
          </w:tcPr>
          <w:p w:rsidR="00CB3D61" w:rsidRPr="00450451" w:rsidRDefault="00CB3D61" w:rsidP="00CB3D6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Calibri" w:cs="Times New Roman"/>
                <w:sz w:val="20"/>
                <w:szCs w:val="20"/>
              </w:rPr>
              <w:t>GAPDH</w:t>
            </w:r>
          </w:p>
        </w:tc>
        <w:tc>
          <w:tcPr>
            <w:tcW w:w="4252" w:type="dxa"/>
          </w:tcPr>
          <w:p w:rsidR="00CB3D61" w:rsidRPr="00450451" w:rsidRDefault="00CB3D61" w:rsidP="00CB3D61">
            <w:pPr>
              <w:rPr>
                <w:rFonts w:eastAsia="Calibri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F: </w:t>
            </w:r>
            <w:r w:rsidRPr="00450451">
              <w:rPr>
                <w:rFonts w:eastAsia="Calibri" w:cs="Times New Roman"/>
                <w:sz w:val="20"/>
                <w:szCs w:val="20"/>
              </w:rPr>
              <w:t>GGGAAGCTCGTCATCAATGGA</w:t>
            </w:r>
          </w:p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cs="Times New Roman"/>
                <w:sz w:val="20"/>
                <w:szCs w:val="20"/>
              </w:rPr>
              <w:t xml:space="preserve">R: </w:t>
            </w:r>
            <w:r w:rsidRPr="00450451">
              <w:rPr>
                <w:rFonts w:eastAsia="Calibri" w:cs="Times New Roman"/>
                <w:sz w:val="20"/>
                <w:szCs w:val="20"/>
              </w:rPr>
              <w:t>CCACCACGTACTCAGCACC</w:t>
            </w:r>
          </w:p>
        </w:tc>
        <w:tc>
          <w:tcPr>
            <w:tcW w:w="1276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9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97</w:t>
            </w:r>
          </w:p>
        </w:tc>
        <w:tc>
          <w:tcPr>
            <w:tcW w:w="2092" w:type="dxa"/>
          </w:tcPr>
          <w:p w:rsidR="00CB3D61" w:rsidRPr="00450451" w:rsidRDefault="00CB3D61" w:rsidP="00CB3D61">
            <w:pPr>
              <w:rPr>
                <w:rFonts w:eastAsia="Times New Roman" w:cs="Times New Roman"/>
                <w:sz w:val="20"/>
                <w:szCs w:val="20"/>
              </w:rPr>
            </w:pPr>
            <w:r w:rsidRPr="00450451">
              <w:rPr>
                <w:rFonts w:eastAsia="Times New Roman" w:cs="Times New Roman"/>
                <w:sz w:val="20"/>
                <w:szCs w:val="20"/>
              </w:rPr>
              <w:t>AJ431207.1</w:t>
            </w:r>
          </w:p>
        </w:tc>
      </w:tr>
    </w:tbl>
    <w:p w:rsidR="00E1130B" w:rsidRPr="00450451" w:rsidRDefault="005F507C" w:rsidP="005F507C">
      <w:pPr>
        <w:ind w:left="-851" w:right="-1180"/>
        <w:jc w:val="both"/>
        <w:rPr>
          <w:rFonts w:cs="Times New Roman"/>
          <w:b/>
          <w:sz w:val="20"/>
          <w:szCs w:val="20"/>
        </w:rPr>
      </w:pPr>
      <w:r w:rsidRPr="00450451">
        <w:rPr>
          <w:rFonts w:eastAsia="Calibri" w:cs="Times New Roman"/>
          <w:color w:val="000000"/>
          <w:kern w:val="24"/>
          <w:sz w:val="20"/>
          <w:szCs w:val="20"/>
          <w:lang w:val="en-US" w:eastAsia="en-IN"/>
        </w:rPr>
        <w:t xml:space="preserve">OCT-4 = octamer-binding transcription factor-4; THY-1= THY-1 T-cell antigen; UCHL-1 = ubiquitin carboxyl-terminal esterase L-1; </w:t>
      </w:r>
      <w:r w:rsidRPr="00450451">
        <w:rPr>
          <w:rFonts w:cs="Times New Roman"/>
          <w:bCs/>
          <w:color w:val="000000"/>
          <w:sz w:val="20"/>
          <w:szCs w:val="20"/>
        </w:rPr>
        <w:t xml:space="preserve">CDH1 = E-Cadherin; </w:t>
      </w:r>
      <w:proofErr w:type="spellStart"/>
      <w:r w:rsidRPr="00450451">
        <w:rPr>
          <w:rFonts w:eastAsia="Calibri" w:cs="Times New Roman"/>
          <w:color w:val="000000"/>
          <w:kern w:val="24"/>
          <w:sz w:val="20"/>
          <w:szCs w:val="20"/>
          <w:lang w:val="en-US" w:eastAsia="en-IN"/>
        </w:rPr>
        <w:t>PPARγ</w:t>
      </w:r>
      <w:proofErr w:type="spellEnd"/>
      <w:r w:rsidRPr="00450451">
        <w:rPr>
          <w:rFonts w:eastAsia="Calibri" w:cs="Times New Roman"/>
          <w:color w:val="000000"/>
          <w:kern w:val="24"/>
          <w:sz w:val="20"/>
          <w:szCs w:val="20"/>
          <w:lang w:val="en-US" w:eastAsia="en-IN"/>
        </w:rPr>
        <w:t xml:space="preserve"> = Peroxisome proliferator-activated receptor gamma, C/EBPα = CCAAT-enhancer-binding protein alpha; COL2A1 = Collagen Type II Alpha 1</w:t>
      </w: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450451" w:rsidRPr="00450451" w:rsidRDefault="00450451" w:rsidP="00450451">
      <w:pPr>
        <w:jc w:val="both"/>
        <w:rPr>
          <w:rFonts w:cs="Times New Roman"/>
          <w:color w:val="000000" w:themeColor="text1"/>
          <w:sz w:val="20"/>
          <w:szCs w:val="20"/>
        </w:rPr>
      </w:pPr>
      <w:r w:rsidRPr="00450451">
        <w:rPr>
          <w:rFonts w:cs="Times New Roman"/>
          <w:b/>
          <w:color w:val="000000" w:themeColor="text1"/>
          <w:sz w:val="20"/>
          <w:szCs w:val="20"/>
        </w:rPr>
        <w:t xml:space="preserve">Supplementary Table </w:t>
      </w:r>
      <w:r>
        <w:rPr>
          <w:rFonts w:cs="Times New Roman"/>
          <w:b/>
          <w:color w:val="000000" w:themeColor="text1"/>
          <w:sz w:val="20"/>
          <w:szCs w:val="20"/>
        </w:rPr>
        <w:t>2</w:t>
      </w:r>
      <w:r w:rsidRPr="00450451">
        <w:rPr>
          <w:rFonts w:cs="Times New Roman"/>
          <w:b/>
          <w:color w:val="000000" w:themeColor="text1"/>
          <w:sz w:val="20"/>
          <w:szCs w:val="20"/>
        </w:rPr>
        <w:t xml:space="preserve">. </w:t>
      </w:r>
      <w:r w:rsidRPr="00450451">
        <w:rPr>
          <w:rFonts w:cs="Times New Roman"/>
          <w:color w:val="000000" w:themeColor="text1"/>
          <w:sz w:val="20"/>
          <w:szCs w:val="20"/>
        </w:rPr>
        <w:t xml:space="preserve"> Morphometry of cmGSCs grown under either normoxic or hypoxic culture conditions </w:t>
      </w:r>
    </w:p>
    <w:tbl>
      <w:tblPr>
        <w:tblStyle w:val="TableGrid"/>
        <w:tblW w:w="100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83"/>
        <w:gridCol w:w="1701"/>
        <w:gridCol w:w="2127"/>
        <w:gridCol w:w="323"/>
        <w:gridCol w:w="1945"/>
        <w:gridCol w:w="2126"/>
      </w:tblGrid>
      <w:tr w:rsidR="00450451" w:rsidRPr="00450451" w:rsidTr="00450451">
        <w:trPr>
          <w:trHeight w:val="315"/>
        </w:trPr>
        <w:tc>
          <w:tcPr>
            <w:tcW w:w="15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 Morphometric variables</w:t>
            </w:r>
          </w:p>
          <w:p w:rsidR="00450451" w:rsidRPr="00450451" w:rsidRDefault="00450451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 7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 14</w:t>
            </w:r>
          </w:p>
        </w:tc>
      </w:tr>
      <w:tr w:rsidR="00450451" w:rsidRPr="00450451" w:rsidTr="00450451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0451" w:rsidRPr="00450451" w:rsidRDefault="00450451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Normoxia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Hypoxia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Normoxia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Hypoxia</w:t>
            </w:r>
          </w:p>
        </w:tc>
      </w:tr>
      <w:tr w:rsidR="00450451" w:rsidRPr="00450451" w:rsidTr="00450451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</w:rPr>
              <w:t>Area (µm</w:t>
            </w: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5298.01 ± 368.58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61995.60 ± 32760.11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13511.75 ± 1739.63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214943.48 ± 96669.10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450451" w:rsidRPr="00450451" w:rsidTr="00450451">
        <w:trPr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</w:rPr>
              <w:t>Intensity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2938.62 ± 98.32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17466.69 ± 15085.11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2243.07 ± 141.28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2792.23 ± 159.19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="00450451" w:rsidRPr="00450451" w:rsidTr="00450451">
        <w:trPr>
          <w:trHeight w:val="31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</w:rPr>
              <w:t>Perimeter (µm)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257.71 ± 9.07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800.19 ± 263.39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410.34 ± 26.56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1497.91 ± 478.19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450451" w:rsidRPr="00450451" w:rsidTr="00450451">
        <w:trPr>
          <w:trHeight w:val="315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bCs/>
                <w:color w:val="000000" w:themeColor="text1"/>
                <w:sz w:val="20"/>
                <w:szCs w:val="20"/>
              </w:rPr>
              <w:t>Diameter (µm)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82.10 ± 2.90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254.71 ± 83.84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130.62 ± 8.45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50451" w:rsidRPr="00450451" w:rsidRDefault="0045045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50451">
              <w:rPr>
                <w:rFonts w:cs="Times New Roman"/>
                <w:color w:val="000000" w:themeColor="text1"/>
                <w:sz w:val="20"/>
                <w:szCs w:val="20"/>
              </w:rPr>
              <w:t>476.80 ± 152.21</w:t>
            </w:r>
            <w:r w:rsidRPr="00450451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</w:tbl>
    <w:p w:rsidR="00450451" w:rsidRPr="00450451" w:rsidRDefault="00450451" w:rsidP="00450451">
      <w:pPr>
        <w:spacing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0451">
        <w:rPr>
          <w:rFonts w:cs="Times New Roman"/>
          <w:color w:val="000000" w:themeColor="text1"/>
          <w:sz w:val="20"/>
          <w:szCs w:val="20"/>
        </w:rPr>
        <w:t>The results are mean ± SEM</w:t>
      </w:r>
    </w:p>
    <w:p w:rsidR="00450451" w:rsidRPr="00450451" w:rsidRDefault="00450451" w:rsidP="00450451">
      <w:pPr>
        <w:spacing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  <w:proofErr w:type="gramStart"/>
      <w:r w:rsidRPr="00450451">
        <w:rPr>
          <w:rFonts w:cs="Times New Roman"/>
          <w:color w:val="000000" w:themeColor="text1"/>
          <w:sz w:val="20"/>
          <w:szCs w:val="20"/>
        </w:rPr>
        <w:t>cmGSCs</w:t>
      </w:r>
      <w:proofErr w:type="gramEnd"/>
      <w:r w:rsidRPr="00450451">
        <w:rPr>
          <w:rFonts w:cs="Times New Roman"/>
          <w:color w:val="000000" w:themeColor="text1"/>
          <w:sz w:val="20"/>
          <w:szCs w:val="20"/>
        </w:rPr>
        <w:t xml:space="preserve"> (caprine male germline stem cells) </w:t>
      </w:r>
    </w:p>
    <w:p w:rsidR="00450451" w:rsidRPr="00450451" w:rsidRDefault="00450451" w:rsidP="00450451">
      <w:pPr>
        <w:spacing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0451">
        <w:rPr>
          <w:rFonts w:cs="Times New Roman"/>
          <w:color w:val="000000" w:themeColor="text1"/>
          <w:sz w:val="20"/>
          <w:szCs w:val="20"/>
        </w:rPr>
        <w:t xml:space="preserve">Independent sample t-test </w:t>
      </w:r>
      <w:proofErr w:type="gramStart"/>
      <w:r w:rsidRPr="00450451">
        <w:rPr>
          <w:rFonts w:cs="Times New Roman"/>
          <w:color w:val="000000" w:themeColor="text1"/>
          <w:sz w:val="20"/>
          <w:szCs w:val="20"/>
        </w:rPr>
        <w:t>was used</w:t>
      </w:r>
      <w:proofErr w:type="gramEnd"/>
      <w:r w:rsidRPr="00450451">
        <w:rPr>
          <w:rFonts w:cs="Times New Roman"/>
          <w:color w:val="000000" w:themeColor="text1"/>
          <w:sz w:val="20"/>
          <w:szCs w:val="20"/>
        </w:rPr>
        <w:t xml:space="preserve"> for statistical analyses</w:t>
      </w:r>
    </w:p>
    <w:p w:rsidR="00450451" w:rsidRPr="00450451" w:rsidRDefault="00450451" w:rsidP="00450451">
      <w:pPr>
        <w:spacing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0451">
        <w:rPr>
          <w:rFonts w:cs="Times New Roman"/>
          <w:color w:val="000000" w:themeColor="text1"/>
          <w:sz w:val="20"/>
          <w:szCs w:val="20"/>
        </w:rPr>
        <w:t>Data with different superscripts (a b, c and d within each column), differ significantly (</w:t>
      </w:r>
      <w:r w:rsidRPr="00450451">
        <w:rPr>
          <w:rFonts w:cs="Times New Roman"/>
          <w:i/>
          <w:color w:val="000000" w:themeColor="text1"/>
          <w:sz w:val="20"/>
          <w:szCs w:val="20"/>
        </w:rPr>
        <w:t>p</w:t>
      </w:r>
      <w:r w:rsidRPr="00450451">
        <w:rPr>
          <w:rFonts w:cs="Times New Roman"/>
          <w:color w:val="000000" w:themeColor="text1"/>
          <w:sz w:val="20"/>
          <w:szCs w:val="20"/>
        </w:rPr>
        <w:t xml:space="preserve"> &lt; 0.05); n = 6 replications</w:t>
      </w: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CB3D61" w:rsidRPr="00450451" w:rsidRDefault="00CB3D61" w:rsidP="00BD4CC0">
      <w:pPr>
        <w:rPr>
          <w:rFonts w:cs="Times New Roman"/>
          <w:b/>
          <w:sz w:val="20"/>
          <w:szCs w:val="20"/>
        </w:rPr>
      </w:pPr>
    </w:p>
    <w:p w:rsidR="003114A4" w:rsidRPr="00450451" w:rsidRDefault="00EA695B" w:rsidP="001623A4">
      <w:pPr>
        <w:spacing w:after="0" w:line="480" w:lineRule="auto"/>
        <w:jc w:val="both"/>
        <w:rPr>
          <w:rFonts w:cs="Times New Roman"/>
          <w:b/>
          <w:sz w:val="20"/>
          <w:szCs w:val="20"/>
        </w:rPr>
      </w:pPr>
      <w:bookmarkStart w:id="0" w:name="_GoBack"/>
      <w:bookmarkEnd w:id="0"/>
      <w:r w:rsidRPr="00450451">
        <w:rPr>
          <w:rFonts w:cs="Times New Roman"/>
          <w:b/>
          <w:sz w:val="20"/>
          <w:szCs w:val="20"/>
        </w:rPr>
        <w:lastRenderedPageBreak/>
        <w:t>Supplementary F</w:t>
      </w:r>
      <w:r w:rsidR="001623A4" w:rsidRPr="00450451">
        <w:rPr>
          <w:rFonts w:cs="Times New Roman"/>
          <w:b/>
          <w:sz w:val="20"/>
          <w:szCs w:val="20"/>
        </w:rPr>
        <w:t>igure captions</w:t>
      </w:r>
    </w:p>
    <w:p w:rsidR="001623A4" w:rsidRPr="00450451" w:rsidRDefault="001623A4" w:rsidP="001623A4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450451">
        <w:rPr>
          <w:rFonts w:cs="Times New Roman"/>
          <w:b/>
          <w:bCs/>
          <w:sz w:val="20"/>
          <w:szCs w:val="20"/>
          <w:lang w:val="en-US"/>
        </w:rPr>
        <w:t>Supplementary Fig. 1 (a)</w:t>
      </w:r>
      <w:r w:rsidRPr="00450451">
        <w:rPr>
          <w:rFonts w:cs="Times New Roman"/>
          <w:sz w:val="20"/>
          <w:szCs w:val="20"/>
          <w:lang w:val="en-US"/>
        </w:rPr>
        <w:t xml:space="preserve"> Phenotypic characteristics of caprine male germline stem cell (</w:t>
      </w:r>
      <w:proofErr w:type="spellStart"/>
      <w:r w:rsidRPr="00450451">
        <w:rPr>
          <w:rFonts w:cs="Times New Roman"/>
          <w:sz w:val="20"/>
          <w:szCs w:val="20"/>
          <w:lang w:val="en-US"/>
        </w:rPr>
        <w:t>cmGSC</w:t>
      </w:r>
      <w:proofErr w:type="spellEnd"/>
      <w:r w:rsidRPr="00450451">
        <w:rPr>
          <w:rFonts w:cs="Times New Roman"/>
          <w:sz w:val="20"/>
          <w:szCs w:val="20"/>
          <w:lang w:val="en-US"/>
        </w:rPr>
        <w:t>) colonies obtained by co-culturing of GCs onto the Sertoli cell feeder layer after day 3, 5 and 7 in culture.</w:t>
      </w:r>
      <w:r w:rsidRPr="00450451">
        <w:rPr>
          <w:rFonts w:cs="Times New Roman"/>
          <w:b/>
          <w:bCs/>
          <w:sz w:val="20"/>
          <w:szCs w:val="20"/>
          <w:lang w:val="en-US"/>
        </w:rPr>
        <w:t xml:space="preserve"> (b) </w:t>
      </w:r>
      <w:r w:rsidRPr="00450451">
        <w:rPr>
          <w:rFonts w:cs="Times New Roman"/>
          <w:sz w:val="20"/>
          <w:szCs w:val="20"/>
          <w:lang w:val="en-US"/>
        </w:rPr>
        <w:t>Alkaline phosphatase (AP) activity in cmGSCs. Cells (1×10</w:t>
      </w:r>
      <w:r w:rsidRPr="00450451">
        <w:rPr>
          <w:rFonts w:cs="Times New Roman"/>
          <w:sz w:val="20"/>
          <w:szCs w:val="20"/>
          <w:vertAlign w:val="superscript"/>
          <w:lang w:val="en-US"/>
        </w:rPr>
        <w:t>6</w:t>
      </w:r>
      <w:r w:rsidRPr="00450451">
        <w:rPr>
          <w:rFonts w:cs="Times New Roman"/>
          <w:sz w:val="20"/>
          <w:szCs w:val="20"/>
          <w:lang w:val="en-US"/>
        </w:rPr>
        <w:t xml:space="preserve"> cmGSCs) were seeded and cultured in each culture conditions for 3, 5 and 7 days before the AP activity </w:t>
      </w:r>
      <w:proofErr w:type="gramStart"/>
      <w:r w:rsidRPr="00450451">
        <w:rPr>
          <w:rFonts w:cs="Times New Roman"/>
          <w:sz w:val="20"/>
          <w:szCs w:val="20"/>
          <w:lang w:val="en-US"/>
        </w:rPr>
        <w:t>was analyzed</w:t>
      </w:r>
      <w:proofErr w:type="gramEnd"/>
      <w:r w:rsidRPr="00450451">
        <w:rPr>
          <w:rFonts w:cs="Times New Roman"/>
          <w:sz w:val="20"/>
          <w:szCs w:val="20"/>
          <w:lang w:val="en-US"/>
        </w:rPr>
        <w:t xml:space="preserve">. </w:t>
      </w:r>
      <w:proofErr w:type="gramStart"/>
      <w:r w:rsidRPr="00450451">
        <w:rPr>
          <w:rFonts w:cs="Times New Roman"/>
          <w:sz w:val="20"/>
          <w:szCs w:val="20"/>
          <w:lang w:val="en-US"/>
        </w:rPr>
        <w:t>cmGSCs</w:t>
      </w:r>
      <w:proofErr w:type="gramEnd"/>
      <w:r w:rsidRPr="00450451">
        <w:rPr>
          <w:rFonts w:cs="Times New Roman"/>
          <w:sz w:val="20"/>
          <w:szCs w:val="20"/>
          <w:lang w:val="en-US"/>
        </w:rPr>
        <w:t xml:space="preserve"> cultured under hypoxia showed a significant increase in AP activity after 7 days of culture. However, a significant decrease in AP activity post-7 days of culture </w:t>
      </w:r>
      <w:proofErr w:type="gramStart"/>
      <w:r w:rsidRPr="00450451">
        <w:rPr>
          <w:rFonts w:cs="Times New Roman"/>
          <w:sz w:val="20"/>
          <w:szCs w:val="20"/>
          <w:lang w:val="en-US"/>
        </w:rPr>
        <w:t>was detected</w:t>
      </w:r>
      <w:proofErr w:type="gramEnd"/>
      <w:r w:rsidRPr="00450451">
        <w:rPr>
          <w:rFonts w:cs="Times New Roman"/>
          <w:sz w:val="20"/>
          <w:szCs w:val="20"/>
          <w:lang w:val="en-US"/>
        </w:rPr>
        <w:t xml:space="preserve"> in cmGSCs cultured under normoxia. AP = alkaline phosphatase; cmGSCs = caprine male germline stem cells. Scale bar, 50 </w:t>
      </w:r>
      <w:proofErr w:type="spellStart"/>
      <w:r w:rsidRPr="00450451">
        <w:rPr>
          <w:rFonts w:cs="Times New Roman"/>
          <w:sz w:val="20"/>
          <w:szCs w:val="20"/>
          <w:lang w:val="en-US"/>
        </w:rPr>
        <w:t>μm</w:t>
      </w:r>
      <w:proofErr w:type="spellEnd"/>
    </w:p>
    <w:p w:rsidR="001623A4" w:rsidRPr="00450451" w:rsidRDefault="001623A4" w:rsidP="00BD4CC0">
      <w:pPr>
        <w:rPr>
          <w:rFonts w:cs="Times New Roman"/>
          <w:sz w:val="20"/>
          <w:szCs w:val="20"/>
        </w:rPr>
      </w:pPr>
    </w:p>
    <w:p w:rsidR="001623A4" w:rsidRPr="00450451" w:rsidRDefault="001623A4" w:rsidP="00BD4CC0">
      <w:pPr>
        <w:rPr>
          <w:rFonts w:cs="Times New Roman"/>
          <w:b/>
          <w:sz w:val="20"/>
          <w:szCs w:val="20"/>
        </w:rPr>
      </w:pPr>
    </w:p>
    <w:p w:rsidR="001623A4" w:rsidRPr="00450451" w:rsidRDefault="001623A4" w:rsidP="001623A4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450451">
        <w:rPr>
          <w:rFonts w:cs="Times New Roman"/>
          <w:b/>
          <w:sz w:val="20"/>
          <w:szCs w:val="20"/>
        </w:rPr>
        <w:t>Supplementary Fig. 2</w:t>
      </w:r>
      <w:r w:rsidRPr="00450451">
        <w:rPr>
          <w:rFonts w:cs="Times New Roman"/>
          <w:sz w:val="20"/>
          <w:szCs w:val="20"/>
        </w:rPr>
        <w:t xml:space="preserve"> Comparison of total cell count, count of live cells (× 105), and survival rate (</w:t>
      </w:r>
      <w:proofErr w:type="gramStart"/>
      <w:r w:rsidRPr="00450451">
        <w:rPr>
          <w:rFonts w:cs="Times New Roman"/>
          <w:sz w:val="20"/>
          <w:szCs w:val="20"/>
        </w:rPr>
        <w:t>%</w:t>
      </w:r>
      <w:proofErr w:type="gramEnd"/>
      <w:r w:rsidRPr="00450451">
        <w:rPr>
          <w:rFonts w:cs="Times New Roman"/>
          <w:sz w:val="20"/>
          <w:szCs w:val="20"/>
        </w:rPr>
        <w:t xml:space="preserve">) after different days in culture under normoxic or hypoxic conditions. Caprine male germline stem cells (cmGSCs) were seeded in equal number (50000 cells/cm2) onto </w:t>
      </w:r>
      <w:proofErr w:type="gramStart"/>
      <w:r w:rsidRPr="00450451">
        <w:rPr>
          <w:rFonts w:cs="Times New Roman"/>
          <w:sz w:val="20"/>
          <w:szCs w:val="20"/>
        </w:rPr>
        <w:t>6</w:t>
      </w:r>
      <w:proofErr w:type="gramEnd"/>
      <w:r w:rsidRPr="00450451">
        <w:rPr>
          <w:rFonts w:cs="Times New Roman"/>
          <w:sz w:val="20"/>
          <w:szCs w:val="20"/>
        </w:rPr>
        <w:t xml:space="preserve"> well tissue culture- treated plates which were kept under either normoxic or hypoxic condition. The cells </w:t>
      </w:r>
      <w:proofErr w:type="gramStart"/>
      <w:r w:rsidRPr="00450451">
        <w:rPr>
          <w:rFonts w:cs="Times New Roman"/>
          <w:sz w:val="20"/>
          <w:szCs w:val="20"/>
        </w:rPr>
        <w:t>were obtained</w:t>
      </w:r>
      <w:proofErr w:type="gramEnd"/>
      <w:r w:rsidRPr="00450451">
        <w:rPr>
          <w:rFonts w:cs="Times New Roman"/>
          <w:sz w:val="20"/>
          <w:szCs w:val="20"/>
        </w:rPr>
        <w:t xml:space="preserve"> by </w:t>
      </w:r>
      <w:proofErr w:type="spellStart"/>
      <w:r w:rsidRPr="00450451">
        <w:rPr>
          <w:rFonts w:cs="Times New Roman"/>
          <w:sz w:val="20"/>
          <w:szCs w:val="20"/>
        </w:rPr>
        <w:t>trypsinization</w:t>
      </w:r>
      <w:proofErr w:type="spellEnd"/>
      <w:r w:rsidRPr="00450451">
        <w:rPr>
          <w:rFonts w:cs="Times New Roman"/>
          <w:sz w:val="20"/>
          <w:szCs w:val="20"/>
        </w:rPr>
        <w:t xml:space="preserve"> for counting of total and live cells. n = </w:t>
      </w:r>
      <w:proofErr w:type="gramStart"/>
      <w:r w:rsidRPr="00450451">
        <w:rPr>
          <w:rFonts w:cs="Times New Roman"/>
          <w:sz w:val="20"/>
          <w:szCs w:val="20"/>
        </w:rPr>
        <w:t>4</w:t>
      </w:r>
      <w:proofErr w:type="gramEnd"/>
      <w:r w:rsidRPr="00450451">
        <w:rPr>
          <w:rFonts w:cs="Times New Roman"/>
          <w:sz w:val="20"/>
          <w:szCs w:val="20"/>
        </w:rPr>
        <w:t>, and error bars represent standard error (SE). Different letters (a and b or x and y) and * over the bars indicate a significant (p &lt; 0.05) difference in total cell count, live cell count and survival rate among the groups, respectively</w:t>
      </w:r>
    </w:p>
    <w:p w:rsidR="001623A4" w:rsidRPr="00450451" w:rsidRDefault="001623A4" w:rsidP="001623A4">
      <w:pPr>
        <w:spacing w:after="0" w:line="480" w:lineRule="auto"/>
        <w:jc w:val="both"/>
        <w:rPr>
          <w:rFonts w:cs="Times New Roman"/>
          <w:b/>
          <w:sz w:val="20"/>
          <w:szCs w:val="20"/>
        </w:rPr>
      </w:pPr>
    </w:p>
    <w:p w:rsidR="001623A4" w:rsidRPr="00450451" w:rsidRDefault="001623A4" w:rsidP="001623A4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450451">
        <w:rPr>
          <w:rFonts w:cs="Times New Roman"/>
          <w:b/>
          <w:sz w:val="20"/>
          <w:szCs w:val="20"/>
        </w:rPr>
        <w:t>Supplementary Fig. 3</w:t>
      </w:r>
      <w:r w:rsidRPr="00450451">
        <w:rPr>
          <w:rFonts w:cs="Times New Roman"/>
          <w:sz w:val="20"/>
          <w:szCs w:val="20"/>
        </w:rPr>
        <w:t xml:space="preserve"> Comparison of stemness, adhesion and differentiation specific gene transcription levels in caprine male germline stem cells (cmGSCs) (a) cultured and (b) differentiated under normoxia (control in both a and b for all the genes compared) or hypoxic condition for 5 and 21 days after P3, respectively. Cells (1×106 cmGSCs) </w:t>
      </w:r>
      <w:proofErr w:type="gramStart"/>
      <w:r w:rsidRPr="00450451">
        <w:rPr>
          <w:rFonts w:cs="Times New Roman"/>
          <w:sz w:val="20"/>
          <w:szCs w:val="20"/>
        </w:rPr>
        <w:t>were seeded onto 24 well culture plates and incubated under respective culture conditions</w:t>
      </w:r>
      <w:proofErr w:type="gramEnd"/>
      <w:r w:rsidRPr="00450451">
        <w:rPr>
          <w:rFonts w:cs="Times New Roman"/>
          <w:sz w:val="20"/>
          <w:szCs w:val="20"/>
        </w:rPr>
        <w:t xml:space="preserve">. Subsequently, transcription levels of GCs-specific genes </w:t>
      </w:r>
      <w:proofErr w:type="gramStart"/>
      <w:r w:rsidRPr="00450451">
        <w:rPr>
          <w:rFonts w:cs="Times New Roman"/>
          <w:sz w:val="20"/>
          <w:szCs w:val="20"/>
        </w:rPr>
        <w:t>were estimated</w:t>
      </w:r>
      <w:proofErr w:type="gramEnd"/>
      <w:r w:rsidRPr="00450451">
        <w:rPr>
          <w:rFonts w:cs="Times New Roman"/>
          <w:sz w:val="20"/>
          <w:szCs w:val="20"/>
        </w:rPr>
        <w:t xml:space="preserve"> by real-time PCR. In case of cmGSCs cultured for 5 days (a), cmGCs showed significantly higher expression of marker genes specific for pluripotency (OCT-4, THY-1, UCHL-1) and adhesion (β-integrin and E-Cadherin). Moreover, the significant (p &lt; 0.05) downregulation of adipogenic (C/EBPα), neurogenic (nestin, β-tubulin), and chondrogenic (COL2A1) differentiation was observed under hypoxic condition compared to the normoxic culture condition. Error bars represent standard error (SE). * </w:t>
      </w:r>
      <w:proofErr w:type="gramStart"/>
      <w:r w:rsidRPr="00450451">
        <w:rPr>
          <w:rFonts w:cs="Times New Roman"/>
          <w:sz w:val="20"/>
          <w:szCs w:val="20"/>
        </w:rPr>
        <w:t>p</w:t>
      </w:r>
      <w:proofErr w:type="gramEnd"/>
      <w:r w:rsidRPr="00450451">
        <w:rPr>
          <w:rFonts w:cs="Times New Roman"/>
          <w:sz w:val="20"/>
          <w:szCs w:val="20"/>
        </w:rPr>
        <w:t xml:space="preserve"> &lt; 0.05; ** p &lt; 0.001. OCT-4 = octamer-binding transcription factor-4; THY-1= THY-1 T-cell antigen; cmGCs= caprine male germline stem cells; PCR = polymerase chain reaction; UCHL-1 = ubiquitin carboxyl-terminal esterase L-1; </w:t>
      </w:r>
      <w:proofErr w:type="spellStart"/>
      <w:r w:rsidRPr="00450451">
        <w:rPr>
          <w:rFonts w:cs="Times New Roman"/>
          <w:sz w:val="20"/>
          <w:szCs w:val="20"/>
        </w:rPr>
        <w:t>PPARγ</w:t>
      </w:r>
      <w:proofErr w:type="spellEnd"/>
      <w:r w:rsidRPr="00450451">
        <w:rPr>
          <w:rFonts w:cs="Times New Roman"/>
          <w:sz w:val="20"/>
          <w:szCs w:val="20"/>
        </w:rPr>
        <w:t xml:space="preserve"> = Peroxisome proliferator-activated receptor gamma, C/EBPα = CCAAT-enhancer-binding protein alpha; COL2A1 = Collagen Type II Alpha 1</w:t>
      </w:r>
    </w:p>
    <w:sectPr w:rsidR="001623A4" w:rsidRPr="00450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729"/>
    <w:multiLevelType w:val="hybridMultilevel"/>
    <w:tmpl w:val="1C380A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F00E11"/>
    <w:multiLevelType w:val="hybridMultilevel"/>
    <w:tmpl w:val="A6E4E4E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E844BF"/>
    <w:multiLevelType w:val="hybridMultilevel"/>
    <w:tmpl w:val="30F80B1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B9"/>
    <w:rsid w:val="00090DF9"/>
    <w:rsid w:val="0013781C"/>
    <w:rsid w:val="00153AD6"/>
    <w:rsid w:val="001623A4"/>
    <w:rsid w:val="001676C7"/>
    <w:rsid w:val="002172CF"/>
    <w:rsid w:val="0022471E"/>
    <w:rsid w:val="00307C72"/>
    <w:rsid w:val="003114A4"/>
    <w:rsid w:val="00351159"/>
    <w:rsid w:val="00374C6A"/>
    <w:rsid w:val="003F44AC"/>
    <w:rsid w:val="00450451"/>
    <w:rsid w:val="005E0B05"/>
    <w:rsid w:val="005F507C"/>
    <w:rsid w:val="006662DF"/>
    <w:rsid w:val="006E2E4E"/>
    <w:rsid w:val="0077559C"/>
    <w:rsid w:val="008671AC"/>
    <w:rsid w:val="008762C3"/>
    <w:rsid w:val="008769DA"/>
    <w:rsid w:val="008E2F03"/>
    <w:rsid w:val="00945612"/>
    <w:rsid w:val="00956F0A"/>
    <w:rsid w:val="00A50D65"/>
    <w:rsid w:val="00A80DF0"/>
    <w:rsid w:val="00AB4372"/>
    <w:rsid w:val="00AC5F73"/>
    <w:rsid w:val="00B31FDF"/>
    <w:rsid w:val="00BB2824"/>
    <w:rsid w:val="00BD4CC0"/>
    <w:rsid w:val="00BD586E"/>
    <w:rsid w:val="00CB3D61"/>
    <w:rsid w:val="00CF42AD"/>
    <w:rsid w:val="00D55C6C"/>
    <w:rsid w:val="00D74287"/>
    <w:rsid w:val="00DC4E5E"/>
    <w:rsid w:val="00DD01AB"/>
    <w:rsid w:val="00E1130B"/>
    <w:rsid w:val="00E433A5"/>
    <w:rsid w:val="00E553B9"/>
    <w:rsid w:val="00EA695B"/>
    <w:rsid w:val="00EF4FDC"/>
    <w:rsid w:val="00F13EC0"/>
    <w:rsid w:val="00FB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7658"/>
  <w15:chartTrackingRefBased/>
  <w15:docId w15:val="{BE726531-49C7-4B11-9488-03A8FCD2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5612"/>
    <w:pPr>
      <w:ind w:left="720"/>
      <w:contextualSpacing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153AD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1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41</cp:revision>
  <cp:lastPrinted>2021-02-05T04:05:00Z</cp:lastPrinted>
  <dcterms:created xsi:type="dcterms:W3CDTF">2021-01-11T06:30:00Z</dcterms:created>
  <dcterms:modified xsi:type="dcterms:W3CDTF">2021-04-09T04:43:00Z</dcterms:modified>
</cp:coreProperties>
</file>