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Table S2. Details of the GWASs for PCa included in this study. The summary data were obtained from the PRACTICAL consortium as reported in Schumacher et al.. The data was analysed stratified by country and the genotyping was performed using a custom array, namely the OncoArray.</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6"/>
        <w:gridCol w:w="1914"/>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2346" w:type="dxa"/>
            <w:tcBorders>
              <w:top w:val="single" w:color="auto" w:sz="8" w:space="0"/>
              <w:left w:val="nil"/>
              <w:bottom w:val="single" w:color="auto" w:sz="8" w:space="0"/>
              <w:right w:val="nil"/>
            </w:tcBorders>
            <w:shd w:val="clear" w:color="auto" w:fill="E7E6E6" w:themeFill="background2"/>
          </w:tcPr>
          <w:p>
            <w:pPr>
              <w:rPr>
                <w:rFonts w:hint="default" w:ascii="Times New Roman" w:hAnsi="Times New Roman" w:cs="Times New Roman"/>
                <w:b w:val="0"/>
                <w:bCs w:val="0"/>
                <w:kern w:val="0"/>
                <w:sz w:val="21"/>
                <w:szCs w:val="21"/>
                <w:vertAlign w:val="baseline"/>
                <w:lang w:val="en-US" w:eastAsia="zh-CN"/>
              </w:rPr>
            </w:pPr>
            <w:r>
              <w:rPr>
                <w:rFonts w:hint="default" w:ascii="Times New Roman" w:hAnsi="Times New Roman" w:cs="Times New Roman"/>
                <w:b/>
                <w:bCs/>
                <w:kern w:val="0"/>
                <w:sz w:val="21"/>
                <w:szCs w:val="21"/>
                <w:vertAlign w:val="baseline"/>
                <w:lang w:val="en-US" w:eastAsia="zh-CN"/>
              </w:rPr>
              <w:t>Study</w:t>
            </w:r>
          </w:p>
        </w:tc>
        <w:tc>
          <w:tcPr>
            <w:tcW w:w="1914" w:type="dxa"/>
            <w:tcBorders>
              <w:top w:val="single" w:color="auto" w:sz="8" w:space="0"/>
              <w:left w:val="nil"/>
              <w:bottom w:val="single" w:color="auto" w:sz="8" w:space="0"/>
              <w:right w:val="nil"/>
            </w:tcBorders>
            <w:shd w:val="clear" w:color="auto" w:fill="E7E6E6" w:themeFill="background2"/>
          </w:tcPr>
          <w:p>
            <w:pPr>
              <w:rPr>
                <w:rFonts w:hint="default" w:ascii="Times New Roman" w:hAnsi="Times New Roman" w:cs="Times New Roman"/>
                <w:b w:val="0"/>
                <w:bCs w:val="0"/>
                <w:kern w:val="0"/>
                <w:sz w:val="21"/>
                <w:szCs w:val="21"/>
                <w:vertAlign w:val="baseline"/>
                <w:lang w:val="en-US" w:eastAsia="zh-CN"/>
              </w:rPr>
            </w:pPr>
            <w:r>
              <w:rPr>
                <w:rFonts w:hint="default" w:ascii="Times New Roman" w:hAnsi="Times New Roman" w:cs="Times New Roman"/>
                <w:b/>
                <w:bCs/>
                <w:i w:val="0"/>
                <w:iCs w:val="0"/>
                <w:kern w:val="0"/>
                <w:sz w:val="21"/>
                <w:szCs w:val="21"/>
                <w:vertAlign w:val="baseline"/>
                <w:lang w:val="en-US" w:eastAsia="zh-CN"/>
              </w:rPr>
              <w:t>Cases</w:t>
            </w:r>
          </w:p>
        </w:tc>
        <w:tc>
          <w:tcPr>
            <w:tcW w:w="2131" w:type="dxa"/>
            <w:tcBorders>
              <w:top w:val="single" w:color="auto" w:sz="8" w:space="0"/>
              <w:left w:val="nil"/>
              <w:bottom w:val="single" w:color="auto" w:sz="8" w:space="0"/>
              <w:right w:val="nil"/>
            </w:tcBorders>
            <w:shd w:val="clear" w:color="auto" w:fill="E7E6E6" w:themeFill="background2"/>
          </w:tcPr>
          <w:p>
            <w:pPr>
              <w:rPr>
                <w:rFonts w:hint="default" w:ascii="Times New Roman" w:hAnsi="Times New Roman" w:cs="Times New Roman"/>
                <w:b w:val="0"/>
                <w:bCs w:val="0"/>
                <w:kern w:val="0"/>
                <w:sz w:val="21"/>
                <w:szCs w:val="21"/>
                <w:vertAlign w:val="baseline"/>
                <w:lang w:val="en-US" w:eastAsia="zh-CN"/>
              </w:rPr>
            </w:pPr>
            <w:r>
              <w:rPr>
                <w:rFonts w:hint="default" w:ascii="Times New Roman" w:hAnsi="Times New Roman" w:cs="Times New Roman"/>
                <w:b/>
                <w:bCs/>
                <w:kern w:val="0"/>
                <w:sz w:val="21"/>
                <w:szCs w:val="21"/>
                <w:vertAlign w:val="baseline"/>
                <w:lang w:val="en-US" w:eastAsia="zh-CN"/>
              </w:rPr>
              <w:t>Controls</w:t>
            </w:r>
          </w:p>
        </w:tc>
        <w:tc>
          <w:tcPr>
            <w:tcW w:w="2131" w:type="dxa"/>
            <w:tcBorders>
              <w:top w:val="single" w:color="auto" w:sz="8" w:space="0"/>
              <w:left w:val="nil"/>
              <w:bottom w:val="single" w:color="auto" w:sz="8" w:space="0"/>
              <w:right w:val="nil"/>
            </w:tcBorders>
            <w:shd w:val="clear" w:color="auto" w:fill="E7E6E6" w:themeFill="background2"/>
          </w:tcPr>
          <w:p>
            <w:pPr>
              <w:rPr>
                <w:rFonts w:hint="default" w:ascii="Times New Roman" w:hAnsi="Times New Roman" w:cs="Times New Roman"/>
                <w:b w:val="0"/>
                <w:bCs w:val="0"/>
                <w:kern w:val="0"/>
                <w:sz w:val="21"/>
                <w:szCs w:val="21"/>
                <w:vertAlign w:val="baseline"/>
                <w:lang w:val="en-US" w:eastAsia="zh-CN"/>
              </w:rPr>
            </w:pPr>
            <w:r>
              <w:rPr>
                <w:rFonts w:hint="default" w:ascii="Times New Roman" w:hAnsi="Times New Roman" w:cs="Times New Roman"/>
                <w:b/>
                <w:bCs/>
                <w:kern w:val="0"/>
                <w:sz w:val="21"/>
                <w:szCs w:val="21"/>
                <w:vertAlign w:val="baseline"/>
                <w:lang w:val="en-US" w:eastAsia="zh-CN"/>
              </w:rPr>
              <w:t>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single" w:color="auto" w:sz="8" w:space="0"/>
              <w:left w:val="nil"/>
              <w:bottom w:val="nil"/>
              <w:right w:val="nil"/>
            </w:tcBorders>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OncoArray European</w:t>
            </w:r>
          </w:p>
        </w:tc>
        <w:tc>
          <w:tcPr>
            <w:tcW w:w="1914" w:type="dxa"/>
            <w:tcBorders>
              <w:top w:val="single" w:color="auto" w:sz="8" w:space="0"/>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44825</w:t>
            </w:r>
          </w:p>
        </w:tc>
        <w:tc>
          <w:tcPr>
            <w:tcW w:w="2131" w:type="dxa"/>
            <w:tcBorders>
              <w:top w:val="single" w:color="auto" w:sz="8" w:space="0"/>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27904</w:t>
            </w:r>
          </w:p>
        </w:tc>
        <w:tc>
          <w:tcPr>
            <w:tcW w:w="2131" w:type="dxa"/>
            <w:tcBorders>
              <w:top w:val="single" w:color="auto" w:sz="8" w:space="0"/>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72729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iCOGS</w:t>
            </w:r>
          </w:p>
        </w:tc>
        <w:tc>
          <w:tcPr>
            <w:tcW w:w="1914"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20219</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20440</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40659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UK1</w:t>
            </w:r>
          </w:p>
        </w:tc>
        <w:tc>
          <w:tcPr>
            <w:tcW w:w="1914"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1854</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1894</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3748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UK2</w:t>
            </w:r>
          </w:p>
        </w:tc>
        <w:tc>
          <w:tcPr>
            <w:tcW w:w="1914"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3650</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3940</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7590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CAPS1</w:t>
            </w:r>
          </w:p>
        </w:tc>
        <w:tc>
          <w:tcPr>
            <w:tcW w:w="1914"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474</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482</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CAPS2</w:t>
            </w:r>
          </w:p>
        </w:tc>
        <w:tc>
          <w:tcPr>
            <w:tcW w:w="1914"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1458</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512</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1970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BPC3</w:t>
            </w:r>
          </w:p>
        </w:tc>
        <w:tc>
          <w:tcPr>
            <w:tcW w:w="1914"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2068</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2993</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5061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Pegasus</w:t>
            </w:r>
          </w:p>
        </w:tc>
        <w:tc>
          <w:tcPr>
            <w:tcW w:w="1914"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4600</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2941</w:t>
            </w:r>
          </w:p>
        </w:tc>
        <w:tc>
          <w:tcPr>
            <w:tcW w:w="2131" w:type="dxa"/>
            <w:tcBorders>
              <w:top w:val="nil"/>
              <w:left w:val="nil"/>
              <w:bottom w:val="nil"/>
              <w:right w:val="nil"/>
            </w:tcBorders>
            <w:vAlign w:val="top"/>
          </w:tcPr>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7541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6" w:type="dxa"/>
            <w:tcBorders>
              <w:top w:val="nil"/>
              <w:left w:val="nil"/>
              <w:bottom w:val="single" w:color="auto" w:sz="8" w:space="0"/>
              <w:right w:val="nil"/>
            </w:tcBorders>
            <w:vAlign w:val="top"/>
          </w:tcPr>
          <w:p>
            <w:pPr>
              <w:rPr>
                <w:rFonts w:hint="default" w:ascii="Times New Roman" w:hAnsi="Times New Roman" w:cs="Times New Roman"/>
                <w:b/>
                <w:bCs/>
                <w:kern w:val="0"/>
                <w:sz w:val="21"/>
                <w:szCs w:val="21"/>
                <w:lang w:val="en-US" w:eastAsia="zh-CN"/>
              </w:rPr>
            </w:pPr>
            <w:r>
              <w:rPr>
                <w:rFonts w:hint="eastAsia" w:ascii="Times New Roman" w:hAnsi="Times New Roman" w:cs="Times New Roman"/>
                <w:b/>
                <w:bCs/>
                <w:kern w:val="0"/>
                <w:sz w:val="21"/>
                <w:szCs w:val="21"/>
                <w:lang w:val="en-US" w:eastAsia="zh-CN"/>
              </w:rPr>
              <w:t>Total</w:t>
            </w:r>
          </w:p>
        </w:tc>
        <w:tc>
          <w:tcPr>
            <w:tcW w:w="1914" w:type="dxa"/>
            <w:tcBorders>
              <w:top w:val="nil"/>
              <w:left w:val="nil"/>
              <w:bottom w:val="single" w:color="auto" w:sz="8" w:space="0"/>
              <w:right w:val="nil"/>
            </w:tcBorders>
            <w:vAlign w:val="bottom"/>
          </w:tcPr>
          <w:p>
            <w:pPr>
              <w:rPr>
                <w:rFonts w:hint="default" w:ascii="Times New Roman" w:hAnsi="Times New Roman" w:cs="Times New Roman"/>
                <w:b/>
                <w:bCs/>
                <w:kern w:val="0"/>
                <w:sz w:val="21"/>
                <w:szCs w:val="21"/>
                <w:lang w:val="en-US" w:eastAsia="zh-CN"/>
              </w:rPr>
            </w:pPr>
            <w:r>
              <w:rPr>
                <w:rFonts w:hint="eastAsia" w:ascii="Times New Roman" w:hAnsi="Times New Roman" w:cs="Times New Roman"/>
                <w:b/>
                <w:bCs/>
                <w:kern w:val="0"/>
                <w:sz w:val="21"/>
                <w:szCs w:val="21"/>
                <w:lang w:val="en-US" w:eastAsia="zh-CN"/>
              </w:rPr>
              <w:t>79148</w:t>
            </w:r>
          </w:p>
        </w:tc>
        <w:tc>
          <w:tcPr>
            <w:tcW w:w="2131" w:type="dxa"/>
            <w:tcBorders>
              <w:top w:val="nil"/>
              <w:left w:val="nil"/>
              <w:bottom w:val="single" w:color="auto" w:sz="8" w:space="0"/>
              <w:right w:val="nil"/>
            </w:tcBorders>
            <w:vAlign w:val="bottom"/>
          </w:tcPr>
          <w:p>
            <w:pPr>
              <w:rPr>
                <w:rFonts w:hint="default" w:ascii="Times New Roman" w:hAnsi="Times New Roman" w:cs="Times New Roman"/>
                <w:b/>
                <w:bCs/>
                <w:kern w:val="0"/>
                <w:sz w:val="21"/>
                <w:szCs w:val="21"/>
                <w:lang w:val="en-US" w:eastAsia="zh-CN"/>
              </w:rPr>
            </w:pPr>
            <w:r>
              <w:rPr>
                <w:rFonts w:hint="eastAsia" w:ascii="Times New Roman" w:hAnsi="Times New Roman" w:cs="Times New Roman"/>
                <w:b/>
                <w:bCs/>
                <w:kern w:val="0"/>
                <w:sz w:val="21"/>
                <w:szCs w:val="21"/>
                <w:lang w:val="en-US" w:eastAsia="zh-CN"/>
              </w:rPr>
              <w:t>61106</w:t>
            </w:r>
          </w:p>
        </w:tc>
        <w:tc>
          <w:tcPr>
            <w:tcW w:w="2131" w:type="dxa"/>
            <w:tcBorders>
              <w:top w:val="nil"/>
              <w:left w:val="nil"/>
              <w:bottom w:val="single" w:color="auto" w:sz="8" w:space="0"/>
              <w:right w:val="nil"/>
            </w:tcBorders>
            <w:vAlign w:val="bottom"/>
          </w:tcPr>
          <w:p>
            <w:pPr>
              <w:rPr>
                <w:rFonts w:hint="default" w:ascii="Times New Roman" w:hAnsi="Times New Roman" w:cs="Times New Roman"/>
                <w:b/>
                <w:bCs/>
                <w:kern w:val="0"/>
                <w:sz w:val="21"/>
                <w:szCs w:val="21"/>
                <w:lang w:val="en-US" w:eastAsia="zh-CN"/>
              </w:rPr>
            </w:pPr>
            <w:r>
              <w:rPr>
                <w:rFonts w:hint="eastAsia" w:ascii="Times New Roman" w:hAnsi="Times New Roman" w:cs="Times New Roman"/>
                <w:b/>
                <w:bCs/>
                <w:kern w:val="0"/>
                <w:sz w:val="21"/>
                <w:szCs w:val="21"/>
                <w:lang w:val="en-US" w:eastAsia="zh-CN"/>
              </w:rPr>
              <w:t>140254</w:t>
            </w:r>
          </w:p>
        </w:tc>
      </w:tr>
    </w:tbl>
    <w:p>
      <w:pPr>
        <w:rPr>
          <w:rFonts w:hint="default" w:ascii="Times New Roman" w:hAnsi="Times New Roman" w:cs="Times New Roman"/>
          <w:b w:val="0"/>
          <w:bCs w:val="0"/>
          <w:kern w:val="0"/>
          <w:sz w:val="21"/>
          <w:szCs w:val="21"/>
          <w:lang w:val="en-US" w:eastAsia="zh-CN"/>
        </w:rPr>
      </w:pPr>
      <w:r>
        <w:rPr>
          <w:rFonts w:hint="eastAsia" w:ascii="Times New Roman" w:hAnsi="Times New Roman" w:cs="Times New Roman"/>
          <w:b/>
          <w:bCs/>
          <w:kern w:val="0"/>
          <w:sz w:val="21"/>
          <w:szCs w:val="21"/>
          <w:lang w:val="en-US" w:eastAsia="zh-CN"/>
        </w:rPr>
        <w:t>Abbreviation</w:t>
      </w:r>
      <w:r>
        <w:rPr>
          <w:rFonts w:hint="eastAsia" w:ascii="Times New Roman" w:hAnsi="Times New Roman" w:cs="Times New Roman"/>
          <w:b w:val="0"/>
          <w:bCs w:val="0"/>
          <w:kern w:val="0"/>
          <w:sz w:val="21"/>
          <w:szCs w:val="21"/>
          <w:lang w:val="en-US" w:eastAsia="zh-CN"/>
        </w:rPr>
        <w:t>: PRACTICAL, Prostate Cancer Association Group to Investigate Cancer Associated Alterations in the Genome;</w:t>
      </w:r>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lZmNkZGM0YjBlMzU5NzM5OGMxNTI3NmE5Y2Q0OWUifQ=="/>
  </w:docVars>
  <w:rsids>
    <w:rsidRoot w:val="719F7D2B"/>
    <w:rsid w:val="004874D5"/>
    <w:rsid w:val="028916DF"/>
    <w:rsid w:val="0B79715E"/>
    <w:rsid w:val="0CE20369"/>
    <w:rsid w:val="11B322D4"/>
    <w:rsid w:val="20624127"/>
    <w:rsid w:val="28AD1D1C"/>
    <w:rsid w:val="2BD716F9"/>
    <w:rsid w:val="362829E1"/>
    <w:rsid w:val="3D1E069A"/>
    <w:rsid w:val="43644AAE"/>
    <w:rsid w:val="447137A5"/>
    <w:rsid w:val="49ED1B20"/>
    <w:rsid w:val="4B8A6EA3"/>
    <w:rsid w:val="56651F35"/>
    <w:rsid w:val="61181721"/>
    <w:rsid w:val="6B170353"/>
    <w:rsid w:val="6BEE7306"/>
    <w:rsid w:val="719F7D2B"/>
    <w:rsid w:val="71C11019"/>
    <w:rsid w:val="74FD05BA"/>
    <w:rsid w:val="7C122B9D"/>
    <w:rsid w:val="7C2428D0"/>
    <w:rsid w:val="7F4D2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2024-02-22T15:19:00Z</dcterms:created>
  <dc:creator>沈超栋</dc:creator>
  <cp:lastModifiedBy>沈超栋</cp:lastModifiedBy>
  <dcterms:modified xsi:type="dcterms:W3CDTF">2024-03-31T09:30:36Z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EC8852D073DC455DAC7DB72C06DC90E0_11</vt:lpwstr>
  </property>
</Properties>
</file>