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66C" w:rsidRPr="00C7096C" w:rsidRDefault="00310884" w:rsidP="00310884">
      <w:pPr>
        <w:spacing w:line="480" w:lineRule="auto"/>
        <w:jc w:val="both"/>
        <w:rPr>
          <w:rFonts w:ascii="Times New Roman" w:hAnsi="Times New Roman" w:cs="Times New Roman"/>
          <w:b/>
          <w:lang w:val="en-US"/>
        </w:rPr>
      </w:pPr>
      <w:r w:rsidRPr="00C7096C">
        <w:rPr>
          <w:rFonts w:ascii="Times New Roman" w:hAnsi="Times New Roman" w:cs="Times New Roman"/>
          <w:b/>
          <w:lang w:val="en-US"/>
        </w:rPr>
        <w:t>Supplementary figure 1</w:t>
      </w:r>
    </w:p>
    <w:p w:rsidR="00310884" w:rsidRPr="00310884" w:rsidRDefault="00310884" w:rsidP="0031088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310884">
        <w:rPr>
          <w:rFonts w:ascii="Times New Roman" w:hAnsi="Times New Roman" w:cs="Times New Roman"/>
          <w:lang w:val="en-US"/>
        </w:rPr>
        <w:t>Volcano plot representing the proportion of the stage of leukemia arrest phenotypic sub</w:t>
      </w:r>
      <w:r>
        <w:rPr>
          <w:rFonts w:ascii="Times New Roman" w:hAnsi="Times New Roman" w:cs="Times New Roman"/>
          <w:lang w:val="en-US"/>
        </w:rPr>
        <w:t xml:space="preserve">groups </w:t>
      </w:r>
      <w:r w:rsidRPr="00310884">
        <w:rPr>
          <w:rFonts w:ascii="Times New Roman" w:hAnsi="Times New Roman" w:cs="Times New Roman"/>
          <w:lang w:val="en-US"/>
        </w:rPr>
        <w:t>expressed as odd ratios on the X-axis</w:t>
      </w:r>
      <w:r>
        <w:rPr>
          <w:rFonts w:ascii="Times New Roman" w:hAnsi="Times New Roman" w:cs="Times New Roman"/>
          <w:lang w:val="en-US"/>
        </w:rPr>
        <w:t xml:space="preserve"> (</w:t>
      </w:r>
      <w:r w:rsidRPr="00310884">
        <w:rPr>
          <w:rFonts w:ascii="Times New Roman" w:eastAsia="OTNEJMScalaSansLF" w:hAnsi="Times New Roman" w:cs="Times New Roman"/>
          <w:lang w:val="en-US"/>
        </w:rPr>
        <w:t xml:space="preserve">positive values indicate a </w:t>
      </w:r>
      <w:r w:rsidRPr="00310884">
        <w:rPr>
          <w:rFonts w:ascii="Times New Roman" w:eastAsia="OTNEJMScalaSansLF" w:hAnsi="Times New Roman" w:cs="Times New Roman"/>
          <w:lang w:val="en-US"/>
        </w:rPr>
        <w:t>higher frequency</w:t>
      </w:r>
      <w:r>
        <w:rPr>
          <w:rFonts w:ascii="Times New Roman" w:eastAsia="OTNEJMScalaSansLF" w:hAnsi="Times New Roman" w:cs="Times New Roman"/>
          <w:lang w:val="en-US"/>
        </w:rPr>
        <w:t xml:space="preserve">) versus p values </w:t>
      </w:r>
      <w:r w:rsidRPr="00310884">
        <w:rPr>
          <w:rFonts w:ascii="Times New Roman" w:eastAsia="OTNEJMScalaSansLF" w:hAnsi="Times New Roman" w:cs="Times New Roman"/>
          <w:lang w:val="en-US"/>
        </w:rPr>
        <w:t>expressed on an inverted logarithmic scale on the y-axis</w:t>
      </w:r>
      <w:r>
        <w:rPr>
          <w:rFonts w:ascii="Times New Roman" w:eastAsia="OTNEJMScalaSansLF" w:hAnsi="Times New Roman" w:cs="Times New Roman"/>
          <w:lang w:val="en-US"/>
        </w:rPr>
        <w:t xml:space="preserve">. A. Comparison of CML-BP and de novo </w:t>
      </w:r>
      <w:r w:rsidRPr="00310884">
        <w:rPr>
          <w:rFonts w:ascii="Times New Roman" w:eastAsia="OTNEJMScalaSansLF" w:hAnsi="Times New Roman" w:cs="Times New Roman"/>
          <w:i/>
          <w:lang w:val="en-US"/>
        </w:rPr>
        <w:t>BCR::ABL1</w:t>
      </w:r>
      <w:r>
        <w:rPr>
          <w:rFonts w:ascii="Times New Roman" w:eastAsia="OTNEJMScalaSansLF" w:hAnsi="Times New Roman" w:cs="Times New Roman"/>
          <w:lang w:val="en-US"/>
        </w:rPr>
        <w:t xml:space="preserve"> AML versus </w:t>
      </w:r>
      <w:r w:rsidRPr="00310884">
        <w:rPr>
          <w:rFonts w:ascii="Times New Roman" w:eastAsia="OTNEJMScalaSansLF" w:hAnsi="Times New Roman" w:cs="Times New Roman"/>
          <w:i/>
          <w:lang w:val="en-US"/>
        </w:rPr>
        <w:t>BCR::ABL1</w:t>
      </w:r>
      <w:r>
        <w:rPr>
          <w:rFonts w:ascii="Times New Roman" w:eastAsia="OTNEJMScalaSansLF" w:hAnsi="Times New Roman" w:cs="Times New Roman"/>
          <w:lang w:val="en-US"/>
        </w:rPr>
        <w:t xml:space="preserve"> negative AML. B. </w:t>
      </w:r>
      <w:r>
        <w:rPr>
          <w:rFonts w:ascii="Times New Roman" w:eastAsia="OTNEJMScalaSansLF" w:hAnsi="Times New Roman" w:cs="Times New Roman"/>
          <w:lang w:val="en-US"/>
        </w:rPr>
        <w:t xml:space="preserve">de novo </w:t>
      </w:r>
      <w:r w:rsidRPr="00310884">
        <w:rPr>
          <w:rFonts w:ascii="Times New Roman" w:eastAsia="OTNEJMScalaSansLF" w:hAnsi="Times New Roman" w:cs="Times New Roman"/>
          <w:i/>
          <w:lang w:val="en-US"/>
        </w:rPr>
        <w:t>BCR::ABL1</w:t>
      </w:r>
      <w:r>
        <w:rPr>
          <w:rFonts w:ascii="Times New Roman" w:eastAsia="OTNEJMScalaSansLF" w:hAnsi="Times New Roman" w:cs="Times New Roman"/>
          <w:lang w:val="en-US"/>
        </w:rPr>
        <w:t xml:space="preserve"> AML versus </w:t>
      </w:r>
      <w:r w:rsidRPr="00310884">
        <w:rPr>
          <w:rFonts w:ascii="Times New Roman" w:eastAsia="OTNEJMScalaSansLF" w:hAnsi="Times New Roman" w:cs="Times New Roman"/>
          <w:i/>
          <w:lang w:val="en-US"/>
        </w:rPr>
        <w:t>BCR::ABL1</w:t>
      </w:r>
      <w:r>
        <w:rPr>
          <w:rFonts w:ascii="Times New Roman" w:eastAsia="OTNEJMScalaSansLF" w:hAnsi="Times New Roman" w:cs="Times New Roman"/>
          <w:lang w:val="en-US"/>
        </w:rPr>
        <w:t xml:space="preserve"> negative AML</w:t>
      </w:r>
      <w:r>
        <w:rPr>
          <w:rFonts w:ascii="Times New Roman" w:eastAsia="OTNEJMScalaSansLF" w:hAnsi="Times New Roman" w:cs="Times New Roman"/>
          <w:lang w:val="en-US"/>
        </w:rPr>
        <w:t>. C. CML-BP</w:t>
      </w:r>
      <w:r>
        <w:rPr>
          <w:rFonts w:ascii="Times New Roman" w:eastAsia="OTNEJMScalaSansLF" w:hAnsi="Times New Roman" w:cs="Times New Roman"/>
          <w:lang w:val="en-US"/>
        </w:rPr>
        <w:t xml:space="preserve"> versus </w:t>
      </w:r>
      <w:r w:rsidRPr="00310884">
        <w:rPr>
          <w:rFonts w:ascii="Times New Roman" w:eastAsia="OTNEJMScalaSansLF" w:hAnsi="Times New Roman" w:cs="Times New Roman"/>
          <w:i/>
          <w:lang w:val="en-US"/>
        </w:rPr>
        <w:t>BCR::ABL1</w:t>
      </w:r>
      <w:r>
        <w:rPr>
          <w:rFonts w:ascii="Times New Roman" w:eastAsia="OTNEJMScalaSansLF" w:hAnsi="Times New Roman" w:cs="Times New Roman"/>
          <w:lang w:val="en-US"/>
        </w:rPr>
        <w:t xml:space="preserve"> negative AML</w:t>
      </w:r>
      <w:r w:rsidR="0018017C">
        <w:rPr>
          <w:rFonts w:ascii="Times New Roman" w:eastAsia="OTNEJMScalaSansLF" w:hAnsi="Times New Roman" w:cs="Times New Roman"/>
          <w:lang w:val="en-US"/>
        </w:rPr>
        <w:t xml:space="preserve">. </w:t>
      </w:r>
      <w:bookmarkStart w:id="0" w:name="_GoBack"/>
      <w:bookmarkEnd w:id="0"/>
      <w:r w:rsidR="0018017C" w:rsidRPr="00991A8C">
        <w:rPr>
          <w:rFonts w:ascii="Times New Roman" w:hAnsi="Times New Roman" w:cs="Times New Roman"/>
          <w:lang w:val="en-US"/>
        </w:rPr>
        <w:t>MPP-L,</w:t>
      </w:r>
      <w:r w:rsidR="0018017C" w:rsidRPr="00991A8C">
        <w:rPr>
          <w:lang w:val="en-US"/>
        </w:rPr>
        <w:t xml:space="preserve"> </w:t>
      </w:r>
      <w:r w:rsidR="0018017C" w:rsidRPr="00991A8C">
        <w:rPr>
          <w:rFonts w:ascii="Times New Roman" w:hAnsi="Times New Roman" w:cs="Times New Roman"/>
          <w:lang w:val="en-US"/>
        </w:rPr>
        <w:t>multipotent progenitors</w:t>
      </w:r>
      <w:r w:rsidR="0018017C">
        <w:rPr>
          <w:rFonts w:ascii="Times New Roman" w:hAnsi="Times New Roman" w:cs="Times New Roman"/>
          <w:lang w:val="en-US"/>
        </w:rPr>
        <w:t>-like</w:t>
      </w:r>
      <w:r w:rsidR="0018017C" w:rsidRPr="00991A8C">
        <w:rPr>
          <w:rFonts w:ascii="Times New Roman" w:hAnsi="Times New Roman" w:cs="Times New Roman"/>
          <w:lang w:val="en-US"/>
        </w:rPr>
        <w:t>; CMP-L,</w:t>
      </w:r>
      <w:r w:rsidR="0018017C" w:rsidRPr="00991A8C">
        <w:rPr>
          <w:rFonts w:ascii="AdvOT46dcae81" w:hAnsi="AdvOT46dcae81" w:cs="AdvOT46dcae81"/>
          <w:sz w:val="18"/>
          <w:szCs w:val="18"/>
          <w:lang w:val="en-US"/>
        </w:rPr>
        <w:t xml:space="preserve"> </w:t>
      </w:r>
      <w:r w:rsidR="0018017C" w:rsidRPr="00991A8C">
        <w:rPr>
          <w:rFonts w:ascii="Times New Roman" w:hAnsi="Times New Roman" w:cs="Times New Roman"/>
          <w:lang w:val="en-US"/>
        </w:rPr>
        <w:t>common myeloid progenitors-like; GMP-L</w:t>
      </w:r>
      <w:r w:rsidR="0018017C">
        <w:rPr>
          <w:rFonts w:ascii="Times New Roman" w:hAnsi="Times New Roman" w:cs="Times New Roman"/>
          <w:lang w:val="en-US"/>
        </w:rPr>
        <w:t xml:space="preserve">, </w:t>
      </w:r>
      <w:r w:rsidR="0018017C" w:rsidRPr="00991A8C">
        <w:rPr>
          <w:rFonts w:ascii="Times New Roman" w:hAnsi="Times New Roman" w:cs="Times New Roman"/>
          <w:lang w:val="en-US"/>
        </w:rPr>
        <w:t>granulocyte–monocyte progenitors; GP-L</w:t>
      </w:r>
      <w:r w:rsidR="0018017C">
        <w:rPr>
          <w:rFonts w:ascii="Times New Roman" w:hAnsi="Times New Roman" w:cs="Times New Roman"/>
          <w:lang w:val="en-US"/>
        </w:rPr>
        <w:t xml:space="preserve">, </w:t>
      </w:r>
      <w:r w:rsidR="0018017C" w:rsidRPr="00991A8C">
        <w:rPr>
          <w:rFonts w:ascii="Times New Roman" w:hAnsi="Times New Roman" w:cs="Times New Roman"/>
          <w:lang w:val="en-US"/>
        </w:rPr>
        <w:t>granulocyte progenitors-</w:t>
      </w:r>
      <w:proofErr w:type="gramStart"/>
      <w:r w:rsidR="0018017C" w:rsidRPr="00991A8C">
        <w:rPr>
          <w:rFonts w:ascii="Times New Roman" w:hAnsi="Times New Roman" w:cs="Times New Roman"/>
          <w:lang w:val="en-US"/>
        </w:rPr>
        <w:t>like ;</w:t>
      </w:r>
      <w:proofErr w:type="gramEnd"/>
      <w:r w:rsidR="0018017C" w:rsidRPr="00991A8C">
        <w:rPr>
          <w:rFonts w:ascii="Times New Roman" w:hAnsi="Times New Roman" w:cs="Times New Roman"/>
          <w:lang w:val="en-US"/>
        </w:rPr>
        <w:t xml:space="preserve"> MP-L</w:t>
      </w:r>
      <w:r w:rsidR="0018017C">
        <w:rPr>
          <w:rFonts w:ascii="Times New Roman" w:hAnsi="Times New Roman" w:cs="Times New Roman"/>
          <w:lang w:val="en-US"/>
        </w:rPr>
        <w:t xml:space="preserve">, </w:t>
      </w:r>
      <w:r w:rsidR="0018017C" w:rsidRPr="00991A8C">
        <w:rPr>
          <w:rFonts w:ascii="Times New Roman" w:hAnsi="Times New Roman" w:cs="Times New Roman"/>
          <w:lang w:val="en-US"/>
        </w:rPr>
        <w:t>monocyte</w:t>
      </w:r>
      <w:r w:rsidR="0018017C">
        <w:rPr>
          <w:rFonts w:ascii="Times New Roman" w:hAnsi="Times New Roman" w:cs="Times New Roman"/>
          <w:lang w:val="en-US"/>
        </w:rPr>
        <w:t xml:space="preserve"> </w:t>
      </w:r>
      <w:r w:rsidR="0018017C" w:rsidRPr="00991A8C">
        <w:rPr>
          <w:rFonts w:ascii="Times New Roman" w:hAnsi="Times New Roman" w:cs="Times New Roman"/>
          <w:lang w:val="en-US"/>
        </w:rPr>
        <w:t>progenitors</w:t>
      </w:r>
      <w:r w:rsidR="0018017C">
        <w:rPr>
          <w:rFonts w:ascii="Times New Roman" w:hAnsi="Times New Roman" w:cs="Times New Roman"/>
          <w:lang w:val="en-US"/>
        </w:rPr>
        <w:t>-like</w:t>
      </w:r>
      <w:r w:rsidR="0018017C" w:rsidRPr="00991A8C">
        <w:rPr>
          <w:rFonts w:ascii="Times New Roman" w:hAnsi="Times New Roman" w:cs="Times New Roman"/>
          <w:lang w:val="en-US"/>
        </w:rPr>
        <w:t>.</w:t>
      </w:r>
      <w:r w:rsidR="0018017C">
        <w:rPr>
          <w:rFonts w:ascii="Times New Roman" w:eastAsia="OTNEJMScalaSansLF" w:hAnsi="Times New Roman" w:cs="Times New Roman"/>
          <w:lang w:val="en-US"/>
        </w:rPr>
        <w:t xml:space="preserve"> </w:t>
      </w:r>
    </w:p>
    <w:p w:rsidR="00310884" w:rsidRPr="00310884" w:rsidRDefault="00310884">
      <w:pPr>
        <w:rPr>
          <w:lang w:val="en-US"/>
        </w:rPr>
      </w:pPr>
    </w:p>
    <w:sectPr w:rsidR="00310884" w:rsidRPr="003108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TNEJMScalaSansLF">
    <w:altName w:val="Arial Unicode MS"/>
    <w:panose1 w:val="00000000000000000000"/>
    <w:charset w:val="86"/>
    <w:family w:val="swiss"/>
    <w:notTrueType/>
    <w:pitch w:val="default"/>
    <w:sig w:usb0="00000000" w:usb1="080E0000" w:usb2="00000010" w:usb3="00000000" w:csb0="00040000" w:csb1="00000000"/>
  </w:font>
  <w:font w:name="AdvOT46dcae81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E8F"/>
    <w:rsid w:val="00140E8F"/>
    <w:rsid w:val="0018017C"/>
    <w:rsid w:val="00310884"/>
    <w:rsid w:val="0040566C"/>
    <w:rsid w:val="00C7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7B92F"/>
  <w15:chartTrackingRefBased/>
  <w15:docId w15:val="{48E3ECE4-F1FB-44D0-9D4D-87C6936BB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ICR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Recher Christian</dc:creator>
  <cp:keywords/>
  <dc:description/>
  <cp:lastModifiedBy>Recher Christian</cp:lastModifiedBy>
  <cp:revision>2</cp:revision>
  <dcterms:created xsi:type="dcterms:W3CDTF">2024-01-19T07:23:00Z</dcterms:created>
  <dcterms:modified xsi:type="dcterms:W3CDTF">2024-01-19T07:23:00Z</dcterms:modified>
</cp:coreProperties>
</file>