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EF7" w:rsidRDefault="00061EF7" w:rsidP="00061EF7">
      <w:pPr>
        <w:pStyle w:val="Heading2"/>
      </w:pPr>
      <w:r w:rsidRPr="00623716">
        <w:t>Supplementary Materials</w:t>
      </w:r>
    </w:p>
    <w:p w:rsidR="00061EF7" w:rsidRDefault="00061EF7" w:rsidP="00061EF7">
      <w:pPr>
        <w:spacing w:line="360" w:lineRule="auto"/>
      </w:pPr>
      <w:r>
        <w:t>Table 5 and Table 6</w:t>
      </w:r>
    </w:p>
    <w:p w:rsidR="00061EF7" w:rsidRPr="00F95AA6" w:rsidRDefault="00061EF7" w:rsidP="00061EF7">
      <w:pPr>
        <w:spacing w:line="360" w:lineRule="auto"/>
        <w:rPr>
          <w:i/>
          <w:iCs/>
        </w:rPr>
      </w:pPr>
    </w:p>
    <w:p w:rsidR="00061EF7" w:rsidRPr="0018516D" w:rsidRDefault="00061EF7" w:rsidP="00061EF7">
      <w:pPr>
        <w:spacing w:line="360" w:lineRule="auto"/>
      </w:pPr>
      <w:r w:rsidRPr="0018516D">
        <w:t xml:space="preserve">Table </w:t>
      </w:r>
      <w:r>
        <w:t>5</w:t>
      </w:r>
      <w:r w:rsidRPr="0018516D">
        <w:t xml:space="preserve">: </w:t>
      </w:r>
      <w:r>
        <w:t>Factors affecting. Depression and Anxiety</w:t>
      </w:r>
    </w:p>
    <w:tbl>
      <w:tblPr>
        <w:tblStyle w:val="PlainTable2"/>
        <w:tblW w:w="9776" w:type="dxa"/>
        <w:tblLook w:val="04A0" w:firstRow="1" w:lastRow="0" w:firstColumn="1" w:lastColumn="0" w:noHBand="0" w:noVBand="1"/>
      </w:tblPr>
      <w:tblGrid>
        <w:gridCol w:w="2117"/>
        <w:gridCol w:w="1310"/>
        <w:gridCol w:w="1395"/>
        <w:gridCol w:w="66"/>
        <w:gridCol w:w="40"/>
        <w:gridCol w:w="1090"/>
        <w:gridCol w:w="12"/>
        <w:gridCol w:w="1323"/>
        <w:gridCol w:w="63"/>
        <w:gridCol w:w="2360"/>
      </w:tblGrid>
      <w:tr w:rsidR="00061EF7" w:rsidRPr="00F95AA6" w:rsidTr="00CE5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F95AA6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Sociodemographic and clinical variable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Frequency (N=96)</w:t>
            </w:r>
          </w:p>
        </w:tc>
        <w:tc>
          <w:tcPr>
            <w:tcW w:w="1465" w:type="dxa"/>
            <w:gridSpan w:val="2"/>
          </w:tcPr>
          <w:p w:rsidR="00061EF7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Percentage</w:t>
            </w:r>
          </w:p>
          <w:p w:rsidR="00061EF7" w:rsidRPr="00F95AA6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(%)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Anxiety disorder</w:t>
            </w:r>
          </w:p>
        </w:tc>
        <w:tc>
          <w:tcPr>
            <w:tcW w:w="1283" w:type="dxa"/>
          </w:tcPr>
          <w:p w:rsidR="00061EF7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Depressive disorder</w:t>
            </w:r>
          </w:p>
        </w:tc>
        <w:tc>
          <w:tcPr>
            <w:tcW w:w="2475" w:type="dxa"/>
            <w:gridSpan w:val="2"/>
          </w:tcPr>
          <w:p w:rsidR="00061EF7" w:rsidRDefault="00061EF7" w:rsidP="00CE5B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Chi-Square (</w:t>
            </w:r>
            <w:r w:rsidRPr="00D06FA3">
              <w:rPr>
                <w:szCs w:val="24"/>
                <w:lang w:bidi="ne-NP"/>
              </w:rPr>
              <w:t>X2</w:t>
            </w:r>
            <w:r>
              <w:rPr>
                <w:szCs w:val="24"/>
                <w:lang w:bidi="ne-NP"/>
              </w:rPr>
              <w:t>)</w:t>
            </w: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4"/>
          </w:tcPr>
          <w:p w:rsidR="00061EF7" w:rsidRPr="00F95AA6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Age groups (years)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 xml:space="preserve">      </w:t>
            </w:r>
          </w:p>
        </w:tc>
        <w:tc>
          <w:tcPr>
            <w:tcW w:w="2475" w:type="dxa"/>
            <w:gridSpan w:val="2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F7" w:rsidRPr="00F95AA6" w:rsidTr="00CE5B43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&lt;65 years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65" w:type="dxa"/>
            <w:gridSpan w:val="2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65.6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22% (14)</w:t>
            </w:r>
          </w:p>
        </w:tc>
        <w:tc>
          <w:tcPr>
            <w:tcW w:w="1283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26% (17)</w:t>
            </w:r>
          </w:p>
        </w:tc>
        <w:tc>
          <w:tcPr>
            <w:tcW w:w="2475" w:type="dxa"/>
            <w:gridSpan w:val="2"/>
            <w:vMerge w:val="restart"/>
          </w:tcPr>
          <w:p w:rsidR="00061EF7" w:rsidRDefault="00061EF7" w:rsidP="00CE5B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vertAlign w:val="superscript"/>
              </w:rPr>
              <w:t>1</w:t>
            </w:r>
            <w:r>
              <w:t xml:space="preserve">P </w:t>
            </w:r>
            <w:r w:rsidRPr="00D06FA3">
              <w:rPr>
                <w:szCs w:val="24"/>
                <w:lang w:bidi="ne-NP"/>
              </w:rPr>
              <w:t>X2</w:t>
            </w:r>
            <w:r>
              <w:t xml:space="preserve"> (D)= </w:t>
            </w:r>
            <w:r w:rsidRPr="00D06FA3">
              <w:t>0.</w:t>
            </w:r>
            <w:r>
              <w:t>122</w:t>
            </w:r>
          </w:p>
          <w:p w:rsidR="00061EF7" w:rsidRPr="00F95AA6" w:rsidRDefault="00061EF7" w:rsidP="00CE5B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P </w:t>
            </w:r>
            <w:r w:rsidRPr="00D06FA3">
              <w:rPr>
                <w:szCs w:val="24"/>
                <w:lang w:bidi="ne-NP"/>
              </w:rPr>
              <w:t>X2</w:t>
            </w:r>
            <w:r>
              <w:rPr>
                <w:sz w:val="24"/>
                <w:szCs w:val="24"/>
              </w:rPr>
              <w:t xml:space="preserve"> (A) = 0.139</w:t>
            </w: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65 and above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33</w:t>
            </w:r>
          </w:p>
        </w:tc>
        <w:tc>
          <w:tcPr>
            <w:tcW w:w="1465" w:type="dxa"/>
            <w:gridSpan w:val="2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34.4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 (12)</w:t>
            </w:r>
          </w:p>
        </w:tc>
        <w:tc>
          <w:tcPr>
            <w:tcW w:w="1283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 (4)</w:t>
            </w:r>
          </w:p>
        </w:tc>
        <w:tc>
          <w:tcPr>
            <w:tcW w:w="2475" w:type="dxa"/>
            <w:gridSpan w:val="2"/>
            <w:vMerge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RPr="00F95AA6" w:rsidTr="00CE5B43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4"/>
          </w:tcPr>
          <w:p w:rsidR="00061EF7" w:rsidRPr="00F95AA6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Gender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061EF7" w:rsidRPr="00F95AA6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75" w:type="dxa"/>
            <w:gridSpan w:val="2"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</w:t>
            </w: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Male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67</w:t>
            </w:r>
          </w:p>
        </w:tc>
        <w:tc>
          <w:tcPr>
            <w:tcW w:w="1465" w:type="dxa"/>
            <w:gridSpan w:val="2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69.8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19(28%)</w:t>
            </w:r>
          </w:p>
        </w:tc>
        <w:tc>
          <w:tcPr>
            <w:tcW w:w="1283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10 (15%)</w:t>
            </w:r>
          </w:p>
        </w:tc>
        <w:tc>
          <w:tcPr>
            <w:tcW w:w="2475" w:type="dxa"/>
            <w:gridSpan w:val="2"/>
            <w:vMerge w:val="restart"/>
          </w:tcPr>
          <w:p w:rsidR="00061EF7" w:rsidRPr="00F95AA6" w:rsidRDefault="00061EF7" w:rsidP="00CE5B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 xml:space="preserve">  P </w:t>
            </w:r>
            <w:r w:rsidRPr="00D06FA3">
              <w:rPr>
                <w:szCs w:val="24"/>
                <w:lang w:bidi="ne-NP"/>
              </w:rPr>
              <w:t>X2</w:t>
            </w:r>
            <w:r>
              <w:t xml:space="preserve"> (A)= </w:t>
            </w:r>
            <w:r w:rsidRPr="00D06FA3">
              <w:rPr>
                <w:szCs w:val="24"/>
              </w:rPr>
              <w:t>0.669</w:t>
            </w:r>
          </w:p>
          <w:p w:rsidR="00061EF7" w:rsidRPr="002C4A02" w:rsidRDefault="00061EF7" w:rsidP="00CE5B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4A02">
              <w:t xml:space="preserve">   P </w:t>
            </w:r>
            <w:r w:rsidRPr="002C4A02">
              <w:rPr>
                <w:szCs w:val="24"/>
                <w:lang w:bidi="ne-NP"/>
              </w:rPr>
              <w:t>X2</w:t>
            </w:r>
            <w:r w:rsidRPr="002C4A02">
              <w:t xml:space="preserve"> (D) = </w:t>
            </w:r>
            <w:r w:rsidRPr="002C4A02">
              <w:rPr>
                <w:szCs w:val="24"/>
              </w:rPr>
              <w:t>0.012</w:t>
            </w:r>
            <w:r>
              <w:rPr>
                <w:szCs w:val="24"/>
              </w:rPr>
              <w:t>*</w:t>
            </w:r>
          </w:p>
        </w:tc>
      </w:tr>
      <w:tr w:rsidR="00061EF7" w:rsidRPr="00F95AA6" w:rsidTr="00CE5B43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Female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29</w:t>
            </w:r>
          </w:p>
        </w:tc>
        <w:tc>
          <w:tcPr>
            <w:tcW w:w="1465" w:type="dxa"/>
            <w:gridSpan w:val="2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30.2</w:t>
            </w:r>
          </w:p>
        </w:tc>
        <w:tc>
          <w:tcPr>
            <w:tcW w:w="1144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7(25%)</w:t>
            </w:r>
          </w:p>
        </w:tc>
        <w:tc>
          <w:tcPr>
            <w:tcW w:w="1283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11 (38%)</w:t>
            </w:r>
          </w:p>
        </w:tc>
        <w:tc>
          <w:tcPr>
            <w:tcW w:w="2475" w:type="dxa"/>
            <w:gridSpan w:val="2"/>
            <w:vMerge/>
          </w:tcPr>
          <w:p w:rsidR="00061EF7" w:rsidRPr="00746DB1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u w:val="single"/>
              </w:rPr>
            </w:pP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10"/>
          </w:tcPr>
          <w:p w:rsidR="00061EF7" w:rsidRPr="00F95AA6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</w:tr>
      <w:tr w:rsidR="00061EF7" w:rsidRPr="00F95AA6" w:rsidTr="00CE5B4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Unemployed</w:t>
            </w:r>
          </w:p>
        </w:tc>
        <w:tc>
          <w:tcPr>
            <w:tcW w:w="1292" w:type="dxa"/>
          </w:tcPr>
          <w:p w:rsidR="00061EF7" w:rsidRPr="00631A1B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506" w:type="dxa"/>
            <w:gridSpan w:val="3"/>
          </w:tcPr>
          <w:p w:rsidR="00061EF7" w:rsidRPr="00631A1B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19.79</w:t>
            </w:r>
          </w:p>
        </w:tc>
        <w:tc>
          <w:tcPr>
            <w:tcW w:w="1091" w:type="dxa"/>
          </w:tcPr>
          <w:p w:rsidR="00061EF7" w:rsidRPr="00F95AA6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7 (58%)</w:t>
            </w:r>
          </w:p>
        </w:tc>
        <w:tc>
          <w:tcPr>
            <w:tcW w:w="1360" w:type="dxa"/>
            <w:gridSpan w:val="3"/>
          </w:tcPr>
          <w:p w:rsidR="00061EF7" w:rsidRPr="00F95AA6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4(27%)</w:t>
            </w:r>
          </w:p>
        </w:tc>
        <w:tc>
          <w:tcPr>
            <w:tcW w:w="2410" w:type="dxa"/>
            <w:vMerge w:val="restart"/>
          </w:tcPr>
          <w:p w:rsidR="00061EF7" w:rsidRPr="00F95AA6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 xml:space="preserve">P </w:t>
            </w:r>
            <w:r w:rsidRPr="00D06FA3">
              <w:rPr>
                <w:szCs w:val="24"/>
                <w:lang w:bidi="ne-NP"/>
              </w:rPr>
              <w:t>X2</w:t>
            </w:r>
            <w:r>
              <w:t xml:space="preserve"> (A)= </w:t>
            </w:r>
            <w:r w:rsidRPr="00D06FA3">
              <w:rPr>
                <w:szCs w:val="24"/>
              </w:rPr>
              <w:t>0</w:t>
            </w:r>
            <w:r>
              <w:rPr>
                <w:szCs w:val="24"/>
              </w:rPr>
              <w:t>.285</w:t>
            </w:r>
          </w:p>
          <w:p w:rsidR="00061EF7" w:rsidRPr="00BD153B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153B">
              <w:t xml:space="preserve">P </w:t>
            </w:r>
            <w:r w:rsidRPr="00BD153B">
              <w:rPr>
                <w:szCs w:val="24"/>
                <w:lang w:bidi="ne-NP"/>
              </w:rPr>
              <w:t>X2</w:t>
            </w:r>
            <w:r w:rsidRPr="00BD153B">
              <w:t xml:space="preserve"> (D) = 0.923</w:t>
            </w: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Employed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77</w:t>
            </w:r>
          </w:p>
        </w:tc>
        <w:tc>
          <w:tcPr>
            <w:tcW w:w="1506" w:type="dxa"/>
            <w:gridSpan w:val="3"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80.2</w:t>
            </w:r>
          </w:p>
        </w:tc>
        <w:tc>
          <w:tcPr>
            <w:tcW w:w="1091" w:type="dxa"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19 (33%)</w:t>
            </w:r>
          </w:p>
        </w:tc>
        <w:tc>
          <w:tcPr>
            <w:tcW w:w="1360" w:type="dxa"/>
            <w:gridSpan w:val="3"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17(28%)</w:t>
            </w:r>
          </w:p>
        </w:tc>
        <w:tc>
          <w:tcPr>
            <w:tcW w:w="2410" w:type="dxa"/>
            <w:vMerge/>
          </w:tcPr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RPr="00F95AA6" w:rsidTr="00CE5B4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10"/>
          </w:tcPr>
          <w:p w:rsidR="00061EF7" w:rsidRPr="00F95AA6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Diagnosis of the patient</w:t>
            </w: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STEMI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55</w:t>
            </w:r>
          </w:p>
        </w:tc>
        <w:tc>
          <w:tcPr>
            <w:tcW w:w="1397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57.3</w:t>
            </w:r>
          </w:p>
        </w:tc>
        <w:tc>
          <w:tcPr>
            <w:tcW w:w="120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13(24%)</w:t>
            </w:r>
          </w:p>
        </w:tc>
        <w:tc>
          <w:tcPr>
            <w:tcW w:w="136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14(25%)</w:t>
            </w:r>
          </w:p>
        </w:tc>
        <w:tc>
          <w:tcPr>
            <w:tcW w:w="2410" w:type="dxa"/>
            <w:vMerge w:val="restart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 </w:t>
            </w:r>
            <w:r w:rsidRPr="00D06FA3">
              <w:rPr>
                <w:szCs w:val="24"/>
                <w:lang w:bidi="ne-NP"/>
              </w:rPr>
              <w:t>X2</w:t>
            </w:r>
            <w:r>
              <w:t xml:space="preserve"> (D)= </w:t>
            </w:r>
            <w:r w:rsidRPr="00D06FA3">
              <w:t>0.</w:t>
            </w:r>
            <w:r>
              <w:t>511</w:t>
            </w:r>
          </w:p>
          <w:p w:rsidR="00061EF7" w:rsidRPr="00F95AA6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</w:t>
            </w:r>
            <w:r w:rsidRPr="00D06FA3">
              <w:rPr>
                <w:szCs w:val="24"/>
                <w:lang w:bidi="ne-NP"/>
              </w:rPr>
              <w:t>X2</w:t>
            </w:r>
            <w:r>
              <w:rPr>
                <w:szCs w:val="24"/>
                <w:lang w:bidi="ne-NP"/>
              </w:rPr>
              <w:t xml:space="preserve"> (</w:t>
            </w:r>
            <w:r>
              <w:rPr>
                <w:sz w:val="24"/>
                <w:szCs w:val="24"/>
              </w:rPr>
              <w:t>A) = 0.525</w:t>
            </w:r>
          </w:p>
        </w:tc>
      </w:tr>
      <w:tr w:rsidR="00061EF7" w:rsidRPr="00F95AA6" w:rsidTr="00CE5B4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NSTEMI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32</w:t>
            </w:r>
          </w:p>
        </w:tc>
        <w:tc>
          <w:tcPr>
            <w:tcW w:w="1397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33.3</w:t>
            </w:r>
          </w:p>
        </w:tc>
        <w:tc>
          <w:tcPr>
            <w:tcW w:w="120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10(31%)</w:t>
            </w:r>
          </w:p>
        </w:tc>
        <w:tc>
          <w:tcPr>
            <w:tcW w:w="136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5(16%)</w:t>
            </w:r>
          </w:p>
        </w:tc>
        <w:tc>
          <w:tcPr>
            <w:tcW w:w="2410" w:type="dxa"/>
            <w:vMerge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Unstable Angina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7.3</w:t>
            </w:r>
          </w:p>
        </w:tc>
        <w:tc>
          <w:tcPr>
            <w:tcW w:w="120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3(42%)</w:t>
            </w:r>
          </w:p>
        </w:tc>
        <w:tc>
          <w:tcPr>
            <w:tcW w:w="136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1(14%)</w:t>
            </w:r>
          </w:p>
        </w:tc>
        <w:tc>
          <w:tcPr>
            <w:tcW w:w="2410" w:type="dxa"/>
            <w:vMerge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RPr="00F95AA6" w:rsidTr="00CE5B43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  <w:sz w:val="24"/>
                <w:szCs w:val="24"/>
              </w:rPr>
              <w:t>Chronic Stable Angina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2.1</w:t>
            </w:r>
          </w:p>
        </w:tc>
        <w:tc>
          <w:tcPr>
            <w:tcW w:w="120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0</w:t>
            </w:r>
          </w:p>
        </w:tc>
        <w:tc>
          <w:tcPr>
            <w:tcW w:w="1360" w:type="dxa"/>
            <w:gridSpan w:val="3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1(50%)</w:t>
            </w:r>
          </w:p>
        </w:tc>
        <w:tc>
          <w:tcPr>
            <w:tcW w:w="2410" w:type="dxa"/>
            <w:vMerge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10"/>
          </w:tcPr>
          <w:p w:rsidR="00061EF7" w:rsidRPr="00F95AA6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Duration of CAD</w:t>
            </w:r>
          </w:p>
        </w:tc>
      </w:tr>
      <w:tr w:rsidR="00061EF7" w:rsidRPr="00F95AA6" w:rsidTr="00CE5B43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</w:rPr>
              <w:t>≤ 1 year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97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70.8</w:t>
            </w:r>
          </w:p>
        </w:tc>
        <w:tc>
          <w:tcPr>
            <w:tcW w:w="1200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16 (24%)</w:t>
            </w:r>
          </w:p>
        </w:tc>
        <w:tc>
          <w:tcPr>
            <w:tcW w:w="1360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18 (26%)</w:t>
            </w:r>
          </w:p>
        </w:tc>
        <w:tc>
          <w:tcPr>
            <w:tcW w:w="2410" w:type="dxa"/>
            <w:vMerge w:val="restart"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 </w:t>
            </w:r>
            <w:r w:rsidRPr="00D06FA3">
              <w:rPr>
                <w:szCs w:val="24"/>
                <w:lang w:bidi="ne-NP"/>
              </w:rPr>
              <w:t>X2</w:t>
            </w:r>
            <w:r>
              <w:t xml:space="preserve"> (D)= </w:t>
            </w:r>
            <w:r w:rsidRPr="00D06FA3">
              <w:t>0.</w:t>
            </w:r>
            <w:r>
              <w:t>109</w:t>
            </w:r>
          </w:p>
          <w:p w:rsidR="00061EF7" w:rsidRPr="00F95AA6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D06FA3">
              <w:rPr>
                <w:szCs w:val="24"/>
                <w:lang w:bidi="ne-NP"/>
              </w:rPr>
              <w:t xml:space="preserve"> X2</w:t>
            </w:r>
            <w:r>
              <w:rPr>
                <w:sz w:val="24"/>
                <w:szCs w:val="24"/>
              </w:rPr>
              <w:t xml:space="preserve"> (A) = 0.222</w:t>
            </w:r>
          </w:p>
        </w:tc>
      </w:tr>
      <w:tr w:rsidR="00061EF7" w:rsidRPr="00F95AA6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061EF7" w:rsidRPr="002C4A02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C4A02">
              <w:rPr>
                <w:b w:val="0"/>
                <w:bCs w:val="0"/>
              </w:rPr>
              <w:t>&gt;1year</w:t>
            </w:r>
          </w:p>
        </w:tc>
        <w:tc>
          <w:tcPr>
            <w:tcW w:w="1292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95A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9.2</w:t>
            </w:r>
          </w:p>
        </w:tc>
        <w:tc>
          <w:tcPr>
            <w:tcW w:w="1200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10 (36%)</w:t>
            </w:r>
          </w:p>
        </w:tc>
        <w:tc>
          <w:tcPr>
            <w:tcW w:w="1360" w:type="dxa"/>
            <w:gridSpan w:val="3"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3 (11%)</w:t>
            </w:r>
          </w:p>
        </w:tc>
        <w:tc>
          <w:tcPr>
            <w:tcW w:w="2410" w:type="dxa"/>
            <w:vMerge/>
          </w:tcPr>
          <w:p w:rsidR="00061EF7" w:rsidRPr="00F95AA6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061EF7" w:rsidRDefault="00061EF7" w:rsidP="00061EF7">
      <w:pPr>
        <w:pStyle w:val="ListParagraph"/>
        <w:spacing w:line="360" w:lineRule="auto"/>
      </w:pPr>
      <w:r>
        <w:t>*Statistically significant</w:t>
      </w:r>
    </w:p>
    <w:p w:rsidR="00061EF7" w:rsidRDefault="00061EF7" w:rsidP="00061EF7">
      <w:pPr>
        <w:pStyle w:val="ListParagraph"/>
        <w:spacing w:line="360" w:lineRule="auto"/>
      </w:pPr>
      <w:r>
        <w:rPr>
          <w:vertAlign w:val="superscript"/>
        </w:rPr>
        <w:t>1</w:t>
      </w:r>
      <w:r>
        <w:t>PX2 (D): P-value Chi-square Depression Group</w:t>
      </w:r>
    </w:p>
    <w:p w:rsidR="00061EF7" w:rsidRPr="002C4A02" w:rsidRDefault="00061EF7" w:rsidP="00061EF7">
      <w:pPr>
        <w:pStyle w:val="ListParagraph"/>
        <w:spacing w:line="360" w:lineRule="auto"/>
      </w:pPr>
      <w:r>
        <w:rPr>
          <w:vertAlign w:val="superscript"/>
        </w:rPr>
        <w:t>2</w:t>
      </w:r>
      <w:r>
        <w:t>PX2 (A): P-value Chi-square Anxiety Group</w:t>
      </w:r>
    </w:p>
    <w:p w:rsidR="00061EF7" w:rsidRDefault="00061EF7" w:rsidP="00061EF7">
      <w:pPr>
        <w:autoSpaceDE w:val="0"/>
        <w:autoSpaceDN w:val="0"/>
        <w:adjustRightInd w:val="0"/>
        <w:spacing w:line="360" w:lineRule="auto"/>
        <w:rPr>
          <w:lang w:bidi="ne-NP"/>
        </w:rPr>
      </w:pPr>
    </w:p>
    <w:p w:rsidR="00061EF7" w:rsidRDefault="00061EF7" w:rsidP="00061EF7">
      <w:pPr>
        <w:spacing w:line="360" w:lineRule="auto"/>
        <w:rPr>
          <w:lang w:bidi="ne-NP"/>
        </w:rPr>
      </w:pPr>
      <w:r>
        <w:rPr>
          <w:lang w:bidi="ne-NP"/>
        </w:rPr>
        <w:br w:type="page"/>
      </w:r>
    </w:p>
    <w:p w:rsidR="00061EF7" w:rsidRDefault="00061EF7" w:rsidP="00061EF7">
      <w:pPr>
        <w:autoSpaceDE w:val="0"/>
        <w:autoSpaceDN w:val="0"/>
        <w:adjustRightInd w:val="0"/>
        <w:spacing w:line="360" w:lineRule="auto"/>
        <w:rPr>
          <w:lang w:bidi="ne-NP"/>
        </w:rPr>
      </w:pPr>
    </w:p>
    <w:p w:rsidR="00061EF7" w:rsidRPr="00424A52" w:rsidRDefault="00061EF7" w:rsidP="00061EF7">
      <w:pPr>
        <w:autoSpaceDE w:val="0"/>
        <w:autoSpaceDN w:val="0"/>
        <w:adjustRightInd w:val="0"/>
        <w:spacing w:line="360" w:lineRule="auto"/>
        <w:rPr>
          <w:lang w:bidi="ne-NP"/>
        </w:rPr>
      </w:pPr>
      <w:r w:rsidRPr="00424A52">
        <w:rPr>
          <w:lang w:bidi="ne-NP"/>
        </w:rPr>
        <w:t xml:space="preserve">Table 6: Factors </w:t>
      </w:r>
      <w:r>
        <w:rPr>
          <w:lang w:bidi="ne-NP"/>
        </w:rPr>
        <w:t>Affecting</w:t>
      </w:r>
      <w:r w:rsidRPr="00424A52">
        <w:rPr>
          <w:lang w:bidi="ne-NP"/>
        </w:rPr>
        <w:t xml:space="preserve"> QOL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687"/>
        <w:gridCol w:w="1268"/>
        <w:gridCol w:w="1268"/>
        <w:gridCol w:w="1268"/>
        <w:gridCol w:w="1268"/>
        <w:gridCol w:w="1601"/>
      </w:tblGrid>
      <w:tr w:rsidR="00061EF7" w:rsidTr="00CE5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:rsidR="00061EF7" w:rsidRPr="00D06FA3" w:rsidRDefault="00061EF7" w:rsidP="00CE5B43">
            <w:pPr>
              <w:spacing w:line="360" w:lineRule="auto"/>
              <w:jc w:val="center"/>
            </w:pPr>
            <w:r w:rsidRPr="00F95AA6">
              <w:rPr>
                <w:sz w:val="24"/>
                <w:szCs w:val="24"/>
              </w:rPr>
              <w:t>Sociodemographic and clinical variable</w:t>
            </w:r>
          </w:p>
        </w:tc>
        <w:tc>
          <w:tcPr>
            <w:tcW w:w="1081" w:type="dxa"/>
          </w:tcPr>
          <w:p w:rsidR="00061EF7" w:rsidRPr="00D06FA3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6FA3">
              <w:t>WHOQOL domain 1</w:t>
            </w:r>
          </w:p>
        </w:tc>
        <w:tc>
          <w:tcPr>
            <w:tcW w:w="1169" w:type="dxa"/>
          </w:tcPr>
          <w:p w:rsidR="00061EF7" w:rsidRPr="00D06FA3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6FA3">
              <w:t xml:space="preserve">WHOQOL domain </w:t>
            </w:r>
            <w:r>
              <w:t>2</w:t>
            </w:r>
          </w:p>
        </w:tc>
        <w:tc>
          <w:tcPr>
            <w:tcW w:w="1169" w:type="dxa"/>
          </w:tcPr>
          <w:p w:rsidR="00061EF7" w:rsidRPr="00D06FA3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6FA3">
              <w:t xml:space="preserve">WHOQOL domain </w:t>
            </w:r>
            <w:r>
              <w:t>3</w:t>
            </w:r>
          </w:p>
        </w:tc>
        <w:tc>
          <w:tcPr>
            <w:tcW w:w="1081" w:type="dxa"/>
          </w:tcPr>
          <w:p w:rsidR="00061EF7" w:rsidRPr="00D06FA3" w:rsidRDefault="00061EF7" w:rsidP="00CE5B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6FA3">
              <w:t xml:space="preserve">WHOQOL domain </w:t>
            </w:r>
            <w:r>
              <w:t>4</w:t>
            </w:r>
          </w:p>
        </w:tc>
        <w:tc>
          <w:tcPr>
            <w:tcW w:w="1806" w:type="dxa"/>
          </w:tcPr>
          <w:p w:rsidR="00061EF7" w:rsidRDefault="00061EF7" w:rsidP="00CE5B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p-value</w:t>
            </w:r>
          </w:p>
        </w:tc>
      </w:tr>
      <w:tr w:rsidR="00061EF7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:rsidR="00061EF7" w:rsidRPr="00CF1319" w:rsidRDefault="00061EF7" w:rsidP="00CE5B43">
            <w:pPr>
              <w:spacing w:line="360" w:lineRule="auto"/>
              <w:rPr>
                <w:sz w:val="24"/>
                <w:szCs w:val="24"/>
                <w:vertAlign w:val="superscript"/>
              </w:rPr>
            </w:pPr>
            <w:r w:rsidRPr="00CF1319">
              <w:rPr>
                <w:b w:val="0"/>
                <w:bCs w:val="0"/>
                <w:sz w:val="24"/>
                <w:szCs w:val="24"/>
              </w:rPr>
              <w:t>Age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-</w:t>
            </w:r>
            <w:r>
              <w:rPr>
                <w:szCs w:val="24"/>
                <w:lang w:bidi="ne-NP"/>
              </w:rPr>
              <w:t>0</w:t>
            </w:r>
            <w:r w:rsidRPr="00D06FA3">
              <w:rPr>
                <w:szCs w:val="24"/>
                <w:lang w:bidi="ne-NP"/>
              </w:rPr>
              <w:t>.049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Cs w:val="24"/>
                <w:lang w:bidi="ne-NP"/>
              </w:rPr>
              <w:t>0</w:t>
            </w:r>
            <w:r w:rsidRPr="00D06FA3">
              <w:rPr>
                <w:szCs w:val="24"/>
                <w:lang w:bidi="ne-NP"/>
              </w:rPr>
              <w:t>.018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-</w:t>
            </w:r>
            <w:r>
              <w:rPr>
                <w:szCs w:val="24"/>
                <w:lang w:bidi="ne-NP"/>
              </w:rPr>
              <w:t>0</w:t>
            </w:r>
            <w:r w:rsidRPr="00D06FA3">
              <w:rPr>
                <w:szCs w:val="24"/>
                <w:lang w:bidi="ne-NP"/>
              </w:rPr>
              <w:t>.084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Cs w:val="24"/>
                <w:lang w:bidi="ne-NP"/>
              </w:rPr>
              <w:t>0</w:t>
            </w:r>
            <w:r w:rsidRPr="00D06FA3">
              <w:rPr>
                <w:szCs w:val="24"/>
                <w:lang w:bidi="ne-NP"/>
              </w:rPr>
              <w:t>.035</w:t>
            </w:r>
          </w:p>
        </w:tc>
        <w:tc>
          <w:tcPr>
            <w:tcW w:w="1806" w:type="dxa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significant</w:t>
            </w:r>
          </w:p>
        </w:tc>
      </w:tr>
      <w:tr w:rsidR="00061EF7" w:rsidTr="00CE5B43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:rsidR="00061EF7" w:rsidRPr="00CF1319" w:rsidRDefault="00061EF7" w:rsidP="00CE5B4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CF1319">
              <w:rPr>
                <w:b w:val="0"/>
                <w:bCs w:val="0"/>
                <w:sz w:val="24"/>
                <w:szCs w:val="24"/>
              </w:rPr>
              <w:t>Gender</w:t>
            </w:r>
            <w:r w:rsidRPr="00CF1319">
              <w:rPr>
                <w:sz w:val="24"/>
                <w:szCs w:val="24"/>
              </w:rPr>
              <w:t xml:space="preserve"> </w:t>
            </w:r>
            <w:r w:rsidRPr="00CF1319">
              <w:rPr>
                <w:sz w:val="24"/>
                <w:szCs w:val="24"/>
                <w:vertAlign w:val="superscript"/>
              </w:rPr>
              <w:t>b</w:t>
            </w:r>
            <w:r w:rsidRPr="00CF1319">
              <w:rPr>
                <w:b w:val="0"/>
                <w:bCs w:val="0"/>
                <w:sz w:val="24"/>
                <w:szCs w:val="24"/>
                <w:vertAlign w:val="superscript"/>
              </w:rPr>
              <w:t xml:space="preserve"> </w:t>
            </w:r>
            <w:r w:rsidRPr="00CF13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061EF7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:rsidR="00061EF7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1081" w:type="dxa"/>
          </w:tcPr>
          <w:p w:rsidR="00061EF7" w:rsidRPr="00D06FA3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51.73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62.51</w:t>
            </w:r>
          </w:p>
        </w:tc>
        <w:tc>
          <w:tcPr>
            <w:tcW w:w="1169" w:type="dxa"/>
          </w:tcPr>
          <w:p w:rsidR="00061EF7" w:rsidRPr="00D06FA3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69.01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71.25</w:t>
            </w:r>
          </w:p>
        </w:tc>
        <w:tc>
          <w:tcPr>
            <w:tcW w:w="1806" w:type="dxa"/>
            <w:vMerge w:val="restart"/>
          </w:tcPr>
          <w:p w:rsidR="00061EF7" w:rsidRPr="00D06FA3" w:rsidRDefault="00061EF7" w:rsidP="00CE5B43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szCs w:val="24"/>
                <w:lang w:bidi="ne-NP"/>
              </w:rPr>
              <w:t>Significant across domain 2 (p=0.006) and domain 4 (p=0.015)</w:t>
            </w:r>
          </w:p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Tr="00CE5B43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:rsidR="00061EF7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</w:t>
            </w:r>
          </w:p>
        </w:tc>
        <w:tc>
          <w:tcPr>
            <w:tcW w:w="1081" w:type="dxa"/>
          </w:tcPr>
          <w:p w:rsidR="00061EF7" w:rsidRPr="00D06FA3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48.17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55.21</w:t>
            </w:r>
          </w:p>
        </w:tc>
        <w:tc>
          <w:tcPr>
            <w:tcW w:w="1169" w:type="dxa"/>
          </w:tcPr>
          <w:p w:rsidR="00061EF7" w:rsidRPr="00D06FA3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66.66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bidi="ne-NP"/>
              </w:rPr>
            </w:pPr>
            <w:r w:rsidRPr="00D06FA3">
              <w:rPr>
                <w:color w:val="010205"/>
                <w:szCs w:val="24"/>
                <w:lang w:bidi="ne-NP"/>
              </w:rPr>
              <w:t>66.48</w:t>
            </w:r>
          </w:p>
        </w:tc>
        <w:tc>
          <w:tcPr>
            <w:tcW w:w="1806" w:type="dxa"/>
            <w:vMerge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1EF7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:rsidR="00061EF7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 w:rsidRPr="00CF1319">
              <w:rPr>
                <w:b w:val="0"/>
                <w:bCs w:val="0"/>
              </w:rPr>
              <w:t>Duration of CAD</w:t>
            </w:r>
            <w:r>
              <w:t xml:space="preserve"> </w:t>
            </w:r>
            <w:r>
              <w:rPr>
                <w:vertAlign w:val="superscript"/>
              </w:rPr>
              <w:t>b</w:t>
            </w:r>
            <w:r>
              <w:t xml:space="preserve"> </w:t>
            </w:r>
          </w:p>
        </w:tc>
      </w:tr>
      <w:tr w:rsidR="00061EF7" w:rsidTr="00CE5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:rsidR="00061EF7" w:rsidRPr="00D06FA3" w:rsidRDefault="00061EF7" w:rsidP="00CE5B43">
            <w:pPr>
              <w:spacing w:line="360" w:lineRule="auto"/>
            </w:pPr>
            <w:r w:rsidRPr="00D06FA3">
              <w:rPr>
                <w:szCs w:val="24"/>
                <w:lang w:bidi="ne-NP"/>
              </w:rPr>
              <w:t>&lt;=1 year (N=68)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51.35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60.55</w:t>
            </w:r>
          </w:p>
        </w:tc>
        <w:tc>
          <w:tcPr>
            <w:tcW w:w="1169" w:type="dxa"/>
          </w:tcPr>
          <w:p w:rsidR="00061EF7" w:rsidRDefault="00061EF7" w:rsidP="00CE5B43">
            <w:pPr>
              <w:tabs>
                <w:tab w:val="left" w:pos="197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D06FA3">
              <w:t>68.82</w:t>
            </w:r>
          </w:p>
        </w:tc>
        <w:tc>
          <w:tcPr>
            <w:tcW w:w="1081" w:type="dxa"/>
          </w:tcPr>
          <w:p w:rsidR="00061EF7" w:rsidRDefault="00061EF7" w:rsidP="00CE5B43">
            <w:pPr>
              <w:tabs>
                <w:tab w:val="left" w:pos="197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D06FA3">
              <w:t>70.96</w:t>
            </w:r>
          </w:p>
        </w:tc>
        <w:tc>
          <w:tcPr>
            <w:tcW w:w="1806" w:type="dxa"/>
            <w:vMerge w:val="restart"/>
          </w:tcPr>
          <w:p w:rsidR="00061EF7" w:rsidRDefault="00061EF7" w:rsidP="00CE5B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Significant only across domain 4 (p=</w:t>
            </w:r>
            <w:r w:rsidRPr="00D06FA3">
              <w:t>0.047</w:t>
            </w:r>
            <w: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61EF7" w:rsidTr="00CE5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</w:tcPr>
          <w:p w:rsidR="00061EF7" w:rsidRDefault="00061EF7" w:rsidP="00CE5B43">
            <w:pPr>
              <w:spacing w:line="360" w:lineRule="auto"/>
              <w:rPr>
                <w:sz w:val="24"/>
                <w:szCs w:val="24"/>
              </w:rPr>
            </w:pPr>
            <w:r w:rsidRPr="00D06FA3">
              <w:rPr>
                <w:szCs w:val="24"/>
                <w:lang w:bidi="ne-NP"/>
              </w:rPr>
              <w:t>&gt;1 year (N=28)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48.96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59.68</w:t>
            </w:r>
          </w:p>
        </w:tc>
        <w:tc>
          <w:tcPr>
            <w:tcW w:w="1169" w:type="dxa"/>
          </w:tcPr>
          <w:p w:rsidR="00061EF7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67.04</w:t>
            </w:r>
          </w:p>
        </w:tc>
        <w:tc>
          <w:tcPr>
            <w:tcW w:w="1081" w:type="dxa"/>
          </w:tcPr>
          <w:p w:rsidR="00061EF7" w:rsidRDefault="00061EF7" w:rsidP="00CE5B4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6FA3">
              <w:t>67.04</w:t>
            </w:r>
          </w:p>
        </w:tc>
        <w:tc>
          <w:tcPr>
            <w:tcW w:w="1806" w:type="dxa"/>
            <w:vMerge/>
          </w:tcPr>
          <w:p w:rsidR="00061EF7" w:rsidRDefault="00061EF7" w:rsidP="00CE5B4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061EF7" w:rsidRDefault="00061EF7" w:rsidP="00061EF7">
      <w:pPr>
        <w:spacing w:line="360" w:lineRule="auto"/>
      </w:pPr>
    </w:p>
    <w:p w:rsidR="00061EF7" w:rsidRPr="00CF1319" w:rsidRDefault="00061EF7" w:rsidP="00061EF7">
      <w:pPr>
        <w:spacing w:line="360" w:lineRule="auto"/>
        <w:rPr>
          <w:vertAlign w:val="superscript"/>
        </w:rPr>
      </w:pPr>
      <w:r>
        <w:rPr>
          <w:vertAlign w:val="superscript"/>
          <w:lang w:bidi="ne-NP"/>
        </w:rPr>
        <w:t xml:space="preserve">a </w:t>
      </w:r>
      <w:r w:rsidRPr="00D06FA3">
        <w:rPr>
          <w:lang w:bidi="ne-NP"/>
        </w:rPr>
        <w:t>Pearson Correlation</w:t>
      </w:r>
      <w:r>
        <w:rPr>
          <w:lang w:bidi="ne-NP"/>
        </w:rPr>
        <w:t xml:space="preserve">, </w:t>
      </w:r>
      <w:r>
        <w:rPr>
          <w:vertAlign w:val="superscript"/>
          <w:lang w:bidi="ne-NP"/>
        </w:rPr>
        <w:t xml:space="preserve">b </w:t>
      </w:r>
      <w:r>
        <w:t>independent sample t-test</w:t>
      </w:r>
    </w:p>
    <w:p w:rsidR="00061EF7" w:rsidRDefault="00061EF7"/>
    <w:sectPr w:rsidR="00061E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F7"/>
    <w:rsid w:val="0006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98BB36B-EE66-2642-AFB9-4DC4C0AE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P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EF7"/>
    <w:rPr>
      <w:rFonts w:ascii="Times New Roman" w:hAnsi="Times New Roman" w:cs="Times New Roman"/>
      <w:kern w:val="0"/>
      <w:lang w:val="en-GB" w:eastAsia="en-GB"/>
      <w14:ligatures w14:val="none"/>
    </w:rPr>
  </w:style>
  <w:style w:type="paragraph" w:styleId="Heading2">
    <w:name w:val="heading 2"/>
    <w:aliases w:val="Section heading"/>
    <w:basedOn w:val="Normal"/>
    <w:next w:val="Normal"/>
    <w:link w:val="Heading2Char"/>
    <w:autoRedefine/>
    <w:uiPriority w:val="9"/>
    <w:unhideWhenUsed/>
    <w:qFormat/>
    <w:rsid w:val="00061EF7"/>
    <w:pPr>
      <w:keepNext/>
      <w:keepLines/>
      <w:spacing w:before="100" w:beforeAutospacing="1" w:after="100" w:afterAutospacing="1" w:line="360" w:lineRule="auto"/>
      <w:jc w:val="both"/>
      <w:outlineLvl w:val="1"/>
    </w:pPr>
    <w:rPr>
      <w:rFonts w:asciiTheme="minorHAnsi" w:hAnsiTheme="minorHAnsi" w:cstheme="minorHAnsi"/>
      <w:b/>
      <w:color w:val="000000" w:themeColor="text1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ection heading Char"/>
    <w:basedOn w:val="DefaultParagraphFont"/>
    <w:link w:val="Heading2"/>
    <w:uiPriority w:val="9"/>
    <w:rsid w:val="00061EF7"/>
    <w:rPr>
      <w:rFonts w:cstheme="minorHAnsi"/>
      <w:b/>
      <w:color w:val="000000" w:themeColor="text1"/>
      <w:kern w:val="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061EF7"/>
    <w:pPr>
      <w:ind w:left="720"/>
      <w:contextualSpacing/>
    </w:pPr>
  </w:style>
  <w:style w:type="table" w:styleId="PlainTable2">
    <w:name w:val="Plain Table 2"/>
    <w:basedOn w:val="TableNormal"/>
    <w:uiPriority w:val="42"/>
    <w:rsid w:val="00061EF7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2023-11-09T04:25:00Z</dcterms:created>
  <dcterms:modified xsi:type="dcterms:W3CDTF">2023-11-09T04:34:00Z</dcterms:modified>
</cp:coreProperties>
</file>