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9976" w14:textId="77777777" w:rsidR="00F908C4" w:rsidRDefault="00F908C4" w:rsidP="00F908C4">
      <w:pPr>
        <w:keepNext/>
        <w:spacing w:line="360" w:lineRule="auto"/>
        <w:jc w:val="center"/>
      </w:pPr>
      <w:bookmarkStart w:id="0" w:name="_Hlk162691458"/>
      <w:r>
        <w:rPr>
          <w:noProof/>
        </w:rPr>
        <w:drawing>
          <wp:inline distT="0" distB="0" distL="0" distR="0" wp14:anchorId="709E98DD" wp14:editId="0F5B4D59">
            <wp:extent cx="5274310" cy="5221605"/>
            <wp:effectExtent l="0" t="0" r="2540" b="0"/>
            <wp:docPr id="8" name="图片 8" descr="A screenshot of a map of different weather condi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 screenshot of a map of different weather condition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2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D164B" w14:textId="77777777" w:rsidR="00F908C4" w:rsidRDefault="00F908C4" w:rsidP="00F908C4">
      <w:pPr>
        <w:pStyle w:val="Caption"/>
      </w:pPr>
      <w:bookmarkStart w:id="1" w:name="_Ref159973216"/>
      <w:r w:rsidRPr="00EF3EF3">
        <w:rPr>
          <w:rFonts w:ascii="Times New Roman" w:hAnsi="Times New Roman" w:cs="Times New Roman"/>
          <w:b/>
          <w:bCs/>
          <w:color w:val="FF00FF"/>
        </w:rPr>
        <w:t>Extended</w:t>
      </w:r>
      <w:r>
        <w:rPr>
          <w:rFonts w:ascii="Times New Roman" w:hAnsi="Times New Roman" w:cs="Times New Roman"/>
          <w:b/>
          <w:bCs/>
          <w:color w:val="FF00FF"/>
        </w:rPr>
        <w:t xml:space="preserve"> </w:t>
      </w:r>
      <w:r w:rsidRPr="00EF3EF3">
        <w:rPr>
          <w:rFonts w:ascii="Times New Roman" w:hAnsi="Times New Roman" w:cs="Times New Roman"/>
          <w:b/>
          <w:bCs/>
          <w:color w:val="FF00FF"/>
        </w:rPr>
        <w:t>Data</w:t>
      </w:r>
      <w:r>
        <w:rPr>
          <w:rFonts w:ascii="Times New Roman" w:hAnsi="Times New Roman" w:cs="Times New Roman"/>
          <w:b/>
          <w:bCs/>
          <w:color w:val="FF00FF"/>
        </w:rPr>
        <w:t xml:space="preserve"> </w:t>
      </w:r>
      <w:r w:rsidRPr="00EF3EF3">
        <w:rPr>
          <w:rFonts w:ascii="Times New Roman" w:hAnsi="Times New Roman" w:cs="Times New Roman"/>
          <w:b/>
          <w:bCs/>
          <w:color w:val="FF00FF"/>
        </w:rPr>
        <w:t xml:space="preserve">Fig. </w:t>
      </w:r>
      <w:r w:rsidRPr="00EF3EF3">
        <w:rPr>
          <w:rFonts w:ascii="Times New Roman" w:hAnsi="Times New Roman" w:cs="Times New Roman"/>
          <w:b/>
          <w:bCs/>
          <w:color w:val="FF00FF"/>
        </w:rPr>
        <w:fldChar w:fldCharType="begin"/>
      </w:r>
      <w:r w:rsidRPr="00EF3EF3">
        <w:rPr>
          <w:rFonts w:ascii="Times New Roman" w:hAnsi="Times New Roman" w:cs="Times New Roman"/>
          <w:b/>
          <w:bCs/>
          <w:color w:val="FF00FF"/>
        </w:rPr>
        <w:instrText xml:space="preserve"> SEQ ExtendedDataFig. \* ARABIC </w:instrText>
      </w:r>
      <w:r w:rsidRPr="00EF3EF3">
        <w:rPr>
          <w:rFonts w:ascii="Times New Roman" w:hAnsi="Times New Roman" w:cs="Times New Roman"/>
          <w:b/>
          <w:bCs/>
          <w:color w:val="FF00FF"/>
        </w:rPr>
        <w:fldChar w:fldCharType="separate"/>
      </w:r>
      <w:r w:rsidRPr="00EF3EF3">
        <w:rPr>
          <w:rFonts w:ascii="Times New Roman" w:hAnsi="Times New Roman" w:cs="Times New Roman"/>
          <w:b/>
          <w:bCs/>
          <w:noProof/>
          <w:color w:val="FF00FF"/>
        </w:rPr>
        <w:t>1</w:t>
      </w:r>
      <w:r w:rsidRPr="00EF3EF3">
        <w:rPr>
          <w:rFonts w:ascii="Times New Roman" w:hAnsi="Times New Roman" w:cs="Times New Roman"/>
          <w:b/>
          <w:bCs/>
          <w:color w:val="FF00FF"/>
        </w:rPr>
        <w:fldChar w:fldCharType="end"/>
      </w:r>
      <w:bookmarkEnd w:id="1"/>
      <w:r>
        <w:rPr>
          <w:rFonts w:ascii="Times New Roman" w:hAnsi="Times New Roman" w:cs="Times New Roman"/>
          <w:b/>
          <w:bCs/>
          <w:color w:val="FF00FF"/>
        </w:rPr>
        <w:t>.</w:t>
      </w:r>
      <w:r w:rsidRPr="002A460F">
        <w:t xml:space="preserve"> </w:t>
      </w:r>
      <w:r w:rsidRPr="002A460F">
        <w:rPr>
          <w:rFonts w:ascii="Times New Roman" w:hAnsi="Times New Roman" w:cs="Times New Roman"/>
          <w:b/>
          <w:bCs/>
          <w:color w:val="FF00FF"/>
        </w:rPr>
        <w:t>|</w:t>
      </w:r>
      <w:r w:rsidRPr="007D7339">
        <w:rPr>
          <w:rFonts w:ascii="Times New Roman" w:hAnsi="Times New Roman" w:cs="Times New Roman"/>
          <w:color w:val="FF00FF"/>
        </w:rPr>
        <w:t xml:space="preserve"> </w:t>
      </w:r>
      <w:r w:rsidRPr="007D7339">
        <w:rPr>
          <w:rFonts w:ascii="Times New Roman" w:hAnsi="Times New Roman" w:cs="Times New Roman"/>
          <w:b/>
          <w:bCs/>
        </w:rPr>
        <w:t>The spatial pattern of the seasonal climatology nitrate concentration and sea surface currents.</w:t>
      </w:r>
      <w:r>
        <w:rPr>
          <w:rFonts w:ascii="Times New Roman" w:hAnsi="Times New Roman" w:cs="Times New Roman"/>
        </w:rPr>
        <w:t xml:space="preserve"> </w:t>
      </w:r>
      <w:r w:rsidRPr="004834C3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-</w:t>
      </w:r>
      <w:r w:rsidRPr="004834C3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The seasonal climatology surface ocean nitrate concentration for winter, spring, summer and autumn, respectively. </w:t>
      </w:r>
      <w:r w:rsidRPr="0073553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</w:rPr>
        <w:t>-</w:t>
      </w:r>
      <w:r w:rsidRPr="0073553E">
        <w:rPr>
          <w:rFonts w:ascii="Times New Roman" w:hAnsi="Times New Roman" w:cs="Times New Roman"/>
          <w:b/>
        </w:rPr>
        <w:t>h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The seasonal climatology sea surface currents for winter, spring, summer and autumn, respectively. The</w:t>
      </w:r>
      <w:r w:rsidRPr="00453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climatology boundaries of the CRT in each season, calculated from seasonal climatology Chl, are </w:t>
      </w:r>
      <w:r w:rsidRPr="00C04162">
        <w:rPr>
          <w:rFonts w:ascii="Times New Roman" w:hAnsi="Times New Roman" w:cs="Times New Roman"/>
        </w:rPr>
        <w:t>depict</w:t>
      </w:r>
      <w:r>
        <w:rPr>
          <w:rFonts w:ascii="Times New Roman" w:hAnsi="Times New Roman" w:cs="Times New Roman"/>
        </w:rPr>
        <w:t>ed by the solid black curves.</w:t>
      </w:r>
    </w:p>
    <w:p w14:paraId="321CE73B" w14:textId="77777777" w:rsidR="00F908C4" w:rsidRDefault="00F908C4" w:rsidP="00F908C4">
      <w:pPr>
        <w:keepNext/>
        <w:spacing w:line="360" w:lineRule="auto"/>
        <w:jc w:val="center"/>
      </w:pPr>
    </w:p>
    <w:p w14:paraId="19DF8DD0" w14:textId="77777777" w:rsidR="00F908C4" w:rsidRDefault="00F908C4" w:rsidP="00F908C4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3CB31AEF" wp14:editId="3E1D273B">
            <wp:extent cx="5274310" cy="4782185"/>
            <wp:effectExtent l="0" t="0" r="2540" b="0"/>
            <wp:docPr id="9" name="图片 9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 graph of a number of number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03410" w14:textId="77777777" w:rsidR="00F908C4" w:rsidRPr="00F15CC3" w:rsidRDefault="00F908C4" w:rsidP="00F908C4">
      <w:pPr>
        <w:pStyle w:val="Caption"/>
      </w:pPr>
      <w:bookmarkStart w:id="2" w:name="_Ref159972789"/>
      <w:r w:rsidRPr="00EF3EF3">
        <w:rPr>
          <w:rFonts w:ascii="Times New Roman" w:hAnsi="Times New Roman" w:cs="Times New Roman"/>
          <w:b/>
          <w:bCs/>
          <w:color w:val="990033"/>
        </w:rPr>
        <w:t>Extended</w:t>
      </w:r>
      <w:r>
        <w:rPr>
          <w:rFonts w:ascii="Times New Roman" w:hAnsi="Times New Roman" w:cs="Times New Roman"/>
          <w:b/>
          <w:bCs/>
          <w:color w:val="990033"/>
        </w:rPr>
        <w:t xml:space="preserve"> </w:t>
      </w:r>
      <w:r w:rsidRPr="00EF3EF3">
        <w:rPr>
          <w:rFonts w:ascii="Times New Roman" w:hAnsi="Times New Roman" w:cs="Times New Roman"/>
          <w:b/>
          <w:bCs/>
          <w:color w:val="990033"/>
        </w:rPr>
        <w:t>Data</w:t>
      </w:r>
      <w:r>
        <w:rPr>
          <w:rFonts w:ascii="Times New Roman" w:hAnsi="Times New Roman" w:cs="Times New Roman"/>
          <w:b/>
          <w:bCs/>
          <w:color w:val="990033"/>
        </w:rPr>
        <w:t xml:space="preserve"> </w:t>
      </w:r>
      <w:r w:rsidRPr="00EF3EF3">
        <w:rPr>
          <w:rFonts w:ascii="Times New Roman" w:hAnsi="Times New Roman" w:cs="Times New Roman"/>
          <w:b/>
          <w:bCs/>
          <w:color w:val="990033"/>
        </w:rPr>
        <w:t xml:space="preserve">Fig. </w:t>
      </w:r>
      <w:r>
        <w:rPr>
          <w:rFonts w:ascii="Times New Roman" w:hAnsi="Times New Roman" w:cs="Times New Roman"/>
          <w:b/>
          <w:bCs/>
          <w:color w:val="990033"/>
        </w:rPr>
        <w:t>2</w:t>
      </w:r>
      <w:bookmarkEnd w:id="2"/>
      <w:r>
        <w:rPr>
          <w:rFonts w:ascii="Times New Roman" w:hAnsi="Times New Roman" w:cs="Times New Roman"/>
          <w:b/>
          <w:bCs/>
          <w:color w:val="990033"/>
        </w:rPr>
        <w:t>.</w:t>
      </w:r>
      <w:r w:rsidRPr="002A460F">
        <w:t xml:space="preserve"> </w:t>
      </w:r>
      <w:r w:rsidRPr="002A460F">
        <w:rPr>
          <w:rFonts w:ascii="Times New Roman" w:hAnsi="Times New Roman" w:cs="Times New Roman"/>
          <w:b/>
          <w:bCs/>
          <w:color w:val="990033"/>
        </w:rPr>
        <w:t>|</w:t>
      </w:r>
      <w:r w:rsidRPr="007D7339">
        <w:rPr>
          <w:rFonts w:ascii="Times New Roman" w:hAnsi="Times New Roman" w:cs="Times New Roman"/>
          <w:color w:val="990033"/>
        </w:rPr>
        <w:t xml:space="preserve"> </w:t>
      </w:r>
      <w:r w:rsidRPr="007D7339">
        <w:rPr>
          <w:rFonts w:ascii="Times New Roman" w:hAnsi="Times New Roman" w:cs="Times New Roman"/>
          <w:b/>
          <w:bCs/>
        </w:rPr>
        <w:t xml:space="preserve">The long-term trends of the CRT area observed from different satellite datasets. </w:t>
      </w:r>
      <w:r w:rsidRPr="00BF5DD4">
        <w:rPr>
          <w:rFonts w:ascii="Times New Roman" w:hAnsi="Times New Roman" w:cs="Times New Roman"/>
          <w:b/>
        </w:rPr>
        <w:t>a</w:t>
      </w:r>
      <w:bookmarkStart w:id="3" w:name="OLE_LINK5"/>
      <w:bookmarkStart w:id="4" w:name="OLE_LINK6"/>
      <w:r>
        <w:rPr>
          <w:rFonts w:ascii="Times New Roman" w:hAnsi="Times New Roman" w:cs="Times New Roman"/>
        </w:rPr>
        <w:t xml:space="preserve"> MODIS-aqua monthly Chl product from August 2002 to September 2022</w:t>
      </w:r>
      <w:bookmarkEnd w:id="3"/>
      <w:bookmarkEnd w:id="4"/>
      <w:r>
        <w:rPr>
          <w:rFonts w:ascii="Times New Roman" w:hAnsi="Times New Roman" w:cs="Times New Roman"/>
        </w:rPr>
        <w:t xml:space="preserve"> (9 km spatial resolution) exhibits an expansion of CRT at a rate of ~</w:t>
      </w:r>
      <w:r w:rsidRPr="00C1267C"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>46</w:t>
      </w:r>
      <w:r w:rsidRPr="00C1267C">
        <w:rPr>
          <w:rFonts w:ascii="Times New Roman" w:hAnsi="Times New Roman" w:cs="Times New Roman"/>
        </w:rPr>
        <w:t xml:space="preserve"> × 10</w:t>
      </w:r>
      <w:r w:rsidRPr="00C1267C">
        <w:rPr>
          <w:rFonts w:ascii="Times New Roman" w:hAnsi="Times New Roman" w:cs="Times New Roman"/>
          <w:vertAlign w:val="superscript"/>
        </w:rPr>
        <w:t>4</w:t>
      </w:r>
      <w:r w:rsidRPr="00C1267C">
        <w:rPr>
          <w:rFonts w:ascii="Times New Roman" w:hAnsi="Times New Roman" w:cs="Times New Roman"/>
        </w:rPr>
        <w:t xml:space="preserve"> km/yr</w:t>
      </w:r>
      <w:r>
        <w:rPr>
          <w:rFonts w:ascii="Times New Roman" w:hAnsi="Times New Roman" w:cs="Times New Roman"/>
        </w:rPr>
        <w:t xml:space="preserve">. </w:t>
      </w:r>
      <w:r w:rsidRPr="002C0DD1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OC-CCI merged monthly Chl product from September 1997 to July 2023 (4 km spatial resolution), exhibits a greater expansion rate at ~5.13</w:t>
      </w:r>
      <w:r w:rsidRPr="00C1267C">
        <w:rPr>
          <w:rFonts w:ascii="Times New Roman" w:hAnsi="Times New Roman" w:cs="Times New Roman"/>
        </w:rPr>
        <w:t xml:space="preserve"> × 10</w:t>
      </w:r>
      <w:r>
        <w:rPr>
          <w:rFonts w:ascii="Times New Roman" w:hAnsi="Times New Roman" w:cs="Times New Roman"/>
          <w:vertAlign w:val="superscript"/>
        </w:rPr>
        <w:t>5</w:t>
      </w:r>
      <w:r w:rsidRPr="00C1267C">
        <w:rPr>
          <w:rFonts w:ascii="Times New Roman" w:hAnsi="Times New Roman" w:cs="Times New Roman"/>
        </w:rPr>
        <w:t xml:space="preserve"> km/y</w:t>
      </w:r>
      <w:r>
        <w:rPr>
          <w:rFonts w:ascii="Times New Roman" w:hAnsi="Times New Roman" w:cs="Times New Roman"/>
        </w:rPr>
        <w:t xml:space="preserve">r. </w:t>
      </w:r>
      <w:r w:rsidRPr="00F15CC3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 Same as </w:t>
      </w:r>
      <w:r w:rsidRPr="00F15CC3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>, but excludes data within 1997 and 1999 to avoid the strong interannual influence, resulting in an expansion rate of ~4.56</w:t>
      </w:r>
      <w:r w:rsidRPr="00C1267C">
        <w:rPr>
          <w:rFonts w:ascii="Times New Roman" w:hAnsi="Times New Roman" w:cs="Times New Roman"/>
        </w:rPr>
        <w:t xml:space="preserve"> × 10</w:t>
      </w:r>
      <w:r w:rsidRPr="00C1267C">
        <w:rPr>
          <w:rFonts w:ascii="Times New Roman" w:hAnsi="Times New Roman" w:cs="Times New Roman"/>
          <w:vertAlign w:val="superscript"/>
        </w:rPr>
        <w:t>4</w:t>
      </w:r>
      <w:r w:rsidRPr="00C1267C">
        <w:rPr>
          <w:rFonts w:ascii="Times New Roman" w:hAnsi="Times New Roman" w:cs="Times New Roman"/>
        </w:rPr>
        <w:t xml:space="preserve"> km/y</w:t>
      </w:r>
      <w:r>
        <w:rPr>
          <w:rFonts w:ascii="Times New Roman" w:hAnsi="Times New Roman" w:cs="Times New Roman"/>
        </w:rPr>
        <w:t>r.</w:t>
      </w:r>
    </w:p>
    <w:p w14:paraId="0FEA18F1" w14:textId="77777777" w:rsidR="00F908C4" w:rsidRDefault="00F908C4" w:rsidP="00F908C4">
      <w:pPr>
        <w:keepNext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F76C531" wp14:editId="0A77E2F0">
            <wp:extent cx="5274310" cy="5537835"/>
            <wp:effectExtent l="0" t="0" r="2540" b="5715"/>
            <wp:docPr id="32" name="图片 32" descr="A collage of images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A collage of images of different colored lin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B81D6" w14:textId="77777777" w:rsidR="00F908C4" w:rsidRPr="00995D7B" w:rsidRDefault="00F908C4" w:rsidP="00F908C4">
      <w:pPr>
        <w:pStyle w:val="Caption"/>
        <w:rPr>
          <w:rFonts w:ascii="Times New Roman" w:hAnsi="Times New Roman" w:cs="Times New Roman"/>
        </w:rPr>
      </w:pPr>
      <w:bookmarkStart w:id="5" w:name="_Ref159972832"/>
      <w:r w:rsidRPr="007D7339">
        <w:rPr>
          <w:rFonts w:ascii="Times New Roman" w:hAnsi="Times New Roman" w:cs="Times New Roman"/>
          <w:b/>
          <w:bCs/>
          <w:color w:val="00CC00"/>
        </w:rPr>
        <w:t>Extended Data Fig. 3</w:t>
      </w:r>
      <w:bookmarkEnd w:id="5"/>
      <w:r w:rsidRPr="007D7339">
        <w:rPr>
          <w:rFonts w:ascii="Times New Roman" w:hAnsi="Times New Roman" w:cs="Times New Roman"/>
          <w:b/>
          <w:bCs/>
          <w:color w:val="00CC00"/>
        </w:rPr>
        <w:t>.</w:t>
      </w:r>
      <w:r w:rsidRPr="007D7339">
        <w:rPr>
          <w:color w:val="00CC00"/>
        </w:rPr>
        <w:t xml:space="preserve"> </w:t>
      </w:r>
      <w:r w:rsidRPr="007D7339">
        <w:rPr>
          <w:rFonts w:ascii="Times New Roman" w:hAnsi="Times New Roman" w:cs="Times New Roman"/>
          <w:b/>
          <w:bCs/>
          <w:color w:val="00CC00"/>
        </w:rPr>
        <w:t>|</w:t>
      </w:r>
      <w:r w:rsidRPr="007D7339">
        <w:rPr>
          <w:rFonts w:ascii="Times New Roman" w:hAnsi="Times New Roman" w:cs="Times New Roman"/>
          <w:color w:val="CCCC00"/>
        </w:rPr>
        <w:t xml:space="preserve"> </w:t>
      </w:r>
      <w:r w:rsidRPr="007D7339">
        <w:rPr>
          <w:rFonts w:ascii="Times New Roman" w:hAnsi="Times New Roman" w:cs="Times New Roman"/>
          <w:b/>
          <w:bCs/>
        </w:rPr>
        <w:t>The directional movements of the North and South Pacific Subtropic Gyre (NPSG and SPSG) centers over the past two decades.</w:t>
      </w:r>
      <w:r>
        <w:rPr>
          <w:rFonts w:ascii="Times New Roman" w:hAnsi="Times New Roman" w:cs="Times New Roman"/>
        </w:rPr>
        <w:t xml:space="preserve"> </w:t>
      </w:r>
      <w:r w:rsidRPr="000A48D9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-</w:t>
      </w:r>
      <w:r w:rsidRPr="000A48D9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Monthly variability of NPSG central location, represented by the longitude (</w:t>
      </w:r>
      <w:r w:rsidRPr="000A48D9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) and latitude (</w:t>
      </w:r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), respectively (See </w:t>
      </w:r>
      <w:r w:rsidRPr="00EF3EF3">
        <w:rPr>
          <w:rFonts w:ascii="Times New Roman" w:hAnsi="Times New Roman" w:cs="Times New Roman"/>
          <w:color w:val="002060"/>
        </w:rPr>
        <w:fldChar w:fldCharType="begin"/>
      </w:r>
      <w:r w:rsidRPr="00EF3EF3">
        <w:rPr>
          <w:rFonts w:ascii="Times New Roman" w:hAnsi="Times New Roman" w:cs="Times New Roman"/>
          <w:color w:val="002060"/>
        </w:rPr>
        <w:instrText xml:space="preserve"> REF _Ref159972360 \h  \* MERGEFORMAT </w:instrText>
      </w:r>
      <w:r w:rsidRPr="00EF3EF3">
        <w:rPr>
          <w:rFonts w:ascii="Times New Roman" w:hAnsi="Times New Roman" w:cs="Times New Roman"/>
          <w:color w:val="002060"/>
        </w:rPr>
      </w:r>
      <w:r w:rsidRPr="00EF3EF3">
        <w:rPr>
          <w:rFonts w:ascii="Times New Roman" w:hAnsi="Times New Roman" w:cs="Times New Roman"/>
          <w:color w:val="002060"/>
        </w:rPr>
        <w:fldChar w:fldCharType="separate"/>
      </w:r>
      <w:r w:rsidRPr="00EF3EF3">
        <w:rPr>
          <w:rFonts w:ascii="Times New Roman" w:hAnsi="Times New Roman" w:cs="Times New Roman"/>
          <w:color w:val="002060"/>
        </w:rPr>
        <w:t>Methods</w:t>
      </w:r>
      <w:r w:rsidRPr="00EF3EF3">
        <w:rPr>
          <w:rFonts w:ascii="Times New Roman" w:hAnsi="Times New Roman" w:cs="Times New Roman"/>
          <w:color w:val="002060"/>
        </w:rPr>
        <w:fldChar w:fldCharType="end"/>
      </w:r>
      <w:r>
        <w:rPr>
          <w:rFonts w:ascii="Times New Roman" w:hAnsi="Times New Roman" w:cs="Times New Roman"/>
        </w:rPr>
        <w:t xml:space="preserve">). </w:t>
      </w:r>
      <w:r w:rsidRPr="00364645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-</w:t>
      </w:r>
      <w:r w:rsidRPr="00364645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</w:rPr>
        <w:t>same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s </w:t>
      </w:r>
      <w:r w:rsidRPr="000A48D9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-</w:t>
      </w:r>
      <w:r w:rsidRPr="000A48D9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, but for SPSG. The center of NPSG and SPSG moved towards the northeast and southwest directions, respectively. </w:t>
      </w:r>
      <w:r w:rsidRPr="00364645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Demonstrations of the locations of NPSG (solid </w:t>
      </w:r>
      <w:r w:rsidRPr="002C0DD1">
        <w:rPr>
          <w:rFonts w:ascii="Times New Roman" w:hAnsi="Times New Roman" w:cs="Times New Roman"/>
          <w:bCs/>
        </w:rPr>
        <w:t>blue</w:t>
      </w:r>
      <w:r>
        <w:rPr>
          <w:rFonts w:ascii="Times New Roman" w:hAnsi="Times New Roman" w:cs="Times New Roman"/>
        </w:rPr>
        <w:t xml:space="preserve"> curve), SPSG (solid </w:t>
      </w:r>
      <w:r w:rsidRPr="002C0DD1">
        <w:rPr>
          <w:rFonts w:ascii="Times New Roman" w:hAnsi="Times New Roman" w:cs="Times New Roman"/>
        </w:rPr>
        <w:t>green</w:t>
      </w:r>
      <w:r>
        <w:rPr>
          <w:rFonts w:ascii="Times New Roman" w:hAnsi="Times New Roman" w:cs="Times New Roman"/>
        </w:rPr>
        <w:t xml:space="preserve"> curve), and CRT (solid red curve), with their long-term movement or expansion directions in the past two decades denoted by the arrows in the corresponding colors. In the Tropical Pacific, CRT tends to occupy more areas.</w:t>
      </w:r>
    </w:p>
    <w:bookmarkEnd w:id="0"/>
    <w:p w14:paraId="7440AFA1" w14:textId="77777777" w:rsidR="00F908C4" w:rsidRDefault="00F908C4" w:rsidP="00F908C4">
      <w:pPr>
        <w:widowControl/>
        <w:spacing w:line="360" w:lineRule="auto"/>
        <w:jc w:val="left"/>
      </w:pPr>
    </w:p>
    <w:p w14:paraId="777BBE45" w14:textId="77777777" w:rsidR="001C76BA" w:rsidRDefault="001C76BA"/>
    <w:sectPr w:rsidR="001C76BA" w:rsidSect="000D3F8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1090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9C7A9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7D7A43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C4"/>
    <w:rsid w:val="000D3F87"/>
    <w:rsid w:val="001C76BA"/>
    <w:rsid w:val="00F9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018E5"/>
  <w15:chartTrackingRefBased/>
  <w15:docId w15:val="{187A3A28-4C7F-4EA7-B903-B8D56666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8C4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90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08C4"/>
    <w:rPr>
      <w:rFonts w:eastAsiaTheme="minorEastAsia"/>
      <w:sz w:val="18"/>
      <w:szCs w:val="18"/>
      <w:lang w:eastAsia="zh-C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908C4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1555</Characters>
  <Application>Microsoft Office Word</Application>
  <DocSecurity>0</DocSecurity>
  <Lines>12</Lines>
  <Paragraphs>3</Paragraphs>
  <ScaleCrop>false</ScaleCrop>
  <Company>SpringerNature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2024-04-08T10:33:00Z</dcterms:created>
  <dcterms:modified xsi:type="dcterms:W3CDTF">2024-04-08T10:34:00Z</dcterms:modified>
</cp:coreProperties>
</file>