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FA328" w14:textId="46D8E6FA" w:rsidR="00A1605B" w:rsidRPr="00CC5114" w:rsidRDefault="00A1605B" w:rsidP="00A1605B">
      <w:pPr>
        <w:rPr>
          <w:rStyle w:val="cf01"/>
          <w:rFonts w:ascii="Arial" w:hAnsi="Arial" w:cs="Arial"/>
          <w:b/>
          <w:bCs/>
          <w:sz w:val="28"/>
          <w:szCs w:val="28"/>
        </w:rPr>
      </w:pPr>
      <w:r w:rsidRPr="00CC5114">
        <w:rPr>
          <w:rStyle w:val="cf01"/>
          <w:rFonts w:ascii="Arial" w:hAnsi="Arial" w:cs="Arial"/>
          <w:b/>
          <w:bCs/>
          <w:sz w:val="28"/>
          <w:szCs w:val="28"/>
        </w:rPr>
        <w:t xml:space="preserve">A tale of two nutrients: </w:t>
      </w:r>
      <w:r w:rsidR="002A2705">
        <w:rPr>
          <w:rStyle w:val="cf01"/>
          <w:rFonts w:ascii="Arial" w:hAnsi="Arial" w:cs="Arial"/>
          <w:b/>
          <w:bCs/>
          <w:sz w:val="28"/>
          <w:szCs w:val="28"/>
        </w:rPr>
        <w:t>H</w:t>
      </w:r>
      <w:r w:rsidRPr="00CC5114">
        <w:rPr>
          <w:rStyle w:val="cf01"/>
          <w:rFonts w:ascii="Arial" w:hAnsi="Arial" w:cs="Arial"/>
          <w:b/>
          <w:bCs/>
          <w:sz w:val="28"/>
          <w:szCs w:val="28"/>
        </w:rPr>
        <w:t>ow nitrogen and phosphorus differentially control marine biomass production and stoichiometry</w:t>
      </w:r>
    </w:p>
    <w:p w14:paraId="32F31285" w14:textId="77777777" w:rsidR="00A1605B" w:rsidRDefault="00A1605B" w:rsidP="00A1605B">
      <w:pPr>
        <w:rPr>
          <w:b/>
          <w:sz w:val="24"/>
          <w:szCs w:val="24"/>
        </w:rPr>
      </w:pPr>
    </w:p>
    <w:p w14:paraId="321A3BC1" w14:textId="6892F169" w:rsidR="00A1605B" w:rsidRPr="000C275F" w:rsidRDefault="00A1605B" w:rsidP="00A1605B">
      <w:pPr>
        <w:rPr>
          <w:sz w:val="24"/>
          <w:szCs w:val="24"/>
          <w:vertAlign w:val="superscript"/>
        </w:rPr>
      </w:pPr>
      <w:r w:rsidRPr="000C275F">
        <w:rPr>
          <w:sz w:val="24"/>
          <w:szCs w:val="24"/>
        </w:rPr>
        <w:t>Seelen</w:t>
      </w:r>
      <w:r w:rsidRPr="000C275F">
        <w:rPr>
          <w:sz w:val="24"/>
          <w:szCs w:val="24"/>
          <w:vertAlign w:val="superscript"/>
        </w:rPr>
        <w:softHyphen/>
      </w:r>
      <w:r w:rsidRPr="000C275F">
        <w:rPr>
          <w:sz w:val="24"/>
          <w:szCs w:val="24"/>
          <w:vertAlign w:val="subscript"/>
        </w:rPr>
        <w:t xml:space="preserve">, </w:t>
      </w:r>
      <w:r w:rsidRPr="000C275F">
        <w:rPr>
          <w:sz w:val="24"/>
          <w:szCs w:val="24"/>
          <w:vertAlign w:val="subscript"/>
        </w:rPr>
        <w:softHyphen/>
      </w:r>
      <w:r w:rsidRPr="000C275F">
        <w:rPr>
          <w:sz w:val="24"/>
          <w:szCs w:val="24"/>
        </w:rPr>
        <w:t>Emily A.</w:t>
      </w:r>
      <w:r w:rsidRPr="000C275F">
        <w:rPr>
          <w:sz w:val="24"/>
          <w:szCs w:val="24"/>
          <w:vertAlign w:val="superscript"/>
        </w:rPr>
        <w:t>1</w:t>
      </w:r>
      <w:r w:rsidRPr="000C275F">
        <w:rPr>
          <w:sz w:val="24"/>
          <w:szCs w:val="24"/>
        </w:rPr>
        <w:t>; Gleich, Samantha J.</w:t>
      </w:r>
      <w:r w:rsidRPr="000C275F">
        <w:rPr>
          <w:sz w:val="24"/>
          <w:szCs w:val="24"/>
          <w:vertAlign w:val="superscript"/>
        </w:rPr>
        <w:t>2</w:t>
      </w:r>
      <w:r w:rsidRPr="000C275F">
        <w:rPr>
          <w:sz w:val="24"/>
          <w:szCs w:val="24"/>
        </w:rPr>
        <w:t>; Kumler, William</w:t>
      </w:r>
      <w:r w:rsidRPr="000C275F">
        <w:rPr>
          <w:sz w:val="24"/>
          <w:szCs w:val="24"/>
          <w:vertAlign w:val="superscript"/>
        </w:rPr>
        <w:t>3</w:t>
      </w:r>
      <w:r w:rsidRPr="000C275F">
        <w:rPr>
          <w:sz w:val="24"/>
          <w:szCs w:val="24"/>
        </w:rPr>
        <w:t>; Anderson, Hanna</w:t>
      </w:r>
      <w:r w:rsidRPr="000C275F">
        <w:rPr>
          <w:sz w:val="24"/>
          <w:szCs w:val="24"/>
          <w:vertAlign w:val="superscript"/>
        </w:rPr>
        <w:t>4,5</w:t>
      </w:r>
      <w:r w:rsidRPr="000C275F">
        <w:rPr>
          <w:sz w:val="24"/>
          <w:szCs w:val="24"/>
        </w:rPr>
        <w:t>; Bian, Xiaopeng</w:t>
      </w:r>
      <w:r w:rsidRPr="000C275F">
        <w:rPr>
          <w:sz w:val="24"/>
          <w:szCs w:val="24"/>
          <w:vertAlign w:val="superscript"/>
        </w:rPr>
        <w:t>1</w:t>
      </w:r>
      <w:r w:rsidRPr="000C275F">
        <w:rPr>
          <w:sz w:val="24"/>
          <w:szCs w:val="24"/>
        </w:rPr>
        <w:t xml:space="preserve">; </w:t>
      </w:r>
      <w:proofErr w:type="spellStart"/>
      <w:r w:rsidRPr="000C275F">
        <w:rPr>
          <w:sz w:val="24"/>
          <w:szCs w:val="24"/>
        </w:rPr>
        <w:t>Bjӧrkman</w:t>
      </w:r>
      <w:proofErr w:type="spellEnd"/>
      <w:r w:rsidRPr="000C275F">
        <w:rPr>
          <w:sz w:val="24"/>
          <w:szCs w:val="24"/>
        </w:rPr>
        <w:t>, Karin M.</w:t>
      </w:r>
      <w:r w:rsidRPr="000C275F">
        <w:rPr>
          <w:sz w:val="24"/>
          <w:szCs w:val="24"/>
          <w:vertAlign w:val="superscript"/>
        </w:rPr>
        <w:t>6</w:t>
      </w:r>
      <w:r w:rsidRPr="000C275F">
        <w:rPr>
          <w:sz w:val="24"/>
          <w:szCs w:val="24"/>
        </w:rPr>
        <w:t>; Caron, David A.</w:t>
      </w:r>
      <w:r w:rsidRPr="000C275F">
        <w:rPr>
          <w:sz w:val="24"/>
          <w:szCs w:val="24"/>
          <w:vertAlign w:val="superscript"/>
        </w:rPr>
        <w:t>2</w:t>
      </w:r>
      <w:r w:rsidRPr="000C275F">
        <w:rPr>
          <w:sz w:val="24"/>
          <w:szCs w:val="24"/>
        </w:rPr>
        <w:t>; Dyhrman, Sonya T.</w:t>
      </w:r>
      <w:r w:rsidRPr="000C275F">
        <w:rPr>
          <w:sz w:val="24"/>
          <w:szCs w:val="24"/>
          <w:vertAlign w:val="superscript"/>
        </w:rPr>
        <w:t>4,5</w:t>
      </w:r>
      <w:r w:rsidR="005354BA" w:rsidRPr="000C275F">
        <w:rPr>
          <w:sz w:val="24"/>
          <w:szCs w:val="24"/>
        </w:rPr>
        <w:t>;</w:t>
      </w:r>
      <w:r w:rsidRPr="000C275F">
        <w:rPr>
          <w:sz w:val="24"/>
          <w:szCs w:val="24"/>
        </w:rPr>
        <w:t xml:space="preserve"> </w:t>
      </w:r>
      <w:proofErr w:type="spellStart"/>
      <w:r w:rsidRPr="000C275F">
        <w:rPr>
          <w:sz w:val="24"/>
          <w:szCs w:val="24"/>
        </w:rPr>
        <w:t>Ferrón</w:t>
      </w:r>
      <w:proofErr w:type="spellEnd"/>
      <w:r w:rsidRPr="000C275F">
        <w:rPr>
          <w:sz w:val="24"/>
          <w:szCs w:val="24"/>
        </w:rPr>
        <w:t>, Sara</w:t>
      </w:r>
      <w:r w:rsidRPr="000C275F">
        <w:rPr>
          <w:sz w:val="24"/>
          <w:szCs w:val="24"/>
          <w:vertAlign w:val="superscript"/>
        </w:rPr>
        <w:t>6</w:t>
      </w:r>
      <w:r w:rsidRPr="000C275F">
        <w:rPr>
          <w:sz w:val="24"/>
          <w:szCs w:val="24"/>
        </w:rPr>
        <w:t>; Finkel, Zoe V.</w:t>
      </w:r>
      <w:r w:rsidRPr="000C275F">
        <w:rPr>
          <w:sz w:val="24"/>
          <w:szCs w:val="24"/>
          <w:vertAlign w:val="superscript"/>
        </w:rPr>
        <w:t>7</w:t>
      </w:r>
      <w:r w:rsidRPr="000C275F">
        <w:rPr>
          <w:sz w:val="24"/>
          <w:szCs w:val="24"/>
        </w:rPr>
        <w:t>; Haley, Sheean T.</w:t>
      </w:r>
      <w:r w:rsidRPr="000C275F">
        <w:rPr>
          <w:sz w:val="24"/>
          <w:szCs w:val="24"/>
          <w:vertAlign w:val="superscript"/>
        </w:rPr>
        <w:t>4</w:t>
      </w:r>
      <w:r w:rsidRPr="000C275F">
        <w:rPr>
          <w:sz w:val="24"/>
          <w:szCs w:val="24"/>
        </w:rPr>
        <w:t>; Hu, Ying-Yu</w:t>
      </w:r>
      <w:r w:rsidRPr="000C275F">
        <w:rPr>
          <w:sz w:val="24"/>
          <w:szCs w:val="24"/>
          <w:vertAlign w:val="superscript"/>
        </w:rPr>
        <w:t>7</w:t>
      </w:r>
      <w:r w:rsidRPr="000C275F">
        <w:rPr>
          <w:sz w:val="24"/>
          <w:szCs w:val="24"/>
        </w:rPr>
        <w:t>; Ingalls, Anitra E.</w:t>
      </w:r>
      <w:r w:rsidRPr="000C275F">
        <w:rPr>
          <w:sz w:val="24"/>
          <w:szCs w:val="24"/>
          <w:vertAlign w:val="superscript"/>
        </w:rPr>
        <w:t>3</w:t>
      </w:r>
      <w:r w:rsidRPr="000C275F">
        <w:rPr>
          <w:sz w:val="24"/>
          <w:szCs w:val="24"/>
        </w:rPr>
        <w:t>;  Irwin, Andrew J.</w:t>
      </w:r>
      <w:r w:rsidRPr="000C275F">
        <w:rPr>
          <w:sz w:val="24"/>
          <w:szCs w:val="24"/>
          <w:vertAlign w:val="superscript"/>
        </w:rPr>
        <w:t>8</w:t>
      </w:r>
      <w:r w:rsidRPr="000C275F">
        <w:rPr>
          <w:sz w:val="24"/>
          <w:szCs w:val="24"/>
        </w:rPr>
        <w:t>;  Karl, David M.</w:t>
      </w:r>
      <w:r w:rsidRPr="000C275F">
        <w:rPr>
          <w:sz w:val="24"/>
          <w:szCs w:val="24"/>
          <w:vertAlign w:val="superscript"/>
        </w:rPr>
        <w:t>6</w:t>
      </w:r>
      <w:r w:rsidRPr="000C275F">
        <w:rPr>
          <w:sz w:val="24"/>
          <w:szCs w:val="24"/>
        </w:rPr>
        <w:t>; Kong, Kyeong Pil</w:t>
      </w:r>
      <w:r w:rsidRPr="000C275F">
        <w:rPr>
          <w:sz w:val="24"/>
          <w:szCs w:val="24"/>
          <w:vertAlign w:val="superscript"/>
        </w:rPr>
        <w:t>1</w:t>
      </w:r>
      <w:r w:rsidRPr="000C275F">
        <w:rPr>
          <w:sz w:val="24"/>
          <w:szCs w:val="24"/>
        </w:rPr>
        <w:t>; Lowenstein, Daniel</w:t>
      </w:r>
      <w:r w:rsidRPr="000C275F">
        <w:rPr>
          <w:sz w:val="24"/>
          <w:szCs w:val="24"/>
          <w:vertAlign w:val="superscript"/>
        </w:rPr>
        <w:t>9</w:t>
      </w:r>
      <w:r w:rsidRPr="000C275F">
        <w:rPr>
          <w:sz w:val="24"/>
          <w:szCs w:val="24"/>
        </w:rPr>
        <w:t>; Salazar-Estrada, Andres</w:t>
      </w:r>
      <w:r w:rsidRPr="000C275F">
        <w:rPr>
          <w:sz w:val="24"/>
          <w:szCs w:val="24"/>
          <w:vertAlign w:val="superscript"/>
        </w:rPr>
        <w:t>6</w:t>
      </w:r>
      <w:r w:rsidRPr="000C275F">
        <w:rPr>
          <w:sz w:val="24"/>
          <w:szCs w:val="24"/>
        </w:rPr>
        <w:t>; Townsend, Emily</w:t>
      </w:r>
      <w:r w:rsidRPr="000C275F">
        <w:rPr>
          <w:sz w:val="24"/>
          <w:szCs w:val="24"/>
          <w:vertAlign w:val="superscript"/>
        </w:rPr>
        <w:t>1</w:t>
      </w:r>
      <w:r w:rsidRPr="000C275F">
        <w:rPr>
          <w:sz w:val="24"/>
          <w:szCs w:val="24"/>
        </w:rPr>
        <w:t>; Tracey, John</w:t>
      </w:r>
      <w:r w:rsidRPr="000C275F">
        <w:rPr>
          <w:sz w:val="24"/>
          <w:szCs w:val="24"/>
          <w:vertAlign w:val="superscript"/>
        </w:rPr>
        <w:t>4</w:t>
      </w:r>
      <w:r w:rsidRPr="000C275F">
        <w:rPr>
          <w:sz w:val="24"/>
          <w:szCs w:val="24"/>
        </w:rPr>
        <w:t>;  Turk-Kubo, Kendra</w:t>
      </w:r>
      <w:r w:rsidRPr="000C275F">
        <w:rPr>
          <w:sz w:val="24"/>
          <w:szCs w:val="24"/>
          <w:vertAlign w:val="superscript"/>
        </w:rPr>
        <w:t>10</w:t>
      </w:r>
      <w:r w:rsidRPr="000C275F">
        <w:rPr>
          <w:sz w:val="24"/>
          <w:szCs w:val="24"/>
        </w:rPr>
        <w:t>; Van Mooy, Benjamin A.S.</w:t>
      </w:r>
      <w:r w:rsidRPr="000C275F">
        <w:rPr>
          <w:sz w:val="24"/>
          <w:szCs w:val="24"/>
          <w:vertAlign w:val="superscript"/>
        </w:rPr>
        <w:t>9</w:t>
      </w:r>
      <w:r w:rsidRPr="000C275F">
        <w:rPr>
          <w:sz w:val="24"/>
          <w:szCs w:val="24"/>
        </w:rPr>
        <w:t>;</w:t>
      </w:r>
      <w:r w:rsidRPr="000C275F">
        <w:rPr>
          <w:sz w:val="24"/>
          <w:szCs w:val="24"/>
          <w:vertAlign w:val="superscript"/>
        </w:rPr>
        <w:t xml:space="preserve"> </w:t>
      </w:r>
      <w:r w:rsidRPr="000C275F">
        <w:rPr>
          <w:sz w:val="24"/>
          <w:szCs w:val="24"/>
        </w:rPr>
        <w:t>John, Seth G.</w:t>
      </w:r>
      <w:r w:rsidRPr="000C275F">
        <w:rPr>
          <w:sz w:val="24"/>
          <w:szCs w:val="24"/>
          <w:vertAlign w:val="superscript"/>
        </w:rPr>
        <w:t>1</w:t>
      </w:r>
    </w:p>
    <w:p w14:paraId="337320DF" w14:textId="77777777" w:rsidR="00A1605B" w:rsidRDefault="00A1605B" w:rsidP="00A1605B">
      <w:pPr>
        <w:rPr>
          <w:sz w:val="24"/>
          <w:szCs w:val="24"/>
          <w:vertAlign w:val="superscript"/>
        </w:rPr>
      </w:pPr>
    </w:p>
    <w:p w14:paraId="62C0E8F8" w14:textId="77777777" w:rsidR="00A1605B" w:rsidRPr="008338ED" w:rsidRDefault="00A1605B" w:rsidP="00A1605B">
      <w:pPr>
        <w:rPr>
          <w:sz w:val="20"/>
          <w:szCs w:val="20"/>
        </w:rPr>
      </w:pPr>
      <w:r w:rsidRPr="008338ED">
        <w:rPr>
          <w:sz w:val="20"/>
          <w:szCs w:val="20"/>
          <w:vertAlign w:val="superscript"/>
        </w:rPr>
        <w:t>1</w:t>
      </w:r>
      <w:r w:rsidRPr="008338ED">
        <w:rPr>
          <w:sz w:val="20"/>
          <w:szCs w:val="20"/>
        </w:rPr>
        <w:t xml:space="preserve"> University of Southern California, Department of Earth Science, Los Angeles, California, USA</w:t>
      </w:r>
    </w:p>
    <w:p w14:paraId="1DB669C2" w14:textId="77777777" w:rsidR="00A1605B" w:rsidRPr="008338ED" w:rsidRDefault="00A1605B" w:rsidP="00A1605B">
      <w:pPr>
        <w:rPr>
          <w:sz w:val="20"/>
          <w:szCs w:val="20"/>
          <w:vertAlign w:val="superscript"/>
        </w:rPr>
      </w:pPr>
      <w:r w:rsidRPr="008338ED">
        <w:rPr>
          <w:sz w:val="20"/>
          <w:szCs w:val="20"/>
          <w:vertAlign w:val="superscript"/>
        </w:rPr>
        <w:t xml:space="preserve">2 </w:t>
      </w:r>
      <w:r w:rsidRPr="008338ED">
        <w:rPr>
          <w:sz w:val="20"/>
          <w:szCs w:val="20"/>
        </w:rPr>
        <w:t>University of Southern California, Department of Biological Sciences, Los Angeles, California, USA</w:t>
      </w:r>
    </w:p>
    <w:p w14:paraId="7A03EE05" w14:textId="77777777" w:rsidR="00A1605B" w:rsidRPr="008338ED" w:rsidRDefault="00A1605B" w:rsidP="00A1605B">
      <w:pPr>
        <w:rPr>
          <w:sz w:val="20"/>
          <w:szCs w:val="20"/>
        </w:rPr>
      </w:pPr>
      <w:r w:rsidRPr="008338ED">
        <w:rPr>
          <w:sz w:val="20"/>
          <w:szCs w:val="20"/>
          <w:vertAlign w:val="superscript"/>
        </w:rPr>
        <w:t xml:space="preserve">3 </w:t>
      </w:r>
      <w:r>
        <w:rPr>
          <w:sz w:val="20"/>
          <w:szCs w:val="20"/>
        </w:rPr>
        <w:t>University of Washington, School of Oceanography, Seattle, Washington, USA</w:t>
      </w:r>
    </w:p>
    <w:p w14:paraId="03CF3F04" w14:textId="77777777" w:rsidR="00A1605B" w:rsidRDefault="00A1605B" w:rsidP="00A1605B">
      <w:pPr>
        <w:rPr>
          <w:sz w:val="20"/>
          <w:szCs w:val="20"/>
        </w:rPr>
      </w:pPr>
      <w:r w:rsidRPr="008338ED">
        <w:rPr>
          <w:sz w:val="20"/>
          <w:szCs w:val="20"/>
          <w:vertAlign w:val="superscript"/>
        </w:rPr>
        <w:t>4</w:t>
      </w:r>
      <w:r>
        <w:rPr>
          <w:sz w:val="20"/>
          <w:szCs w:val="20"/>
          <w:vertAlign w:val="superscript"/>
        </w:rPr>
        <w:t xml:space="preserve"> </w:t>
      </w:r>
      <w:r>
        <w:rPr>
          <w:sz w:val="20"/>
          <w:szCs w:val="20"/>
          <w:vertAlign w:val="superscript"/>
        </w:rPr>
        <w:softHyphen/>
      </w:r>
      <w:r w:rsidRPr="008338ED">
        <w:rPr>
          <w:sz w:val="20"/>
          <w:szCs w:val="20"/>
        </w:rPr>
        <w:t xml:space="preserve">Lamont-Doherty Earth Observatory, </w:t>
      </w:r>
      <w:r>
        <w:rPr>
          <w:sz w:val="20"/>
          <w:szCs w:val="20"/>
        </w:rPr>
        <w:t xml:space="preserve">Department of Biology and Paleo Environment, </w:t>
      </w:r>
      <w:r w:rsidRPr="008338ED">
        <w:rPr>
          <w:sz w:val="20"/>
          <w:szCs w:val="20"/>
        </w:rPr>
        <w:t>Columbia University</w:t>
      </w:r>
      <w:r>
        <w:rPr>
          <w:sz w:val="20"/>
          <w:szCs w:val="20"/>
        </w:rPr>
        <w:t>, Palisades, New York, USA</w:t>
      </w:r>
    </w:p>
    <w:p w14:paraId="40B1200B" w14:textId="77777777" w:rsidR="00A1605B" w:rsidRPr="00272414" w:rsidRDefault="00A1605B" w:rsidP="00A1605B">
      <w:pPr>
        <w:rPr>
          <w:sz w:val="20"/>
          <w:szCs w:val="20"/>
        </w:rPr>
      </w:pPr>
      <w:r>
        <w:rPr>
          <w:sz w:val="20"/>
          <w:szCs w:val="20"/>
          <w:vertAlign w:val="superscript"/>
        </w:rPr>
        <w:t>5</w:t>
      </w:r>
      <w:r w:rsidRPr="00A40591">
        <w:rPr>
          <w:color w:val="000000"/>
          <w:sz w:val="20"/>
          <w:szCs w:val="20"/>
        </w:rPr>
        <w:t xml:space="preserve"> Columbia University, Department of Earth and Environmental Science, New York, NY, USA</w:t>
      </w:r>
    </w:p>
    <w:p w14:paraId="66272A8C" w14:textId="77777777" w:rsidR="00A1605B" w:rsidRDefault="00A1605B" w:rsidP="00A1605B">
      <w:pPr>
        <w:rPr>
          <w:sz w:val="20"/>
          <w:szCs w:val="20"/>
          <w:vertAlign w:val="superscript"/>
        </w:rPr>
      </w:pPr>
      <w:r>
        <w:rPr>
          <w:sz w:val="20"/>
          <w:szCs w:val="20"/>
          <w:vertAlign w:val="superscript"/>
        </w:rPr>
        <w:t>6</w:t>
      </w:r>
      <w:r w:rsidRPr="008338ED">
        <w:rPr>
          <w:sz w:val="20"/>
          <w:szCs w:val="20"/>
          <w:vertAlign w:val="superscript"/>
        </w:rPr>
        <w:t xml:space="preserve"> </w:t>
      </w:r>
      <w:r w:rsidRPr="008338ED">
        <w:rPr>
          <w:sz w:val="20"/>
          <w:szCs w:val="20"/>
        </w:rPr>
        <w:t xml:space="preserve">University of Hawai’i at Mānoa, </w:t>
      </w:r>
      <w:r>
        <w:rPr>
          <w:sz w:val="20"/>
          <w:szCs w:val="20"/>
        </w:rPr>
        <w:t xml:space="preserve">Department of Oceanography, </w:t>
      </w:r>
      <w:r w:rsidRPr="008338ED">
        <w:rPr>
          <w:sz w:val="20"/>
          <w:szCs w:val="20"/>
        </w:rPr>
        <w:t>Honolulu, H</w:t>
      </w:r>
      <w:r>
        <w:rPr>
          <w:sz w:val="20"/>
          <w:szCs w:val="20"/>
        </w:rPr>
        <w:t>I</w:t>
      </w:r>
      <w:r w:rsidRPr="008338ED">
        <w:rPr>
          <w:sz w:val="20"/>
          <w:szCs w:val="20"/>
        </w:rPr>
        <w:t>, USA</w:t>
      </w:r>
    </w:p>
    <w:p w14:paraId="079833ED" w14:textId="77777777" w:rsidR="00A1605B" w:rsidRDefault="00A1605B" w:rsidP="00A1605B">
      <w:pPr>
        <w:rPr>
          <w:sz w:val="20"/>
          <w:szCs w:val="20"/>
        </w:rPr>
      </w:pPr>
      <w:r>
        <w:rPr>
          <w:sz w:val="20"/>
          <w:szCs w:val="20"/>
          <w:vertAlign w:val="superscript"/>
        </w:rPr>
        <w:t xml:space="preserve">7 </w:t>
      </w:r>
      <w:r>
        <w:rPr>
          <w:sz w:val="20"/>
          <w:szCs w:val="20"/>
          <w:vertAlign w:val="superscript"/>
        </w:rPr>
        <w:softHyphen/>
      </w:r>
      <w:r>
        <w:rPr>
          <w:sz w:val="20"/>
          <w:szCs w:val="20"/>
          <w:vertAlign w:val="superscript"/>
        </w:rPr>
        <w:softHyphen/>
      </w:r>
      <w:r>
        <w:rPr>
          <w:sz w:val="20"/>
          <w:szCs w:val="20"/>
        </w:rPr>
        <w:t>Dalhousie University, Department of Oceanography, Halifax, NS, Canada</w:t>
      </w:r>
    </w:p>
    <w:p w14:paraId="750CB042" w14:textId="77777777" w:rsidR="00A1605B" w:rsidRPr="00E842C2" w:rsidRDefault="00A1605B" w:rsidP="00A1605B">
      <w:pPr>
        <w:rPr>
          <w:sz w:val="20"/>
          <w:szCs w:val="20"/>
        </w:rPr>
      </w:pPr>
      <w:r>
        <w:rPr>
          <w:sz w:val="20"/>
          <w:szCs w:val="20"/>
          <w:vertAlign w:val="superscript"/>
        </w:rPr>
        <w:t>8</w:t>
      </w:r>
      <w:r>
        <w:rPr>
          <w:sz w:val="20"/>
          <w:szCs w:val="20"/>
        </w:rPr>
        <w:t xml:space="preserve"> Dalhousie University, Department of Mathematics &amp; Statistics, Halifax, Nova Scotia, Canada</w:t>
      </w:r>
    </w:p>
    <w:p w14:paraId="02D2D7C8" w14:textId="77777777" w:rsidR="00A1605B" w:rsidRPr="00C50074" w:rsidRDefault="00A1605B" w:rsidP="00A1605B">
      <w:pPr>
        <w:rPr>
          <w:sz w:val="20"/>
          <w:szCs w:val="20"/>
        </w:rPr>
      </w:pPr>
      <w:r>
        <w:rPr>
          <w:sz w:val="20"/>
          <w:szCs w:val="20"/>
          <w:vertAlign w:val="superscript"/>
        </w:rPr>
        <w:t xml:space="preserve">9 </w:t>
      </w:r>
      <w:r>
        <w:rPr>
          <w:sz w:val="20"/>
          <w:szCs w:val="20"/>
        </w:rPr>
        <w:t>Woods Hole Oceanographic Institution, Department of Marine Chemistry and Geochemistry, Woods Hole, Massachusetts, USA</w:t>
      </w:r>
    </w:p>
    <w:p w14:paraId="6DACB43F" w14:textId="77777777" w:rsidR="00A1605B" w:rsidRDefault="00A1605B" w:rsidP="00A1605B">
      <w:pPr>
        <w:rPr>
          <w:sz w:val="20"/>
          <w:szCs w:val="20"/>
        </w:rPr>
      </w:pPr>
      <w:r>
        <w:rPr>
          <w:sz w:val="20"/>
          <w:szCs w:val="20"/>
          <w:vertAlign w:val="superscript"/>
        </w:rPr>
        <w:t>10</w:t>
      </w:r>
      <w:r w:rsidRPr="00816A39">
        <w:rPr>
          <w:sz w:val="20"/>
          <w:szCs w:val="20"/>
          <w:vertAlign w:val="superscript"/>
        </w:rPr>
        <w:t xml:space="preserve"> </w:t>
      </w:r>
      <w:r w:rsidRPr="00816A39">
        <w:rPr>
          <w:sz w:val="20"/>
          <w:szCs w:val="20"/>
        </w:rPr>
        <w:t>University of California Santa Cruz</w:t>
      </w:r>
      <w:r>
        <w:rPr>
          <w:sz w:val="20"/>
          <w:szCs w:val="20"/>
        </w:rPr>
        <w:t>, Ocean Sciences Department, Santa Cruz, California, USA</w:t>
      </w:r>
    </w:p>
    <w:p w14:paraId="158BD59E" w14:textId="77777777" w:rsidR="00A1605B" w:rsidRDefault="00A1605B" w:rsidP="00A1605B">
      <w:pPr>
        <w:rPr>
          <w:sz w:val="20"/>
          <w:szCs w:val="20"/>
        </w:rPr>
      </w:pPr>
    </w:p>
    <w:p w14:paraId="308EDB34" w14:textId="77777777" w:rsidR="00A1605B" w:rsidRDefault="00A1605B" w:rsidP="00A1605B">
      <w:pPr>
        <w:rPr>
          <w:sz w:val="20"/>
          <w:szCs w:val="20"/>
        </w:rPr>
      </w:pPr>
    </w:p>
    <w:p w14:paraId="737C1455" w14:textId="77777777" w:rsidR="00A1605B" w:rsidRPr="008973B0" w:rsidRDefault="00A1605B" w:rsidP="00A1605B"/>
    <w:p w14:paraId="7A24F4CA" w14:textId="77777777" w:rsidR="00A1605B" w:rsidRDefault="00A1605B" w:rsidP="00A1605B">
      <w:pPr>
        <w:rPr>
          <w:sz w:val="20"/>
          <w:szCs w:val="20"/>
        </w:rPr>
      </w:pPr>
    </w:p>
    <w:p w14:paraId="7C54F3BC" w14:textId="77777777" w:rsidR="00A1605B" w:rsidRDefault="00A1605B" w:rsidP="00A1605B">
      <w:pPr>
        <w:spacing w:after="160" w:line="259" w:lineRule="auto"/>
        <w:rPr>
          <w:b/>
          <w:bCs/>
          <w:sz w:val="20"/>
          <w:szCs w:val="20"/>
        </w:rPr>
      </w:pPr>
      <w:r>
        <w:rPr>
          <w:b/>
          <w:bCs/>
          <w:sz w:val="20"/>
          <w:szCs w:val="20"/>
        </w:rPr>
        <w:t>Supporting Information</w:t>
      </w:r>
    </w:p>
    <w:p w14:paraId="4FFC079C" w14:textId="5C671294" w:rsidR="005F6E7C" w:rsidRPr="005F6E7C" w:rsidRDefault="005F6E7C" w:rsidP="00A1605B">
      <w:pPr>
        <w:spacing w:after="160" w:line="259" w:lineRule="auto"/>
        <w:rPr>
          <w:sz w:val="20"/>
          <w:szCs w:val="20"/>
        </w:rPr>
      </w:pPr>
      <w:r w:rsidRPr="005F6E7C">
        <w:rPr>
          <w:sz w:val="20"/>
          <w:szCs w:val="20"/>
        </w:rPr>
        <w:t>12 figures are presented.</w:t>
      </w:r>
    </w:p>
    <w:p w14:paraId="76CFE995" w14:textId="4F229257" w:rsidR="00A1605B" w:rsidRDefault="00A1605B" w:rsidP="00A1605B">
      <w:pPr>
        <w:spacing w:after="160" w:line="259" w:lineRule="auto"/>
        <w:rPr>
          <w:sz w:val="20"/>
          <w:szCs w:val="20"/>
        </w:rPr>
      </w:pPr>
      <w:r>
        <w:rPr>
          <w:b/>
          <w:bCs/>
          <w:sz w:val="20"/>
          <w:szCs w:val="20"/>
        </w:rPr>
        <w:t xml:space="preserve"> </w:t>
      </w:r>
      <w:r>
        <w:rPr>
          <w:sz w:val="20"/>
          <w:szCs w:val="20"/>
        </w:rPr>
        <w:br w:type="page"/>
      </w:r>
    </w:p>
    <w:p w14:paraId="04A27069" w14:textId="167540B6" w:rsidR="00021069" w:rsidRDefault="002D196E">
      <w:r>
        <w:rPr>
          <w:noProof/>
        </w:rPr>
        <w:lastRenderedPageBreak/>
        <w:drawing>
          <wp:inline distT="0" distB="0" distL="0" distR="0" wp14:anchorId="0AFA1FAE" wp14:editId="03F81ACC">
            <wp:extent cx="6228182" cy="2812447"/>
            <wp:effectExtent l="0" t="0" r="0" b="6985"/>
            <wp:docPr id="1752349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53647" cy="2823946"/>
                    </a:xfrm>
                    <a:prstGeom prst="rect">
                      <a:avLst/>
                    </a:prstGeom>
                    <a:noFill/>
                  </pic:spPr>
                </pic:pic>
              </a:graphicData>
            </a:graphic>
          </wp:inline>
        </w:drawing>
      </w:r>
    </w:p>
    <w:p w14:paraId="32556179" w14:textId="3F74FF88" w:rsidR="006C5DF1" w:rsidRDefault="006C5DF1" w:rsidP="006C5DF1">
      <w:pPr>
        <w:rPr>
          <w:lang w:val="en-US"/>
        </w:rPr>
      </w:pPr>
      <w:r w:rsidRPr="006C5DF1">
        <w:rPr>
          <w:b/>
          <w:bCs/>
          <w:lang w:val="en-US"/>
        </w:rPr>
        <w:t>Figure</w:t>
      </w:r>
      <w:r w:rsidRPr="006C5DF1">
        <w:rPr>
          <w:lang w:val="en-US"/>
        </w:rPr>
        <w:t xml:space="preserve"> </w:t>
      </w:r>
      <w:r w:rsidRPr="006C5DF1">
        <w:rPr>
          <w:b/>
          <w:bCs/>
          <w:lang w:val="en-US"/>
        </w:rPr>
        <w:t>S1</w:t>
      </w:r>
      <w:r w:rsidRPr="006C5DF1">
        <w:rPr>
          <w:lang w:val="en-US"/>
        </w:rPr>
        <w:t>. Trends in the major macronutrients nitrate + nitrite (</w:t>
      </w:r>
      <w:r w:rsidRPr="006C5DF1">
        <w:rPr>
          <w:i/>
          <w:iCs/>
          <w:lang w:val="en-US"/>
        </w:rPr>
        <w:t>a</w:t>
      </w:r>
      <w:r w:rsidRPr="006C5DF1">
        <w:rPr>
          <w:lang w:val="en-US"/>
        </w:rPr>
        <w:t>) and phosphate (</w:t>
      </w:r>
      <w:r w:rsidRPr="006C5DF1">
        <w:rPr>
          <w:i/>
          <w:iCs/>
          <w:lang w:val="en-US"/>
        </w:rPr>
        <w:t>b</w:t>
      </w:r>
      <w:r w:rsidRPr="006C5DF1">
        <w:rPr>
          <w:lang w:val="en-US"/>
        </w:rPr>
        <w:t>)</w:t>
      </w:r>
      <w:r w:rsidR="00A651FF">
        <w:rPr>
          <w:lang w:val="en-US"/>
        </w:rPr>
        <w:t xml:space="preserve"> in the incubation experiment over time</w:t>
      </w:r>
      <w:r w:rsidRPr="006C5DF1">
        <w:rPr>
          <w:lang w:val="en-US"/>
        </w:rPr>
        <w:t xml:space="preserve">. The </w:t>
      </w:r>
      <w:r w:rsidR="00DA67C4">
        <w:rPr>
          <w:lang w:val="en-US"/>
        </w:rPr>
        <w:t>fill and line</w:t>
      </w:r>
      <w:r w:rsidR="009C26DB">
        <w:rPr>
          <w:lang w:val="en-US"/>
        </w:rPr>
        <w:t xml:space="preserve"> </w:t>
      </w:r>
      <w:r w:rsidRPr="006C5DF1">
        <w:rPr>
          <w:lang w:val="en-US"/>
        </w:rPr>
        <w:t>color</w:t>
      </w:r>
      <w:r w:rsidR="00D72386">
        <w:rPr>
          <w:lang w:val="en-US"/>
        </w:rPr>
        <w:t>s represent</w:t>
      </w:r>
      <w:r w:rsidRPr="006C5DF1">
        <w:rPr>
          <w:lang w:val="en-US"/>
        </w:rPr>
        <w:t xml:space="preserve"> the four macronutrient treatments</w:t>
      </w:r>
      <w:r w:rsidR="00134B90">
        <w:rPr>
          <w:lang w:val="en-US"/>
        </w:rPr>
        <w:t xml:space="preserve">, and the </w:t>
      </w:r>
      <w:r w:rsidRPr="006C5DF1">
        <w:rPr>
          <w:lang w:val="en-US"/>
        </w:rPr>
        <w:t xml:space="preserve">sub-treatment (+/- Fe addition) </w:t>
      </w:r>
      <w:r w:rsidR="00134B90">
        <w:rPr>
          <w:lang w:val="en-US"/>
        </w:rPr>
        <w:t xml:space="preserve">are differentiated by </w:t>
      </w:r>
      <w:r w:rsidR="00C232E9">
        <w:rPr>
          <w:lang w:val="en-US"/>
        </w:rPr>
        <w:t>the</w:t>
      </w:r>
      <w:r w:rsidRPr="006C5DF1">
        <w:rPr>
          <w:lang w:val="en-US"/>
        </w:rPr>
        <w:t xml:space="preserve"> point outline color. Points represent treatment averages, and error bars represent the 1 σ SD of the treatment replicates</w:t>
      </w:r>
      <w:r w:rsidR="00A651FF">
        <w:rPr>
          <w:lang w:val="en-US"/>
        </w:rPr>
        <w:t xml:space="preserve"> (</w:t>
      </w:r>
      <w:r w:rsidR="00A651FF" w:rsidRPr="00A651FF">
        <w:rPr>
          <w:i/>
          <w:iCs/>
          <w:lang w:val="en-US"/>
        </w:rPr>
        <w:t>n</w:t>
      </w:r>
      <w:r w:rsidR="00A651FF">
        <w:rPr>
          <w:lang w:val="en-US"/>
        </w:rPr>
        <w:t xml:space="preserve"> = 3)</w:t>
      </w:r>
      <w:r w:rsidRPr="006C5DF1">
        <w:rPr>
          <w:lang w:val="en-US"/>
        </w:rPr>
        <w:t>.</w:t>
      </w:r>
    </w:p>
    <w:p w14:paraId="21C81259" w14:textId="77777777" w:rsidR="006869FE" w:rsidRDefault="006869FE" w:rsidP="006C5DF1">
      <w:pPr>
        <w:rPr>
          <w:lang w:val="en-US"/>
        </w:rPr>
      </w:pPr>
    </w:p>
    <w:p w14:paraId="7AB339BB" w14:textId="77777777" w:rsidR="006869FE" w:rsidRPr="006C5DF1" w:rsidRDefault="006869FE" w:rsidP="006C5DF1">
      <w:pPr>
        <w:rPr>
          <w:lang w:val="en-US"/>
        </w:rPr>
      </w:pPr>
    </w:p>
    <w:p w14:paraId="36EECABB" w14:textId="77777777" w:rsidR="006C5DF1" w:rsidRDefault="006C5DF1"/>
    <w:p w14:paraId="7334496A" w14:textId="36BEED52" w:rsidR="00A77C03" w:rsidRDefault="00243FC0">
      <w:r>
        <w:rPr>
          <w:noProof/>
        </w:rPr>
        <w:drawing>
          <wp:inline distT="0" distB="0" distL="0" distR="0" wp14:anchorId="6F0D493C" wp14:editId="4A6C298D">
            <wp:extent cx="5942457" cy="2619685"/>
            <wp:effectExtent l="0" t="0" r="0" b="9525"/>
            <wp:docPr id="414608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952" cy="2633129"/>
                    </a:xfrm>
                    <a:prstGeom prst="rect">
                      <a:avLst/>
                    </a:prstGeom>
                    <a:noFill/>
                  </pic:spPr>
                </pic:pic>
              </a:graphicData>
            </a:graphic>
          </wp:inline>
        </w:drawing>
      </w:r>
    </w:p>
    <w:p w14:paraId="57BC3EAA" w14:textId="4526E7E8" w:rsidR="006B6242" w:rsidRDefault="006B6242" w:rsidP="006B6242">
      <w:pPr>
        <w:rPr>
          <w:lang w:val="en-US"/>
        </w:rPr>
      </w:pPr>
      <w:r w:rsidRPr="006B6242">
        <w:rPr>
          <w:b/>
          <w:bCs/>
          <w:lang w:val="en-US"/>
        </w:rPr>
        <w:t xml:space="preserve">Figure S2. </w:t>
      </w:r>
      <w:r w:rsidRPr="006B6242">
        <w:rPr>
          <w:lang w:val="en-US"/>
        </w:rPr>
        <w:t>Concentrations of chlorophyll a (</w:t>
      </w:r>
      <w:r w:rsidRPr="006B6242">
        <w:rPr>
          <w:i/>
          <w:iCs/>
          <w:lang w:val="en-US"/>
        </w:rPr>
        <w:t>a</w:t>
      </w:r>
      <w:r w:rsidRPr="006B6242">
        <w:rPr>
          <w:lang w:val="en-US"/>
        </w:rPr>
        <w:t xml:space="preserve">) and rates of gross oxygen production (GOP; </w:t>
      </w:r>
      <w:r w:rsidRPr="006B6242">
        <w:rPr>
          <w:i/>
          <w:iCs/>
          <w:lang w:val="en-US"/>
        </w:rPr>
        <w:t>b</w:t>
      </w:r>
      <w:r w:rsidRPr="006B6242">
        <w:rPr>
          <w:lang w:val="en-US"/>
        </w:rPr>
        <w:t>). Error bars represent the 1 σ SD for treatment replicates (</w:t>
      </w:r>
      <w:r w:rsidRPr="006B6242">
        <w:rPr>
          <w:i/>
          <w:iCs/>
          <w:lang w:val="en-US"/>
        </w:rPr>
        <w:t xml:space="preserve">n </w:t>
      </w:r>
      <w:r w:rsidRPr="006B6242">
        <w:rPr>
          <w:lang w:val="en-US"/>
        </w:rPr>
        <w:t>= 3).</w:t>
      </w:r>
      <w:r w:rsidR="00EC4ED9">
        <w:rPr>
          <w:lang w:val="en-US"/>
        </w:rPr>
        <w:t xml:space="preserve"> Color formatting is as described in Fig. S1.</w:t>
      </w:r>
      <w:r w:rsidRPr="006B6242">
        <w:rPr>
          <w:lang w:val="en-US"/>
        </w:rPr>
        <w:t xml:space="preserve"> </w:t>
      </w:r>
    </w:p>
    <w:p w14:paraId="79A5C02D" w14:textId="77777777" w:rsidR="0089737B" w:rsidRDefault="0089737B" w:rsidP="006B6242">
      <w:pPr>
        <w:rPr>
          <w:lang w:val="en-US"/>
        </w:rPr>
      </w:pPr>
    </w:p>
    <w:p w14:paraId="0220907E" w14:textId="3653E57A" w:rsidR="0089737B" w:rsidRDefault="0089737B">
      <w:pPr>
        <w:spacing w:after="160" w:line="259" w:lineRule="auto"/>
        <w:rPr>
          <w:lang w:val="en-US"/>
        </w:rPr>
      </w:pPr>
      <w:r>
        <w:rPr>
          <w:lang w:val="en-US"/>
        </w:rPr>
        <w:br w:type="page"/>
      </w:r>
    </w:p>
    <w:p w14:paraId="4B973989" w14:textId="64341F84" w:rsidR="0089737B" w:rsidRPr="006B6242" w:rsidRDefault="007A2043" w:rsidP="006B6242">
      <w:pPr>
        <w:rPr>
          <w:lang w:val="en-US"/>
        </w:rPr>
      </w:pPr>
      <w:r>
        <w:rPr>
          <w:noProof/>
          <w:lang w:val="en-US"/>
        </w:rPr>
        <w:lastRenderedPageBreak/>
        <w:drawing>
          <wp:inline distT="0" distB="0" distL="0" distR="0" wp14:anchorId="4E048B75" wp14:editId="24F2EB52">
            <wp:extent cx="6181932" cy="3523178"/>
            <wp:effectExtent l="0" t="0" r="0" b="1270"/>
            <wp:docPr id="340920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5860" cy="3536815"/>
                    </a:xfrm>
                    <a:prstGeom prst="rect">
                      <a:avLst/>
                    </a:prstGeom>
                    <a:noFill/>
                  </pic:spPr>
                </pic:pic>
              </a:graphicData>
            </a:graphic>
          </wp:inline>
        </w:drawing>
      </w:r>
    </w:p>
    <w:p w14:paraId="53DFCBF9" w14:textId="77777777" w:rsidR="00B57902" w:rsidRDefault="00B57902" w:rsidP="00B57902">
      <w:pPr>
        <w:rPr>
          <w:b/>
          <w:bCs/>
          <w:lang w:val="en-US"/>
        </w:rPr>
      </w:pPr>
    </w:p>
    <w:p w14:paraId="21E6B692" w14:textId="17680978" w:rsidR="00B57902" w:rsidRPr="00B57902" w:rsidRDefault="00B57902" w:rsidP="00B57902">
      <w:pPr>
        <w:rPr>
          <w:lang w:val="en-US"/>
        </w:rPr>
      </w:pPr>
      <w:r w:rsidRPr="00B57902">
        <w:rPr>
          <w:b/>
          <w:bCs/>
          <w:lang w:val="en-US"/>
        </w:rPr>
        <w:t xml:space="preserve">Figure S3. </w:t>
      </w:r>
      <w:r w:rsidRPr="00B57902">
        <w:rPr>
          <w:lang w:val="en-US"/>
        </w:rPr>
        <w:t xml:space="preserve">Concentrations of particulate </w:t>
      </w:r>
      <w:r w:rsidR="00745971">
        <w:rPr>
          <w:lang w:val="en-US"/>
        </w:rPr>
        <w:t xml:space="preserve">carbon </w:t>
      </w:r>
      <w:r w:rsidRPr="00B57902">
        <w:rPr>
          <w:lang w:val="en-US"/>
        </w:rPr>
        <w:t>(</w:t>
      </w:r>
      <w:r w:rsidR="00745971" w:rsidRPr="00B57902">
        <w:rPr>
          <w:lang w:val="en-US"/>
        </w:rPr>
        <w:t>C</w:t>
      </w:r>
      <w:r w:rsidR="00745971">
        <w:rPr>
          <w:lang w:val="en-US"/>
        </w:rPr>
        <w:t>,</w:t>
      </w:r>
      <w:r w:rsidR="00745971" w:rsidRPr="00B57902">
        <w:rPr>
          <w:i/>
          <w:iCs/>
          <w:lang w:val="en-US"/>
        </w:rPr>
        <w:t xml:space="preserve"> </w:t>
      </w:r>
      <w:r w:rsidRPr="00B57902">
        <w:rPr>
          <w:i/>
          <w:iCs/>
          <w:lang w:val="en-US"/>
        </w:rPr>
        <w:t>a</w:t>
      </w:r>
      <w:r w:rsidRPr="00B57902">
        <w:rPr>
          <w:lang w:val="en-US"/>
        </w:rPr>
        <w:t xml:space="preserve">), </w:t>
      </w:r>
      <w:r w:rsidR="00745971">
        <w:rPr>
          <w:lang w:val="en-US"/>
        </w:rPr>
        <w:t>nitrogen</w:t>
      </w:r>
      <w:r w:rsidRPr="00B57902">
        <w:rPr>
          <w:lang w:val="en-US"/>
        </w:rPr>
        <w:t xml:space="preserve"> (</w:t>
      </w:r>
      <w:r w:rsidR="00745971">
        <w:rPr>
          <w:lang w:val="en-US"/>
        </w:rPr>
        <w:t xml:space="preserve">N, </w:t>
      </w:r>
      <w:r w:rsidRPr="00B57902">
        <w:rPr>
          <w:i/>
          <w:iCs/>
          <w:lang w:val="en-US"/>
        </w:rPr>
        <w:t>b</w:t>
      </w:r>
      <w:r w:rsidRPr="00B57902">
        <w:rPr>
          <w:lang w:val="en-US"/>
        </w:rPr>
        <w:t>), and</w:t>
      </w:r>
      <w:r w:rsidR="00745971">
        <w:rPr>
          <w:lang w:val="en-US"/>
        </w:rPr>
        <w:t xml:space="preserve"> phosphorus</w:t>
      </w:r>
      <w:r w:rsidRPr="00B57902">
        <w:rPr>
          <w:lang w:val="en-US"/>
        </w:rPr>
        <w:t xml:space="preserve"> (</w:t>
      </w:r>
      <w:r w:rsidR="00745971">
        <w:rPr>
          <w:lang w:val="en-US"/>
        </w:rPr>
        <w:t xml:space="preserve">P, </w:t>
      </w:r>
      <w:r w:rsidRPr="00B57902">
        <w:rPr>
          <w:i/>
          <w:iCs/>
          <w:lang w:val="en-US"/>
        </w:rPr>
        <w:t>c</w:t>
      </w:r>
      <w:r w:rsidRPr="00B57902">
        <w:rPr>
          <w:lang w:val="en-US"/>
        </w:rPr>
        <w:t>) and particulate C:N (</w:t>
      </w:r>
      <w:r w:rsidRPr="00B57902">
        <w:rPr>
          <w:i/>
          <w:iCs/>
          <w:lang w:val="en-US"/>
        </w:rPr>
        <w:t>d</w:t>
      </w:r>
      <w:r w:rsidRPr="00B57902">
        <w:rPr>
          <w:lang w:val="en-US"/>
        </w:rPr>
        <w:t>), C:P (</w:t>
      </w:r>
      <w:r w:rsidRPr="00B57902">
        <w:rPr>
          <w:i/>
          <w:iCs/>
          <w:lang w:val="en-US"/>
        </w:rPr>
        <w:t>e</w:t>
      </w:r>
      <w:r w:rsidRPr="00B57902">
        <w:rPr>
          <w:lang w:val="en-US"/>
        </w:rPr>
        <w:t>), and N:P (</w:t>
      </w:r>
      <w:r w:rsidRPr="00B57902">
        <w:rPr>
          <w:i/>
          <w:iCs/>
          <w:lang w:val="en-US"/>
        </w:rPr>
        <w:t>f</w:t>
      </w:r>
      <w:r w:rsidRPr="00B57902">
        <w:rPr>
          <w:lang w:val="en-US"/>
        </w:rPr>
        <w:t xml:space="preserve">) </w:t>
      </w:r>
      <w:r w:rsidR="00E213AE">
        <w:rPr>
          <w:lang w:val="en-US"/>
        </w:rPr>
        <w:t xml:space="preserve">ratios </w:t>
      </w:r>
      <w:r w:rsidRPr="00B57902">
        <w:rPr>
          <w:lang w:val="en-US"/>
        </w:rPr>
        <w:t>from all eight nutrient treatments applied to the incubations. Error bars represent the 1 σ SD for treatment replicates (</w:t>
      </w:r>
      <w:r w:rsidRPr="00B57902">
        <w:rPr>
          <w:i/>
          <w:iCs/>
          <w:lang w:val="en-US"/>
        </w:rPr>
        <w:t xml:space="preserve">n </w:t>
      </w:r>
      <w:r w:rsidRPr="00B57902">
        <w:rPr>
          <w:lang w:val="en-US"/>
        </w:rPr>
        <w:t xml:space="preserve">= 3). Point shapes indicate sampling day. </w:t>
      </w:r>
      <w:r w:rsidR="00E213AE">
        <w:rPr>
          <w:lang w:val="en-US"/>
        </w:rPr>
        <w:t>Coloration is detailed in Fig. S1 figure caption</w:t>
      </w:r>
      <w:r w:rsidRPr="00B57902">
        <w:rPr>
          <w:lang w:val="en-US"/>
        </w:rPr>
        <w:t xml:space="preserve">. </w:t>
      </w:r>
    </w:p>
    <w:p w14:paraId="57B0587A" w14:textId="3210B54C" w:rsidR="00FE58CE" w:rsidRDefault="00FE58CE">
      <w:pPr>
        <w:spacing w:after="160" w:line="259" w:lineRule="auto"/>
      </w:pPr>
      <w:r>
        <w:br w:type="page"/>
      </w:r>
    </w:p>
    <w:p w14:paraId="46080378" w14:textId="09CFA426" w:rsidR="00A77C03" w:rsidRDefault="00A91A75" w:rsidP="00FE58CE">
      <w:pPr>
        <w:jc w:val="center"/>
      </w:pPr>
      <w:r>
        <w:rPr>
          <w:noProof/>
        </w:rPr>
        <w:lastRenderedPageBreak/>
        <w:drawing>
          <wp:inline distT="0" distB="0" distL="0" distR="0" wp14:anchorId="3A3CC894" wp14:editId="33DD5D68">
            <wp:extent cx="3267075" cy="2591114"/>
            <wp:effectExtent l="0" t="0" r="0" b="0"/>
            <wp:docPr id="51125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0072" cy="2601422"/>
                    </a:xfrm>
                    <a:prstGeom prst="rect">
                      <a:avLst/>
                    </a:prstGeom>
                    <a:noFill/>
                  </pic:spPr>
                </pic:pic>
              </a:graphicData>
            </a:graphic>
          </wp:inline>
        </w:drawing>
      </w:r>
    </w:p>
    <w:p w14:paraId="6BD71224" w14:textId="5B46B48A" w:rsidR="00F10E7C" w:rsidRPr="00F10E7C" w:rsidRDefault="00F10E7C" w:rsidP="00F10E7C">
      <w:pPr>
        <w:rPr>
          <w:lang w:val="en-US"/>
        </w:rPr>
      </w:pPr>
      <w:r w:rsidRPr="00F10E7C">
        <w:rPr>
          <w:b/>
          <w:bCs/>
          <w:lang w:val="en-US"/>
        </w:rPr>
        <w:t xml:space="preserve">Figure S4. </w:t>
      </w:r>
      <w:r w:rsidRPr="00F10E7C">
        <w:rPr>
          <w:lang w:val="en-US"/>
        </w:rPr>
        <w:t>The particulate P:C ratio measured here (faded points and red fit line) is compared to previously determined fit lines</w:t>
      </w:r>
      <w:r w:rsidR="00AC2E9E">
        <w:rPr>
          <w:lang w:val="en-US"/>
        </w:rPr>
        <w:t xml:space="preserve"> for the relationship</w:t>
      </w:r>
      <w:r w:rsidRPr="00F10E7C">
        <w:rPr>
          <w:lang w:val="en-US"/>
        </w:rPr>
        <w:t xml:space="preserve"> </w:t>
      </w:r>
      <w:r w:rsidR="00383328">
        <w:rPr>
          <w:lang w:val="en-US"/>
        </w:rPr>
        <w:t>presented by</w:t>
      </w:r>
      <w:r w:rsidRPr="00F10E7C">
        <w:rPr>
          <w:lang w:val="en-US"/>
        </w:rPr>
        <w:t xml:space="preserve"> Tanioka and Matsumoto</w:t>
      </w:r>
      <w:r w:rsidR="000B197E">
        <w:rPr>
          <w:lang w:val="en-US"/>
        </w:rPr>
        <w:fldChar w:fldCharType="begin"/>
      </w:r>
      <w:r w:rsidR="000E0E01">
        <w:rPr>
          <w:lang w:val="en-US"/>
        </w:rPr>
        <w:instrText xml:space="preserve"> ADDIN ZOTERO_ITEM CSL_CITATION {"citationID":"DneHGryW","properties":{"formattedCitation":"\\super 1\\nosupersub{}","plainCitation":"1","noteIndex":0},"citationItems":[{"id":303,"uris":["http://zotero.org/users/12104786/items/85DDIH3C"],"itemData":{"id":303,"type":"article-journal","abstract":"One of the most important factors that determine the ocean-atmosphere carbon partitioning is the sinking of particulate organic matter (POM) from the surface ocean to the deep ocean. The amount of carbon (C) removed from the surface ocean by this POM export production depends critically on the elemental ratio in POM of C to nitrogen (N) and phosphorus (P), two essential elements that limit productivity. Recent observations indicate that P:N:C in marine POM varies both spatially and temporally due to chemical, physical, and ecological dynamics. In a new approach to predicting a flexible P:C ratio, we developed a power law model with a stoichiometry sensitivity factor, which is able to relate P:C of POM to ambient phosphate concentration. The new factor is robust, measurable, and biogeochemically meaningful. Using the new stoichiometry sensitivity factor, we present a first-order estimate that P:C plasticity could buffer against a generally expected future reduction in global carbon export production by up to 5% under a future warming scenario compared to a fixed, Redfield P:C. Further, we demonstrate that our new stoichiometry model can be implemented successfully and easily in a global model to reproduce the large-scale P:N:C variability in the ocean.","container-title":"Global Biogeochemical Cycles","DOI":"10.1002/2017GB005670","ISSN":"1944-9224","issue":"10","language":"en","license":"©2017. American Geophysical Union. All Rights Reserved.","note":"_eprint: https://agupubs.onlinelibrary.wiley.com/doi/pdf/10.1002/2017GB005670","page":"1528-1542","source":"Wiley Online Library","title":"Buffering of ocean export production by flexible elemental stoichiometry of particulate organic matter","volume":"31","author":[{"family":"Tanioka","given":"Tatsuro"},{"family":"Matsumoto","given":"Katsumi"}],"issued":{"date-parts":[["2017"]]}}}],"schema":"https://github.com/citation-style-language/schema/raw/master/csl-citation.json"} </w:instrText>
      </w:r>
      <w:r w:rsidR="000B197E">
        <w:rPr>
          <w:lang w:val="en-US"/>
        </w:rPr>
        <w:fldChar w:fldCharType="separate"/>
      </w:r>
      <w:r w:rsidR="000B197E" w:rsidRPr="000B197E">
        <w:rPr>
          <w:szCs w:val="24"/>
          <w:vertAlign w:val="superscript"/>
        </w:rPr>
        <w:t>1</w:t>
      </w:r>
      <w:r w:rsidR="000B197E">
        <w:rPr>
          <w:lang w:val="en-US"/>
        </w:rPr>
        <w:fldChar w:fldCharType="end"/>
      </w:r>
      <w:r w:rsidR="00383328">
        <w:rPr>
          <w:lang w:val="en-US"/>
        </w:rPr>
        <w:t>,</w:t>
      </w:r>
      <w:r w:rsidR="00A47057">
        <w:rPr>
          <w:lang w:val="en-US"/>
        </w:rPr>
        <w:t xml:space="preserve"> shown in</w:t>
      </w:r>
      <w:r w:rsidR="00383328">
        <w:rPr>
          <w:lang w:val="en-US"/>
        </w:rPr>
        <w:t xml:space="preserve"> shades of</w:t>
      </w:r>
      <w:r w:rsidR="00A47057">
        <w:rPr>
          <w:lang w:val="en-US"/>
        </w:rPr>
        <w:t xml:space="preserve"> grey and labelled according to </w:t>
      </w:r>
      <w:r w:rsidR="00A47057">
        <w:rPr>
          <w:lang w:val="en-US"/>
        </w:rPr>
        <w:fldChar w:fldCharType="begin"/>
      </w:r>
      <w:r w:rsidR="000E0E01">
        <w:rPr>
          <w:lang w:val="en-US"/>
        </w:rPr>
        <w:instrText xml:space="preserve"> ADDIN ZOTERO_ITEM CSL_CITATION {"citationID":"YMj0Jlln","properties":{"formattedCitation":"\\super 1\\nosupersub{}","plainCitation":"1","noteIndex":0},"citationItems":[{"id":303,"uris":["http://zotero.org/users/12104786/items/85DDIH3C"],"itemData":{"id":303,"type":"article-journal","abstract":"One of the most important factors that determine the ocean-atmosphere carbon partitioning is the sinking of particulate organic matter (POM) from the surface ocean to the deep ocean. The amount of carbon (C) removed from the surface ocean by this POM export production depends critically on the elemental ratio in POM of C to nitrogen (N) and phosphorus (P), two essential elements that limit productivity. Recent observations indicate that P:N:C in marine POM varies both spatially and temporally due to chemical, physical, and ecological dynamics. In a new approach to predicting a flexible P:C ratio, we developed a power law model with a stoichiometry sensitivity factor, which is able to relate P:C of POM to ambient phosphate concentration. The new factor is robust, measurable, and biogeochemically meaningful. Using the new stoichiometry sensitivity factor, we present a first-order estimate that P:C plasticity could buffer against a generally expected future reduction in global carbon export production by up to 5% under a future warming scenario compared to a fixed, Redfield P:C. Further, we demonstrate that our new stoichiometry model can be implemented successfully and easily in a global model to reproduce the large-scale P:N:C variability in the ocean.","container-title":"Global Biogeochemical Cycles","DOI":"10.1002/2017GB005670","ISSN":"1944-9224","issue":"10","language":"en","license":"©2017. American Geophysical Union. All Rights Reserved.","note":"_eprint: https://agupubs.onlinelibrary.wiley.com/doi/pdf/10.1002/2017GB005670","page":"1528-1542","source":"Wiley Online Library","title":"Buffering of ocean export production by flexible elemental stoichiometry of particulate organic matter","volume":"31","author":[{"family":"Tanioka","given":"Tatsuro"},{"family":"Matsumoto","given":"Katsumi"}],"issued":{"date-parts":[["2017"]]}}}],"schema":"https://github.com/citation-style-language/schema/raw/master/csl-citation.json"} </w:instrText>
      </w:r>
      <w:r w:rsidR="00A47057">
        <w:rPr>
          <w:lang w:val="en-US"/>
        </w:rPr>
        <w:fldChar w:fldCharType="separate"/>
      </w:r>
      <w:r w:rsidR="00A47057" w:rsidRPr="00A47057">
        <w:rPr>
          <w:szCs w:val="24"/>
          <w:vertAlign w:val="superscript"/>
        </w:rPr>
        <w:t>1</w:t>
      </w:r>
      <w:r w:rsidR="00A47057">
        <w:rPr>
          <w:lang w:val="en-US"/>
        </w:rPr>
        <w:fldChar w:fldCharType="end"/>
      </w:r>
      <w:r w:rsidRPr="00F10E7C">
        <w:rPr>
          <w:lang w:val="en-US"/>
        </w:rPr>
        <w:t>. Surface averages from the Bermuda Atlantic Time-</w:t>
      </w:r>
      <w:r w:rsidR="00C12F83">
        <w:rPr>
          <w:lang w:val="en-US"/>
        </w:rPr>
        <w:t>s</w:t>
      </w:r>
      <w:r w:rsidRPr="00F10E7C">
        <w:rPr>
          <w:lang w:val="en-US"/>
        </w:rPr>
        <w:t>eries</w:t>
      </w:r>
      <w:r w:rsidR="00C12F83">
        <w:rPr>
          <w:lang w:val="en-US"/>
        </w:rPr>
        <w:t xml:space="preserve"> Study</w:t>
      </w:r>
      <w:r w:rsidRPr="00F10E7C">
        <w:rPr>
          <w:lang w:val="en-US"/>
        </w:rPr>
        <w:t xml:space="preserve"> (BATS) and the Pacific Ocean, Hawaii Ocean Time-</w:t>
      </w:r>
      <w:r w:rsidR="00AC2E9E">
        <w:rPr>
          <w:lang w:val="en-US"/>
        </w:rPr>
        <w:t>s</w:t>
      </w:r>
      <w:r w:rsidRPr="00F10E7C">
        <w:rPr>
          <w:lang w:val="en-US"/>
        </w:rPr>
        <w:t xml:space="preserve">eries (HOT) </w:t>
      </w:r>
      <w:r w:rsidR="00395C17">
        <w:rPr>
          <w:lang w:val="en-US"/>
        </w:rPr>
        <w:t xml:space="preserve">study </w:t>
      </w:r>
      <w:r w:rsidRPr="00F10E7C">
        <w:rPr>
          <w:lang w:val="en-US"/>
        </w:rPr>
        <w:t xml:space="preserve">were also extracted from </w:t>
      </w:r>
      <w:r w:rsidR="003D44B8">
        <w:rPr>
          <w:lang w:val="en-US"/>
        </w:rPr>
        <w:fldChar w:fldCharType="begin"/>
      </w:r>
      <w:r w:rsidR="000E0E01">
        <w:rPr>
          <w:lang w:val="en-US"/>
        </w:rPr>
        <w:instrText xml:space="preserve"> ADDIN ZOTERO_ITEM CSL_CITATION {"citationID":"CGrasLgK","properties":{"formattedCitation":"\\super 1\\nosupersub{}","plainCitation":"1","noteIndex":0},"citationItems":[{"id":303,"uris":["http://zotero.org/users/12104786/items/85DDIH3C"],"itemData":{"id":303,"type":"article-journal","abstract":"One of the most important factors that determine the ocean-atmosphere carbon partitioning is the sinking of particulate organic matter (POM) from the surface ocean to the deep ocean. The amount of carbon (C) removed from the surface ocean by this POM export production depends critically on the elemental ratio in POM of C to nitrogen (N) and phosphorus (P), two essential elements that limit productivity. Recent observations indicate that P:N:C in marine POM varies both spatially and temporally due to chemical, physical, and ecological dynamics. In a new approach to predicting a flexible P:C ratio, we developed a power law model with a stoichiometry sensitivity factor, which is able to relate P:C of POM to ambient phosphate concentration. The new factor is robust, measurable, and biogeochemically meaningful. Using the new stoichiometry sensitivity factor, we present a first-order estimate that P:C plasticity could buffer against a generally expected future reduction in global carbon export production by up to 5% under a future warming scenario compared to a fixed, Redfield P:C. Further, we demonstrate that our new stoichiometry model can be implemented successfully and easily in a global model to reproduce the large-scale P:N:C variability in the ocean.","container-title":"Global Biogeochemical Cycles","DOI":"10.1002/2017GB005670","ISSN":"1944-9224","issue":"10","language":"en","license":"©2017. American Geophysical Union. All Rights Reserved.","note":"_eprint: https://agupubs.onlinelibrary.wiley.com/doi/pdf/10.1002/2017GB005670","page":"1528-1542","source":"Wiley Online Library","title":"Buffering of ocean export production by flexible elemental stoichiometry of particulate organic matter","volume":"31","author":[{"family":"Tanioka","given":"Tatsuro"},{"family":"Matsumoto","given":"Katsumi"}],"issued":{"date-parts":[["2017"]]}}}],"schema":"https://github.com/citation-style-language/schema/raw/master/csl-citation.json"} </w:instrText>
      </w:r>
      <w:r w:rsidR="003D44B8">
        <w:rPr>
          <w:lang w:val="en-US"/>
        </w:rPr>
        <w:fldChar w:fldCharType="separate"/>
      </w:r>
      <w:r w:rsidR="003D44B8" w:rsidRPr="003D44B8">
        <w:rPr>
          <w:szCs w:val="24"/>
          <w:vertAlign w:val="superscript"/>
        </w:rPr>
        <w:t>1</w:t>
      </w:r>
      <w:r w:rsidR="003D44B8">
        <w:rPr>
          <w:lang w:val="en-US"/>
        </w:rPr>
        <w:fldChar w:fldCharType="end"/>
      </w:r>
      <w:r w:rsidRPr="00F10E7C">
        <w:rPr>
          <w:lang w:val="en-US"/>
        </w:rPr>
        <w:t xml:space="preserve">. </w:t>
      </w:r>
    </w:p>
    <w:p w14:paraId="2899871A" w14:textId="77777777" w:rsidR="00FE58CE" w:rsidRDefault="00FE58CE" w:rsidP="00FE58CE"/>
    <w:p w14:paraId="50A326DE" w14:textId="77777777" w:rsidR="003B2683" w:rsidRDefault="003B2683" w:rsidP="00FE58CE"/>
    <w:p w14:paraId="26A3E2FD" w14:textId="77777777" w:rsidR="009E3035" w:rsidRDefault="009E3035" w:rsidP="00FE58CE"/>
    <w:p w14:paraId="76F92D18" w14:textId="77777777" w:rsidR="009E3035" w:rsidRDefault="009E3035" w:rsidP="00FE58CE"/>
    <w:p w14:paraId="4CFA1CF2" w14:textId="4544B599" w:rsidR="00EB199D" w:rsidRDefault="00021B75" w:rsidP="00FE58CE">
      <w:r>
        <w:rPr>
          <w:noProof/>
        </w:rPr>
        <w:drawing>
          <wp:inline distT="0" distB="0" distL="0" distR="0" wp14:anchorId="10E9748F" wp14:editId="0DCE0689">
            <wp:extent cx="5975350" cy="2379263"/>
            <wp:effectExtent l="0" t="0" r="6350" b="2540"/>
            <wp:docPr id="47393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2090" cy="2385929"/>
                    </a:xfrm>
                    <a:prstGeom prst="rect">
                      <a:avLst/>
                    </a:prstGeom>
                    <a:noFill/>
                  </pic:spPr>
                </pic:pic>
              </a:graphicData>
            </a:graphic>
          </wp:inline>
        </w:drawing>
      </w:r>
    </w:p>
    <w:p w14:paraId="72F68C80" w14:textId="77777777" w:rsidR="003B2683" w:rsidRDefault="003B2683" w:rsidP="003B2683">
      <w:pPr>
        <w:rPr>
          <w:b/>
          <w:bCs/>
          <w:lang w:val="en-US"/>
        </w:rPr>
      </w:pPr>
    </w:p>
    <w:p w14:paraId="22973367" w14:textId="1242CEC9" w:rsidR="003B2683" w:rsidRPr="003B2683" w:rsidRDefault="003B2683" w:rsidP="003B2683">
      <w:pPr>
        <w:rPr>
          <w:lang w:val="en-US"/>
        </w:rPr>
      </w:pPr>
      <w:r w:rsidRPr="003B2683">
        <w:rPr>
          <w:b/>
          <w:bCs/>
          <w:lang w:val="en-US"/>
        </w:rPr>
        <w:t xml:space="preserve">Figure S5. </w:t>
      </w:r>
      <w:r w:rsidRPr="003B2683">
        <w:rPr>
          <w:lang w:val="en-US"/>
        </w:rPr>
        <w:t xml:space="preserve">Prokaryote community structure </w:t>
      </w:r>
      <w:r w:rsidR="004B3259">
        <w:rPr>
          <w:lang w:val="en-US"/>
        </w:rPr>
        <w:t>clustered by nutrient supply over time, visualized using a</w:t>
      </w:r>
      <w:r w:rsidRPr="003B2683">
        <w:rPr>
          <w:lang w:val="en-US"/>
        </w:rPr>
        <w:t xml:space="preserve"> non-metric multi-dimensional </w:t>
      </w:r>
      <w:r w:rsidR="000E0E01" w:rsidRPr="003B2683">
        <w:rPr>
          <w:lang w:val="en-US"/>
        </w:rPr>
        <w:t xml:space="preserve">scaling </w:t>
      </w:r>
      <w:r w:rsidRPr="003B2683">
        <w:rPr>
          <w:lang w:val="en-US"/>
        </w:rPr>
        <w:t>(NMDS) plot (</w:t>
      </w:r>
      <w:r w:rsidRPr="003B2683">
        <w:rPr>
          <w:i/>
          <w:iCs/>
          <w:lang w:val="en-US"/>
        </w:rPr>
        <w:t>a</w:t>
      </w:r>
      <w:r w:rsidRPr="003B2683">
        <w:rPr>
          <w:lang w:val="en-US"/>
        </w:rPr>
        <w:t>)</w:t>
      </w:r>
      <w:r w:rsidR="007B300B">
        <w:rPr>
          <w:lang w:val="en-US"/>
        </w:rPr>
        <w:t xml:space="preserve"> with time indicated by point shape.</w:t>
      </w:r>
      <w:r w:rsidRPr="003B2683">
        <w:rPr>
          <w:lang w:val="en-US"/>
        </w:rPr>
        <w:t xml:space="preserve"> Community taxonomy at the end of the experiment (</w:t>
      </w:r>
      <w:r w:rsidRPr="003B2683">
        <w:rPr>
          <w:i/>
          <w:iCs/>
          <w:lang w:val="en-US"/>
        </w:rPr>
        <w:t>b</w:t>
      </w:r>
      <w:r w:rsidR="007B300B">
        <w:rPr>
          <w:i/>
          <w:iCs/>
          <w:lang w:val="en-US"/>
        </w:rPr>
        <w:t xml:space="preserve">; </w:t>
      </w:r>
      <w:r w:rsidR="007B300B">
        <w:rPr>
          <w:lang w:val="en-US"/>
        </w:rPr>
        <w:t>average of day 24 and day 29</w:t>
      </w:r>
      <w:r w:rsidRPr="003B2683">
        <w:rPr>
          <w:lang w:val="en-US"/>
        </w:rPr>
        <w:t>) shows the relative abundance of the major taxonomic groups.</w:t>
      </w:r>
    </w:p>
    <w:p w14:paraId="38D6F37B" w14:textId="77777777" w:rsidR="00EB199D" w:rsidRDefault="00EB199D" w:rsidP="00FE58CE"/>
    <w:p w14:paraId="7881E3B7" w14:textId="09FF1069" w:rsidR="008A0133" w:rsidRPr="008A0133" w:rsidRDefault="003B2683" w:rsidP="008A0133">
      <w:r w:rsidRPr="003B2683">
        <w:rPr>
          <w:noProof/>
        </w:rPr>
        <w:lastRenderedPageBreak/>
        <w:drawing>
          <wp:anchor distT="0" distB="0" distL="114300" distR="114300" simplePos="0" relativeHeight="251659264" behindDoc="0" locked="0" layoutInCell="1" allowOverlap="1" wp14:anchorId="3F60FF40" wp14:editId="4A78EA41">
            <wp:simplePos x="0" y="0"/>
            <wp:positionH relativeFrom="column">
              <wp:posOffset>7136765</wp:posOffset>
            </wp:positionH>
            <wp:positionV relativeFrom="paragraph">
              <wp:posOffset>680085</wp:posOffset>
            </wp:positionV>
            <wp:extent cx="1931125" cy="1798901"/>
            <wp:effectExtent l="0" t="0" r="0" b="0"/>
            <wp:wrapNone/>
            <wp:docPr id="2" name="Google Shape;206;g2a6aaa964e3_1_1" descr="A screen shot of a black background&#10;&#10;Description automatically generated">
              <a:extLst xmlns:a="http://schemas.openxmlformats.org/drawingml/2006/main">
                <a:ext uri="{FF2B5EF4-FFF2-40B4-BE49-F238E27FC236}">
                  <a16:creationId xmlns:a16="http://schemas.microsoft.com/office/drawing/2014/main" id="{9962B6AE-AE31-99AF-A1DD-B5FF614C3B03}"/>
                </a:ext>
              </a:extLst>
            </wp:docPr>
            <wp:cNvGraphicFramePr/>
            <a:graphic xmlns:a="http://schemas.openxmlformats.org/drawingml/2006/main">
              <a:graphicData uri="http://schemas.openxmlformats.org/drawingml/2006/picture">
                <pic:pic xmlns:pic="http://schemas.openxmlformats.org/drawingml/2006/picture">
                  <pic:nvPicPr>
                    <pic:cNvPr id="2" name="Google Shape;206;g2a6aaa964e3_1_1" descr="A screen shot of a black background&#10;&#10;Description automatically generated">
                      <a:extLst>
                        <a:ext uri="{FF2B5EF4-FFF2-40B4-BE49-F238E27FC236}">
                          <a16:creationId xmlns:a16="http://schemas.microsoft.com/office/drawing/2014/main" id="{9962B6AE-AE31-99AF-A1DD-B5FF614C3B03}"/>
                        </a:ext>
                      </a:extLst>
                    </pic:cNvPr>
                    <pic:cNvPicPr preferRelativeResize="0"/>
                  </pic:nvPicPr>
                  <pic:blipFill rotWithShape="1">
                    <a:blip r:embed="rId9">
                      <a:alphaModFix/>
                    </a:blip>
                    <a:srcRect b="44610"/>
                    <a:stretch/>
                  </pic:blipFill>
                  <pic:spPr>
                    <a:xfrm>
                      <a:off x="0" y="0"/>
                      <a:ext cx="1931125" cy="1798901"/>
                    </a:xfrm>
                    <a:prstGeom prst="rect">
                      <a:avLst/>
                    </a:prstGeom>
                    <a:noFill/>
                    <a:ln>
                      <a:noFill/>
                    </a:ln>
                  </pic:spPr>
                </pic:pic>
              </a:graphicData>
            </a:graphic>
          </wp:anchor>
        </w:drawing>
      </w:r>
      <w:r w:rsidR="008D76E3">
        <w:rPr>
          <w:noProof/>
        </w:rPr>
        <w:drawing>
          <wp:inline distT="0" distB="0" distL="0" distR="0" wp14:anchorId="0A9894FE" wp14:editId="7628F6C0">
            <wp:extent cx="5940197" cy="2558812"/>
            <wp:effectExtent l="0" t="0" r="0" b="0"/>
            <wp:docPr id="6937258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126" cy="2570412"/>
                    </a:xfrm>
                    <a:prstGeom prst="rect">
                      <a:avLst/>
                    </a:prstGeom>
                    <a:noFill/>
                  </pic:spPr>
                </pic:pic>
              </a:graphicData>
            </a:graphic>
          </wp:inline>
        </w:drawing>
      </w:r>
    </w:p>
    <w:p w14:paraId="0DBE39BF" w14:textId="77777777" w:rsidR="008A0133" w:rsidRDefault="008A0133" w:rsidP="008A0133">
      <w:pPr>
        <w:jc w:val="right"/>
      </w:pPr>
    </w:p>
    <w:p w14:paraId="7326861F" w14:textId="7DA84BD5" w:rsidR="008A0133" w:rsidRDefault="00ED0D9F" w:rsidP="008A0133">
      <w:pPr>
        <w:rPr>
          <w:lang w:val="en-US"/>
        </w:rPr>
      </w:pPr>
      <w:r>
        <w:rPr>
          <w:b/>
          <w:bCs/>
        </w:rPr>
        <w:t xml:space="preserve">Figure S6. </w:t>
      </w:r>
      <w:r w:rsidRPr="00ED0D9F">
        <w:rPr>
          <w:i/>
          <w:iCs/>
        </w:rPr>
        <w:t xml:space="preserve">Prochlorococcus (a) </w:t>
      </w:r>
      <w:r w:rsidR="00346B01">
        <w:t>counts declined in all treatments, as observed in similar incubation experiments</w:t>
      </w:r>
      <w:r w:rsidR="000E0E01">
        <w:fldChar w:fldCharType="begin"/>
      </w:r>
      <w:r w:rsidR="000E0E01">
        <w:instrText xml:space="preserve"> ADDIN ZOTERO_ITEM CSL_CITATION {"citationID":"RiduAokW","properties":{"formattedCitation":"\\super 2\\nosupersub{}","plainCitation":"2","noteIndex":0},"citationItems":[{"id":178,"uris":["http://zotero.org/users/12104786/items/D3JBHKGH"],"itemData":{"id":178,"type":"article-journal","abstract":"A large-volume mesocosm-based nutrient perturbation experiment was conducted off the island of Hawai‘i, USA, to investigate the response of surface ocean phytoplankton communities to the addition of macronutrients, trace metals, and vitamins and to assess the feasibility of using mesocosms in the open ocean. Three free-drifting mesocosms (~60 m3) were deployed: one mesocosm served as a control (no nutrient amendments); a second (termed +P) was amended with nitrate (N), silicate (Si), phosphate (P), and a trace metal + vitamin mixture; and a third (termed −P) was amended with N, Si, and a trace metal + vitamin mixture but no P. These mesocosms were unreplicated due to logistical constraints and hence differences between treatments are qualitative. After 6 d, the largest response of the phytoplankton community was observed in the +P mesocosm, where chlorophyll a and 14C-based primary production were 2−3× greater than in the −P mesocosm and 4−6× greater than in the control. Comparison between mesocosm and ‘microcosm’ incubations (20 l) revealed differences in the magnitude and timing of production and marked differences in community structure with a reduced response of diatoms in microcosm treatments. Notably, we also observed pronounced declines in Prochlorococcus populations in all treatments, although these were greater in microcosms (up to 99%). Overall, this study confirmed the feasibility of deploying free-drifting mesocosms in the open ocean as a potentially powerful tool to investigate ecological impacts of nutrient perturbations and constitutes a valuable first step towards scaling plankton manipulation experiments.","container-title":"Aquatic Microbial Ecology","DOI":"10.3354/ame01977","ISSN":"0948-3055, 1616-1564","journalAbbreviation":"Aquat. Microb. Ecol.","language":"en","page":"167-183","source":"DOI.org (Crossref)","title":"Effects of nutrient enrichments on oligotrophic phytoplankton communities: a mesocosm experiment near Hawai‘i, USA","title-short":"Effects of nutrient enrichments on oligotrophic phytoplankton communities","volume":"87","author":[{"family":"Böttjer-Wilson","given":"D"},{"family":"White","given":"Ae"},{"family":"Björkman","given":"Km"},{"family":"Church","given":"Mj"},{"family":"Poulos","given":"S"},{"family":"Shimabukuro","given":"E"},{"family":"Rii","given":"Ym"},{"family":"Ludwig","given":"A"},{"family":"Bröckel","given":"K","non-dropping-particle":"von"},{"family":"Riebesell","given":"U"},{"family":"Letelier","given":"Rm"},{"family":"Karl","given":"Dm"}],"issued":{"date-parts":[["2021",10,21]]}}}],"schema":"https://github.com/citation-style-language/schema/raw/master/csl-citation.json"} </w:instrText>
      </w:r>
      <w:r w:rsidR="000E0E01">
        <w:fldChar w:fldCharType="separate"/>
      </w:r>
      <w:r w:rsidR="000E0E01" w:rsidRPr="000E0E01">
        <w:rPr>
          <w:szCs w:val="24"/>
          <w:vertAlign w:val="superscript"/>
        </w:rPr>
        <w:t>2</w:t>
      </w:r>
      <w:r w:rsidR="000E0E01">
        <w:fldChar w:fldCharType="end"/>
      </w:r>
      <w:r w:rsidR="00346B01">
        <w:t xml:space="preserve">, while </w:t>
      </w:r>
      <w:proofErr w:type="spellStart"/>
      <w:r w:rsidRPr="00ED0D9F">
        <w:rPr>
          <w:i/>
          <w:iCs/>
        </w:rPr>
        <w:t>Synechococcus</w:t>
      </w:r>
      <w:proofErr w:type="spellEnd"/>
      <w:r w:rsidRPr="00ED0D9F">
        <w:rPr>
          <w:i/>
          <w:iCs/>
        </w:rPr>
        <w:t xml:space="preserve"> (b) </w:t>
      </w:r>
      <w:r w:rsidRPr="00ED0D9F">
        <w:t>counts</w:t>
      </w:r>
      <w:r w:rsidR="00423E85">
        <w:t xml:space="preserve"> generally increase </w:t>
      </w:r>
      <w:r w:rsidR="00F75750">
        <w:t xml:space="preserve">in all treatments relative to initial seawater </w:t>
      </w:r>
      <w:r w:rsidR="000278AF">
        <w:t xml:space="preserve">used to fill the </w:t>
      </w:r>
      <w:r w:rsidR="00EE17A0">
        <w:t>incubation chambers</w:t>
      </w:r>
      <w:r w:rsidR="00423E85">
        <w:t>.</w:t>
      </w:r>
      <w:r w:rsidRPr="00ED0D9F">
        <w:t xml:space="preserve"> </w:t>
      </w:r>
      <w:r w:rsidR="00F1294C">
        <w:t>Counts were</w:t>
      </w:r>
      <w:r w:rsidR="00423E85">
        <w:t xml:space="preserve"> </w:t>
      </w:r>
      <w:r w:rsidRPr="00ED0D9F">
        <w:t>determined by flow cytometry.</w:t>
      </w:r>
      <w:r w:rsidRPr="00ED0D9F">
        <w:rPr>
          <w:lang w:val="en-US"/>
        </w:rPr>
        <w:t xml:space="preserve"> </w:t>
      </w:r>
      <w:r w:rsidRPr="00B57902">
        <w:rPr>
          <w:lang w:val="en-US"/>
        </w:rPr>
        <w:t>Error bars represent the 1 σ SD for treatment replicates (</w:t>
      </w:r>
      <w:r w:rsidRPr="00B57902">
        <w:rPr>
          <w:i/>
          <w:iCs/>
          <w:lang w:val="en-US"/>
        </w:rPr>
        <w:t xml:space="preserve">n </w:t>
      </w:r>
      <w:r w:rsidRPr="00B57902">
        <w:rPr>
          <w:lang w:val="en-US"/>
        </w:rPr>
        <w:t>= 3).</w:t>
      </w:r>
    </w:p>
    <w:p w14:paraId="07D0FF83" w14:textId="77777777" w:rsidR="00AF40F1" w:rsidRDefault="00AF40F1" w:rsidP="008A0133">
      <w:pPr>
        <w:rPr>
          <w:lang w:val="en-US"/>
        </w:rPr>
      </w:pPr>
    </w:p>
    <w:p w14:paraId="7409675C" w14:textId="77777777" w:rsidR="00AF40F1" w:rsidRDefault="00AF40F1" w:rsidP="008A0133">
      <w:pPr>
        <w:rPr>
          <w:lang w:val="en-US"/>
        </w:rPr>
      </w:pPr>
    </w:p>
    <w:p w14:paraId="0682A162" w14:textId="77777777" w:rsidR="009E3035" w:rsidRDefault="009E3035" w:rsidP="008A0133">
      <w:pPr>
        <w:rPr>
          <w:lang w:val="en-US"/>
        </w:rPr>
      </w:pPr>
    </w:p>
    <w:p w14:paraId="0D7EEF09" w14:textId="77777777" w:rsidR="009E3035" w:rsidRDefault="009E3035" w:rsidP="008A0133">
      <w:pPr>
        <w:rPr>
          <w:lang w:val="en-US"/>
        </w:rPr>
      </w:pPr>
    </w:p>
    <w:p w14:paraId="52E93275" w14:textId="44355638" w:rsidR="00AF40F1" w:rsidRDefault="00B71D07" w:rsidP="005C288F">
      <w:pPr>
        <w:jc w:val="center"/>
        <w:rPr>
          <w:noProof/>
        </w:rPr>
      </w:pPr>
      <w:r>
        <w:rPr>
          <w:noProof/>
        </w:rPr>
        <w:drawing>
          <wp:inline distT="0" distB="0" distL="0" distR="0" wp14:anchorId="7AAA3E0F" wp14:editId="4EBDC4C1">
            <wp:extent cx="5937250" cy="2481739"/>
            <wp:effectExtent l="0" t="0" r="0" b="0"/>
            <wp:docPr id="531826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775" cy="2488228"/>
                    </a:xfrm>
                    <a:prstGeom prst="rect">
                      <a:avLst/>
                    </a:prstGeom>
                    <a:noFill/>
                  </pic:spPr>
                </pic:pic>
              </a:graphicData>
            </a:graphic>
          </wp:inline>
        </w:drawing>
      </w:r>
    </w:p>
    <w:p w14:paraId="7B452FC4" w14:textId="77777777" w:rsidR="00B71D07" w:rsidRDefault="00B71D07" w:rsidP="00B71D07">
      <w:pPr>
        <w:rPr>
          <w:noProof/>
        </w:rPr>
      </w:pPr>
    </w:p>
    <w:p w14:paraId="326348BC" w14:textId="06B89709" w:rsidR="00B71D07" w:rsidRDefault="00B71D07" w:rsidP="00B71D07">
      <w:r>
        <w:rPr>
          <w:b/>
          <w:bCs/>
        </w:rPr>
        <w:t xml:space="preserve">Figure S7. </w:t>
      </w:r>
      <w:r w:rsidR="00D87BA4">
        <w:t>Total macromolecular analysis of</w:t>
      </w:r>
      <w:r w:rsidR="00496DEE">
        <w:t xml:space="preserve"> </w:t>
      </w:r>
      <w:r w:rsidR="00A24AB4">
        <w:t>ribonucleic acids</w:t>
      </w:r>
      <w:r w:rsidR="00D87BA4">
        <w:t xml:space="preserve"> </w:t>
      </w:r>
      <w:r w:rsidR="00A24AB4">
        <w:t>(</w:t>
      </w:r>
      <w:r w:rsidR="00D87BA4">
        <w:t>RNA</w:t>
      </w:r>
      <w:r w:rsidR="00A24AB4">
        <w:t>)</w:t>
      </w:r>
      <w:r w:rsidR="006D5675">
        <w:t xml:space="preserve"> (</w:t>
      </w:r>
      <w:r w:rsidR="006D5675">
        <w:rPr>
          <w:i/>
          <w:iCs/>
        </w:rPr>
        <w:t>a</w:t>
      </w:r>
      <w:r w:rsidR="00496DEE">
        <w:t>),</w:t>
      </w:r>
      <w:r w:rsidR="00A24AB4">
        <w:t xml:space="preserve"> de</w:t>
      </w:r>
      <w:r w:rsidR="00001E38">
        <w:t>oxyribonucleic acid</w:t>
      </w:r>
      <w:r w:rsidR="00ED2C8B">
        <w:t>s</w:t>
      </w:r>
      <w:r w:rsidR="00001E38">
        <w:t xml:space="preserve"> (</w:t>
      </w:r>
      <w:r w:rsidR="00496DEE">
        <w:t>DNA</w:t>
      </w:r>
      <w:r w:rsidR="00001E38">
        <w:t>)</w:t>
      </w:r>
      <w:r w:rsidR="00496DEE">
        <w:t xml:space="preserve"> (</w:t>
      </w:r>
      <w:r w:rsidR="00496DEE">
        <w:rPr>
          <w:i/>
          <w:iCs/>
        </w:rPr>
        <w:t>b</w:t>
      </w:r>
      <w:r w:rsidR="00496DEE">
        <w:t>), and Lipids (</w:t>
      </w:r>
      <w:r w:rsidR="00496DEE" w:rsidRPr="00496DEE">
        <w:rPr>
          <w:i/>
          <w:iCs/>
        </w:rPr>
        <w:t>c</w:t>
      </w:r>
      <w:r w:rsidR="00496DEE">
        <w:t>) normalized to particulate C</w:t>
      </w:r>
      <w:r w:rsidR="002E574F">
        <w:t xml:space="preserve">. </w:t>
      </w:r>
    </w:p>
    <w:p w14:paraId="11E7045B" w14:textId="77777777" w:rsidR="00565444" w:rsidRDefault="00565444" w:rsidP="00B71D07"/>
    <w:p w14:paraId="7559951A" w14:textId="08B9FC16" w:rsidR="00565444" w:rsidRDefault="00565444">
      <w:pPr>
        <w:spacing w:after="160" w:line="259" w:lineRule="auto"/>
      </w:pPr>
      <w:r>
        <w:br w:type="page"/>
      </w:r>
    </w:p>
    <w:p w14:paraId="6208925C" w14:textId="1401D944" w:rsidR="00565444" w:rsidRDefault="003A1C47" w:rsidP="003A1C47">
      <w:pPr>
        <w:jc w:val="center"/>
      </w:pPr>
      <w:r>
        <w:rPr>
          <w:noProof/>
        </w:rPr>
        <w:lastRenderedPageBreak/>
        <w:drawing>
          <wp:inline distT="0" distB="0" distL="0" distR="0" wp14:anchorId="3A66D850" wp14:editId="497A71B3">
            <wp:extent cx="3599588" cy="2652395"/>
            <wp:effectExtent l="0" t="0" r="0" b="0"/>
            <wp:docPr id="198570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4062"/>
                    <a:stretch/>
                  </pic:blipFill>
                  <pic:spPr bwMode="auto">
                    <a:xfrm>
                      <a:off x="0" y="0"/>
                      <a:ext cx="3603754" cy="2655465"/>
                    </a:xfrm>
                    <a:prstGeom prst="rect">
                      <a:avLst/>
                    </a:prstGeom>
                    <a:noFill/>
                    <a:ln>
                      <a:noFill/>
                    </a:ln>
                    <a:extLst>
                      <a:ext uri="{53640926-AAD7-44D8-BBD7-CCE9431645EC}">
                        <a14:shadowObscured xmlns:a14="http://schemas.microsoft.com/office/drawing/2010/main"/>
                      </a:ext>
                    </a:extLst>
                  </pic:spPr>
                </pic:pic>
              </a:graphicData>
            </a:graphic>
          </wp:inline>
        </w:drawing>
      </w:r>
    </w:p>
    <w:p w14:paraId="71411B5E" w14:textId="77777777" w:rsidR="003A1C47" w:rsidRDefault="003A1C47" w:rsidP="003A1C47"/>
    <w:p w14:paraId="5066B0AA" w14:textId="19298D82" w:rsidR="00A039F5" w:rsidRDefault="003A1C47" w:rsidP="003A1C47">
      <w:r>
        <w:rPr>
          <w:b/>
          <w:bCs/>
        </w:rPr>
        <w:t xml:space="preserve">Figure S8. </w:t>
      </w:r>
      <w:r w:rsidR="006A7970">
        <w:t xml:space="preserve">Particulate adenosine triphosphate (ATP) normalized to particulate phosphorus. </w:t>
      </w:r>
    </w:p>
    <w:p w14:paraId="4CC32FBD" w14:textId="77777777" w:rsidR="009E3035" w:rsidRDefault="009E3035" w:rsidP="003A1C47"/>
    <w:p w14:paraId="05BDE11B" w14:textId="77777777" w:rsidR="009E3035" w:rsidRDefault="009E3035" w:rsidP="003A1C47"/>
    <w:p w14:paraId="7E4C3C15" w14:textId="77777777" w:rsidR="009E3035" w:rsidRPr="003A1C47" w:rsidRDefault="009E3035" w:rsidP="003A1C47"/>
    <w:p w14:paraId="5297AAE2" w14:textId="77777777" w:rsidR="00565444" w:rsidRDefault="00565444" w:rsidP="00B71D07"/>
    <w:p w14:paraId="78596A21" w14:textId="34F2FDF9" w:rsidR="00A039F5" w:rsidRDefault="009B577A" w:rsidP="009717C7">
      <w:pPr>
        <w:jc w:val="center"/>
      </w:pPr>
      <w:r>
        <w:rPr>
          <w:noProof/>
        </w:rPr>
        <w:drawing>
          <wp:inline distT="0" distB="0" distL="0" distR="0" wp14:anchorId="4408D4F7" wp14:editId="0CF8842A">
            <wp:extent cx="3572510" cy="2590800"/>
            <wp:effectExtent l="0" t="0" r="0" b="0"/>
            <wp:docPr id="959017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10" cy="2590800"/>
                    </a:xfrm>
                    <a:prstGeom prst="rect">
                      <a:avLst/>
                    </a:prstGeom>
                    <a:noFill/>
                  </pic:spPr>
                </pic:pic>
              </a:graphicData>
            </a:graphic>
          </wp:inline>
        </w:drawing>
      </w:r>
    </w:p>
    <w:p w14:paraId="294FFA16" w14:textId="77777777" w:rsidR="009B577A" w:rsidRDefault="009B577A" w:rsidP="009717C7">
      <w:pPr>
        <w:jc w:val="center"/>
      </w:pPr>
    </w:p>
    <w:p w14:paraId="3174338D" w14:textId="0553499B" w:rsidR="00A039F5" w:rsidRDefault="00A039F5" w:rsidP="00A039F5">
      <w:r>
        <w:rPr>
          <w:b/>
          <w:bCs/>
        </w:rPr>
        <w:t xml:space="preserve">Figure S9. </w:t>
      </w:r>
      <w:r w:rsidR="00BB19D4" w:rsidRPr="00BB19D4">
        <w:t xml:space="preserve">Betaine </w:t>
      </w:r>
      <w:proofErr w:type="spellStart"/>
      <w:r w:rsidR="00BB19D4" w:rsidRPr="00BB19D4">
        <w:t>lipid:phosphatidylcholine</w:t>
      </w:r>
      <w:proofErr w:type="spellEnd"/>
      <w:r w:rsidR="00BB19D4" w:rsidRPr="00BB19D4">
        <w:t xml:space="preserve"> </w:t>
      </w:r>
      <w:r w:rsidR="009717C7">
        <w:t xml:space="preserve">(BL:PC) </w:t>
      </w:r>
      <w:r w:rsidR="00BB19D4" w:rsidRPr="00BB19D4">
        <w:t>ratios significantly correlated to the measured phosphate concentrations instead of nutrient supply treatment.</w:t>
      </w:r>
    </w:p>
    <w:p w14:paraId="71287386" w14:textId="37E4CEC5" w:rsidR="00BB19D4" w:rsidRDefault="00BB19D4">
      <w:pPr>
        <w:spacing w:after="160" w:line="259" w:lineRule="auto"/>
      </w:pPr>
      <w:r>
        <w:br w:type="page"/>
      </w:r>
    </w:p>
    <w:p w14:paraId="5FDD3567" w14:textId="17A1DE7D" w:rsidR="00BB19D4" w:rsidRDefault="000E62DB" w:rsidP="000E62DB">
      <w:pPr>
        <w:jc w:val="center"/>
      </w:pPr>
      <w:r>
        <w:rPr>
          <w:noProof/>
        </w:rPr>
        <w:lastRenderedPageBreak/>
        <w:drawing>
          <wp:inline distT="0" distB="0" distL="0" distR="0" wp14:anchorId="1834A40A" wp14:editId="2AFEF0D5">
            <wp:extent cx="3808737" cy="2152650"/>
            <wp:effectExtent l="0" t="0" r="1270" b="0"/>
            <wp:docPr id="1336925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4095" cy="2155678"/>
                    </a:xfrm>
                    <a:prstGeom prst="rect">
                      <a:avLst/>
                    </a:prstGeom>
                    <a:noFill/>
                  </pic:spPr>
                </pic:pic>
              </a:graphicData>
            </a:graphic>
          </wp:inline>
        </w:drawing>
      </w:r>
    </w:p>
    <w:p w14:paraId="6F99A573" w14:textId="65EA99DE" w:rsidR="000E62DB" w:rsidRPr="000E62DB" w:rsidRDefault="000E62DB" w:rsidP="000E62DB">
      <w:pPr>
        <w:rPr>
          <w:lang w:val="en-US"/>
        </w:rPr>
      </w:pPr>
      <w:r w:rsidRPr="000E62DB">
        <w:rPr>
          <w:b/>
          <w:bCs/>
          <w:lang w:val="en-US"/>
        </w:rPr>
        <w:t xml:space="preserve">Figure S10. </w:t>
      </w:r>
      <w:r w:rsidRPr="000E62DB">
        <w:rPr>
          <w:lang w:val="en-US"/>
        </w:rPr>
        <w:t xml:space="preserve">Relative abundance of </w:t>
      </w:r>
      <w:r w:rsidRPr="000E62DB">
        <w:rPr>
          <w:i/>
          <w:iCs/>
          <w:lang w:val="en-US"/>
        </w:rPr>
        <w:t>Pseudo-</w:t>
      </w:r>
      <w:proofErr w:type="spellStart"/>
      <w:r w:rsidRPr="000E62DB">
        <w:rPr>
          <w:i/>
          <w:iCs/>
          <w:lang w:val="en-US"/>
        </w:rPr>
        <w:t>nitzschia</w:t>
      </w:r>
      <w:proofErr w:type="spellEnd"/>
      <w:r w:rsidRPr="000E62DB">
        <w:rPr>
          <w:lang w:val="en-US"/>
        </w:rPr>
        <w:t xml:space="preserve"> compared to all other measured diatoms at the end of the experiment</w:t>
      </w:r>
      <w:r w:rsidR="00CA29A4">
        <w:rPr>
          <w:lang w:val="en-US"/>
        </w:rPr>
        <w:t xml:space="preserve">, determined by </w:t>
      </w:r>
      <w:r w:rsidR="0036144F">
        <w:rPr>
          <w:lang w:val="en-US"/>
        </w:rPr>
        <w:t>18S gene sequencing</w:t>
      </w:r>
      <w:r w:rsidRPr="000E62DB">
        <w:rPr>
          <w:lang w:val="en-US"/>
        </w:rPr>
        <w:t xml:space="preserve">. Each bar represents the average value for available mesocosm replicates for each treatment. </w:t>
      </w:r>
      <w:r w:rsidRPr="000E62DB">
        <w:rPr>
          <w:b/>
          <w:bCs/>
          <w:lang w:val="en-US"/>
        </w:rPr>
        <w:t xml:space="preserve"> </w:t>
      </w:r>
    </w:p>
    <w:p w14:paraId="28E5B789" w14:textId="77777777" w:rsidR="000E62DB" w:rsidRDefault="000E62DB" w:rsidP="000E62DB"/>
    <w:p w14:paraId="33B0BC62" w14:textId="77777777" w:rsidR="008541ED" w:rsidRDefault="008541ED" w:rsidP="000E62DB"/>
    <w:p w14:paraId="02ED84E6" w14:textId="77777777" w:rsidR="009E3035" w:rsidRDefault="009E3035" w:rsidP="000E62DB"/>
    <w:p w14:paraId="1D0218EA" w14:textId="77777777" w:rsidR="009E3035" w:rsidRDefault="009E3035" w:rsidP="000E62DB"/>
    <w:p w14:paraId="4681F0CD" w14:textId="741DBDD3" w:rsidR="005F6E7C" w:rsidRPr="005F6E7C" w:rsidRDefault="008541ED" w:rsidP="009E3035">
      <w:r>
        <w:rPr>
          <w:noProof/>
        </w:rPr>
        <w:drawing>
          <wp:inline distT="0" distB="0" distL="0" distR="0" wp14:anchorId="1FE5DF5B" wp14:editId="723DB9F7">
            <wp:extent cx="5592445" cy="2562624"/>
            <wp:effectExtent l="0" t="0" r="8255" b="9525"/>
            <wp:docPr id="1789837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534" cy="2572288"/>
                    </a:xfrm>
                    <a:prstGeom prst="rect">
                      <a:avLst/>
                    </a:prstGeom>
                    <a:noFill/>
                  </pic:spPr>
                </pic:pic>
              </a:graphicData>
            </a:graphic>
          </wp:inline>
        </w:drawing>
      </w:r>
      <w:r w:rsidR="005F6E7C" w:rsidRPr="005F6E7C">
        <w:rPr>
          <w:b/>
          <w:bCs/>
          <w:lang w:val="en-US"/>
        </w:rPr>
        <w:t xml:space="preserve">Figure S11. </w:t>
      </w:r>
      <w:r w:rsidR="004B4042" w:rsidRPr="00BB002C">
        <w:t>Observed N:P ratios in this study (</w:t>
      </w:r>
      <w:r w:rsidR="004B4042">
        <w:t>grey</w:t>
      </w:r>
      <w:r w:rsidR="004B4042" w:rsidRPr="00BB002C">
        <w:t xml:space="preserve">) </w:t>
      </w:r>
      <w:r w:rsidR="003D7A0C">
        <w:t xml:space="preserve">for all treatments </w:t>
      </w:r>
      <w:r w:rsidR="004B4042" w:rsidRPr="00BB002C">
        <w:t xml:space="preserve">compared to calculated N:P ratios </w:t>
      </w:r>
      <w:r w:rsidR="004B4042">
        <w:t xml:space="preserve">for our </w:t>
      </w:r>
      <w:r w:rsidR="00AA09E6">
        <w:t>measured</w:t>
      </w:r>
      <w:r w:rsidR="00701192">
        <w:t xml:space="preserve"> eukaryotic</w:t>
      </w:r>
      <w:r w:rsidR="004B4042">
        <w:t xml:space="preserve"> communities </w:t>
      </w:r>
      <w:r w:rsidR="00AA09E6">
        <w:t>using results from</w:t>
      </w:r>
      <w:r w:rsidR="004B4042" w:rsidRPr="00BB002C">
        <w:t xml:space="preserve"> the meta-analysis </w:t>
      </w:r>
      <w:r w:rsidR="007C17FB">
        <w:t>results</w:t>
      </w:r>
      <w:r w:rsidR="004B4042" w:rsidRPr="00BB002C">
        <w:t xml:space="preserve"> of </w:t>
      </w:r>
      <w:r w:rsidR="004B4042">
        <w:t>Sharoni and Halevy</w:t>
      </w:r>
      <w:r w:rsidR="007C17FB">
        <w:fldChar w:fldCharType="begin"/>
      </w:r>
      <w:r w:rsidR="000E0E01">
        <w:instrText xml:space="preserve"> ADDIN ZOTERO_ITEM CSL_CITATION {"citationID":"3ucGOCqt","properties":{"formattedCitation":"\\super 3\\nosupersub{}","plainCitation":"3","noteIndex":0},"citationItems":[{"id":225,"uris":["http://zotero.org/users/12104786/items/6EU4FDJV"],"itemData":{"id":225,"type":"article-journal","abstract":"Global patterns in organic matter stoichiometry are predicted by the population structure of well-adapted phytoplankton.\n          , \n            A common assumption of a constant nitrogen-to-phosphorus ratio (N:P) of 16:1 in marine particulate organic matter (POM) appears to be invalidated by observations of major spatial variations in N:P. Two main explanations have been proposed. The first attributes the N:P variability to changes in the community composition of well-adapted phytoplankton. The second proposes that variability arises from physiological acclimation involving intracellular adjustments of nutrient allocation under nutrient deficiency. Using a model of phytoplankton physiology, observational datasets, and a review of laboratory culture results, we assess the mechanistic basis of N:P variability. We find that the taxonomic composition of well-adapted phytoplankton best explains observed variations in POM N:P. Furthermore, we show that acclimation to nutrient deficiency may be safely neglected when considering the effects of ecology on POM N:P. These findings provide insight into the controls on global variability in POM composition and average phytoplankton physiological performance in the oceans.","container-title":"Science Advances","DOI":"10.1126/sciadv.aaw9371","ISSN":"2375-2548","issue":"29","journalAbbreviation":"Sci. Adv.","language":"en","page":"eaaw9371","source":"DOI.org (Crossref)","title":"Nutrient ratios in marine particulate organic matter are predicted by the population structure of well-adapted phytoplankton","volume":"6","author":[{"family":"Sharoni","given":"Shlomit"},{"family":"Halevy","given":"Itay"}],"issued":{"date-parts":[["2020",7,17]]}}}],"schema":"https://github.com/citation-style-language/schema/raw/master/csl-citation.json"} </w:instrText>
      </w:r>
      <w:r w:rsidR="007C17FB">
        <w:fldChar w:fldCharType="separate"/>
      </w:r>
      <w:r w:rsidR="000E0E01" w:rsidRPr="000E0E01">
        <w:rPr>
          <w:szCs w:val="24"/>
          <w:vertAlign w:val="superscript"/>
        </w:rPr>
        <w:t>3</w:t>
      </w:r>
      <w:r w:rsidR="007C17FB">
        <w:fldChar w:fldCharType="end"/>
      </w:r>
      <w:r w:rsidR="004B4042">
        <w:t xml:space="preserve"> </w:t>
      </w:r>
      <w:r w:rsidR="004B4042" w:rsidRPr="00BB002C">
        <w:t>for phytoplankton grown under nutrient replete (</w:t>
      </w:r>
      <w:r w:rsidR="004B4042">
        <w:t>green</w:t>
      </w:r>
      <w:r w:rsidR="004B4042" w:rsidRPr="00BB002C">
        <w:t>), nitrogen limited (</w:t>
      </w:r>
      <w:r w:rsidR="004B4042">
        <w:t>blue</w:t>
      </w:r>
      <w:r w:rsidR="004B4042" w:rsidRPr="00BB002C">
        <w:t>), and phosphorus limited (</w:t>
      </w:r>
      <w:r w:rsidR="004B4042">
        <w:t>purple</w:t>
      </w:r>
      <w:r w:rsidR="004B4042" w:rsidRPr="00BB002C">
        <w:t>) conditions</w:t>
      </w:r>
      <w:r w:rsidR="004B4042">
        <w:t xml:space="preserve"> (</w:t>
      </w:r>
      <w:r w:rsidR="004B4042">
        <w:rPr>
          <w:i/>
          <w:iCs/>
        </w:rPr>
        <w:t>a</w:t>
      </w:r>
      <w:r w:rsidR="004B4042">
        <w:t>)</w:t>
      </w:r>
      <w:r w:rsidR="004B4042" w:rsidRPr="00BB002C">
        <w:t>.</w:t>
      </w:r>
      <w:r w:rsidR="00D97FB1">
        <w:t xml:space="preserve"> </w:t>
      </w:r>
      <w:r w:rsidR="009A726A">
        <w:t xml:space="preserve">The eukaryotic groupings included diatoms, coccolithophores, </w:t>
      </w:r>
      <w:r w:rsidR="009E3035">
        <w:t>green algae, and dinoflagellates. The percent of the community represented by those groupings is presented in the accompanying table (</w:t>
      </w:r>
      <w:r w:rsidR="009E3035">
        <w:rPr>
          <w:i/>
          <w:iCs/>
        </w:rPr>
        <w:t>b</w:t>
      </w:r>
      <w:r w:rsidR="009E3035">
        <w:t>)</w:t>
      </w:r>
      <w:r w:rsidR="0036144F">
        <w:t>.</w:t>
      </w:r>
    </w:p>
    <w:p w14:paraId="21DE5690" w14:textId="5DD902B2" w:rsidR="005F6E7C" w:rsidRDefault="005F6E7C">
      <w:pPr>
        <w:spacing w:after="160" w:line="259" w:lineRule="auto"/>
      </w:pPr>
      <w:r>
        <w:br w:type="page"/>
      </w:r>
    </w:p>
    <w:p w14:paraId="69493C15" w14:textId="234DDCEE" w:rsidR="005F6E7C" w:rsidRDefault="00715FBC" w:rsidP="0079557A">
      <w:pPr>
        <w:jc w:val="center"/>
      </w:pPr>
      <w:r w:rsidRPr="00715FBC">
        <w:rPr>
          <w:noProof/>
        </w:rPr>
        <w:lastRenderedPageBreak/>
        <w:drawing>
          <wp:inline distT="0" distB="0" distL="0" distR="0" wp14:anchorId="7D214A62" wp14:editId="1CB68AF0">
            <wp:extent cx="4903076" cy="3767307"/>
            <wp:effectExtent l="0" t="0" r="0" b="5080"/>
            <wp:docPr id="28" name="Picture 27" descr="A graph with red dots and numbers&#10;&#10;Description automatically generated">
              <a:extLst xmlns:a="http://schemas.openxmlformats.org/drawingml/2006/main">
                <a:ext uri="{FF2B5EF4-FFF2-40B4-BE49-F238E27FC236}">
                  <a16:creationId xmlns:a16="http://schemas.microsoft.com/office/drawing/2014/main" id="{76FF5CED-3D98-D462-A8F2-CFA18A671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graph with red dots and numbers&#10;&#10;Description automatically generated">
                      <a:extLst>
                        <a:ext uri="{FF2B5EF4-FFF2-40B4-BE49-F238E27FC236}">
                          <a16:creationId xmlns:a16="http://schemas.microsoft.com/office/drawing/2014/main" id="{76FF5CED-3D98-D462-A8F2-CFA18A671B1F}"/>
                        </a:ext>
                      </a:extLst>
                    </pic:cNvPr>
                    <pic:cNvPicPr>
                      <a:picLocks noChangeAspect="1"/>
                    </pic:cNvPicPr>
                  </pic:nvPicPr>
                  <pic:blipFill>
                    <a:blip r:embed="rId16"/>
                    <a:stretch>
                      <a:fillRect/>
                    </a:stretch>
                  </pic:blipFill>
                  <pic:spPr>
                    <a:xfrm>
                      <a:off x="0" y="0"/>
                      <a:ext cx="4910305" cy="3772862"/>
                    </a:xfrm>
                    <a:prstGeom prst="rect">
                      <a:avLst/>
                    </a:prstGeom>
                  </pic:spPr>
                </pic:pic>
              </a:graphicData>
            </a:graphic>
          </wp:inline>
        </w:drawing>
      </w:r>
    </w:p>
    <w:p w14:paraId="0F854B0C" w14:textId="48A28CC9" w:rsidR="00F40A5A" w:rsidRDefault="00EC2EE5" w:rsidP="000E62DB">
      <w:r w:rsidRPr="00EC2EE5">
        <w:rPr>
          <w:b/>
          <w:bCs/>
          <w:lang w:val="en-US"/>
        </w:rPr>
        <w:t>Figure S12.</w:t>
      </w:r>
      <w:r w:rsidRPr="00EC2EE5">
        <w:rPr>
          <w:lang w:val="en-US"/>
        </w:rPr>
        <w:t xml:space="preserve"> </w:t>
      </w:r>
      <w:r w:rsidR="001F4D00">
        <w:t>Primary producers fix C from dissolved CO</w:t>
      </w:r>
      <w:r w:rsidR="001F4D00">
        <w:softHyphen/>
      </w:r>
      <w:r w:rsidR="001F4D00">
        <w:rPr>
          <w:vertAlign w:val="subscript"/>
        </w:rPr>
        <w:t>2</w:t>
      </w:r>
      <w:r w:rsidR="001F4D00">
        <w:t xml:space="preserve"> with </w:t>
      </w:r>
      <w:r w:rsidR="00E7298E">
        <w:t>macronutrients</w:t>
      </w:r>
      <w:r w:rsidR="00AD3D4B">
        <w:t xml:space="preserve"> at ratios near 106C: 16N: 1P</w:t>
      </w:r>
      <w:r w:rsidR="00016BE4">
        <w:t xml:space="preserve"> in the modern ocean</w:t>
      </w:r>
      <w:r w:rsidR="00AD3D4B">
        <w:t xml:space="preserve">. </w:t>
      </w:r>
      <w:r w:rsidR="009D6F21">
        <w:t xml:space="preserve">Regeneration of marine particles at depth </w:t>
      </w:r>
      <w:r w:rsidR="00BF6CAA">
        <w:t>isolates CO</w:t>
      </w:r>
      <w:r w:rsidR="00BF6CAA">
        <w:rPr>
          <w:vertAlign w:val="subscript"/>
        </w:rPr>
        <w:t>2</w:t>
      </w:r>
      <w:r w:rsidR="00BF6CAA">
        <w:t xml:space="preserve"> from the atmosphere and replenishes </w:t>
      </w:r>
      <w:r w:rsidR="007C59B6">
        <w:t>deepwater</w:t>
      </w:r>
      <w:r w:rsidR="00A83B2E">
        <w:t xml:space="preserve"> </w:t>
      </w:r>
      <w:r w:rsidR="00BF6CAA">
        <w:t>nutrients</w:t>
      </w:r>
      <w:r w:rsidR="00DA5118">
        <w:t xml:space="preserve"> reflecting that</w:t>
      </w:r>
      <w:r w:rsidR="00A83B2E">
        <w:t xml:space="preserve"> 16:1</w:t>
      </w:r>
      <w:r w:rsidR="00BF6CAA">
        <w:t xml:space="preserve"> </w:t>
      </w:r>
      <w:r w:rsidR="007C59B6">
        <w:t xml:space="preserve">N:P </w:t>
      </w:r>
      <w:r w:rsidR="00DA5118">
        <w:t xml:space="preserve">ratio. </w:t>
      </w:r>
      <w:r w:rsidR="008B7821">
        <w:t xml:space="preserve">Observations suggest that biological C:N requirements are relatively fixed near 106:16, but N:P </w:t>
      </w:r>
      <w:r w:rsidR="005E4BEE">
        <w:t xml:space="preserve">requirements are variable by taxa and </w:t>
      </w:r>
      <w:r w:rsidR="00B36EA3">
        <w:t xml:space="preserve">heightened by cellular </w:t>
      </w:r>
      <w:r w:rsidR="005E4BEE">
        <w:t>physiological acclimatio</w:t>
      </w:r>
      <w:r w:rsidR="00B36EA3">
        <w:t>n</w:t>
      </w:r>
      <w:r w:rsidR="005E4BEE">
        <w:t xml:space="preserve">. </w:t>
      </w:r>
      <w:r w:rsidR="003E5F87">
        <w:t xml:space="preserve">Assuming particulate C:N ratios </w:t>
      </w:r>
      <w:r w:rsidR="00290D1A">
        <w:t>are fixed</w:t>
      </w:r>
      <w:r w:rsidR="003E5F87">
        <w:t xml:space="preserve"> near Redfield (106:16)</w:t>
      </w:r>
      <w:r w:rsidR="0067722F">
        <w:t xml:space="preserve">, </w:t>
      </w:r>
      <w:r w:rsidR="00F44587">
        <w:t xml:space="preserve">we calculated </w:t>
      </w:r>
      <w:r w:rsidR="007B684D">
        <w:t xml:space="preserve">potential </w:t>
      </w:r>
      <w:r w:rsidR="00F44587">
        <w:t>changes in CO</w:t>
      </w:r>
      <w:r w:rsidR="00F44587">
        <w:rPr>
          <w:vertAlign w:val="subscript"/>
        </w:rPr>
        <w:t>2</w:t>
      </w:r>
      <w:r w:rsidR="007B684D">
        <w:rPr>
          <w:vertAlign w:val="subscript"/>
        </w:rPr>
        <w:t xml:space="preserve"> </w:t>
      </w:r>
      <w:r w:rsidR="008F1E91">
        <w:t>with globally shifted</w:t>
      </w:r>
      <w:r w:rsidR="007B684D">
        <w:t xml:space="preserve"> N:P ratios </w:t>
      </w:r>
      <w:r w:rsidR="007D23D6">
        <w:t xml:space="preserve">that </w:t>
      </w:r>
      <w:r w:rsidR="008F1E91">
        <w:t xml:space="preserve">fall within ranges of what is </w:t>
      </w:r>
      <w:r w:rsidR="00D6693C">
        <w:t>observed in our modern ocean</w:t>
      </w:r>
      <w:r w:rsidR="00FD7DB4">
        <w:t>, for example, in the North Atlantic (17.2:1) and the North Pacific (15:1)</w:t>
      </w:r>
      <w:r w:rsidR="00FD7DB4">
        <w:rPr>
          <w:lang w:val="en-US"/>
        </w:rPr>
        <w:fldChar w:fldCharType="begin"/>
      </w:r>
      <w:r w:rsidR="00FD7DB4">
        <w:rPr>
          <w:lang w:val="en-US"/>
        </w:rPr>
        <w:instrText xml:space="preserve"> ADDIN ZOTERO_ITEM CSL_CITATION {"citationID":"Y5gjLg01","properties":{"formattedCitation":"\\super 4\\nosupersub{}","plainCitation":"4","noteIndex":0},"citationItems":[{"id":1633,"uris":["http://zotero.org/users/12104786/items/W8D5JBZT"],"itemData":{"id":1633,"type":"article-journal","abstract":"Surface waters of the subtropical Sargasso Sea contain dissolved inorganic phosphate (DIP) concentrations of 0.2 to 1.0 nanomolar, which are sufficiently low to result in phosphorus control of primary production. The DIP concentrations in this area (which receives high inputs of iron-rich dust from arid regions of North Africa) are one to two orders of magnitude lower than surface levels in the North Pacific (where eolian iron inputs are much lower and water column denitrification is much more substantial). These data indicate a severe relative phosphorus depletion in the Atlantic. We hypothesize that nitrogen versus phosphorus limitation of primary production in the present-day ocean may be closely linked to iron supply through control of dinitrogen (N2) fixation, an iron-intensive metabolic process. Although the oceanic phosphorus inventory may set the upper limit for the total amount of organic matter produced in the ocean over geological time scales, at any instant in geological time, oceanic primary production may fall below this limit because of a persistent insufficient iron supply. By controlling N2 fixation, iron may control not only nitrogen versus phosphorus limitation but also carbon fixation and export stoichiometry and hence biological sequestration of atmospheric carbon dioxide.","container-title":"Science","DOI":"10.1126/science.289.5480.759","issue":"5480","note":"publisher: American Association for the Advancement of Science","page":"759-762","source":"www-science-org.libproxy1.usc.edu (Atypon)","title":"Phosphate depletion in the Western North Atlantic Ocean","volume":"289","author":[{"family":"Wu","given":"Jingfeng"},{"family":"Sunda","given":"William"},{"family":"Boyle","given":"Edward A."},{"family":"Karl","given":"David M."}],"issued":{"date-parts":[["2000",8,4]]}}}],"schema":"https://github.com/citation-style-language/schema/raw/master/csl-citation.json"} </w:instrText>
      </w:r>
      <w:r w:rsidR="00FD7DB4">
        <w:rPr>
          <w:lang w:val="en-US"/>
        </w:rPr>
        <w:fldChar w:fldCharType="separate"/>
      </w:r>
      <w:r w:rsidR="00FD7DB4" w:rsidRPr="000E0E01">
        <w:rPr>
          <w:szCs w:val="24"/>
          <w:vertAlign w:val="superscript"/>
        </w:rPr>
        <w:t>4</w:t>
      </w:r>
      <w:r w:rsidR="00FD7DB4">
        <w:rPr>
          <w:lang w:val="en-US"/>
        </w:rPr>
        <w:fldChar w:fldCharType="end"/>
      </w:r>
      <w:r w:rsidR="00D6693C">
        <w:t>.</w:t>
      </w:r>
      <w:r w:rsidR="00E7298E">
        <w:t xml:space="preserve"> </w:t>
      </w:r>
      <w:r w:rsidR="00E7298E" w:rsidRPr="00EC2EE5">
        <w:rPr>
          <w:lang w:val="en-US"/>
        </w:rPr>
        <w:t>The potential impacts on carbon cycling caused by changes in N:P are significant, being comparable in magnitude to increased change in ocean carbon storage during the LGM (</w:t>
      </w:r>
      <w:r w:rsidR="00E7298E">
        <w:rPr>
          <w:lang w:val="en-US"/>
        </w:rPr>
        <w:t>625</w:t>
      </w:r>
      <w:r w:rsidR="00E7298E" w:rsidRPr="00EC2EE5">
        <w:rPr>
          <w:lang w:val="en-US"/>
        </w:rPr>
        <w:t xml:space="preserve"> GT), and the total magnitude of anthropogenic CO2 input to the atmosphere (</w:t>
      </w:r>
      <w:r w:rsidR="00E7298E">
        <w:rPr>
          <w:lang w:val="en-US"/>
        </w:rPr>
        <w:t>24</w:t>
      </w:r>
      <w:r w:rsidR="00E7298E" w:rsidRPr="00EC2EE5">
        <w:rPr>
          <w:lang w:val="en-US"/>
        </w:rPr>
        <w:t xml:space="preserve">00 GT). </w:t>
      </w:r>
      <w:r w:rsidR="00470591">
        <w:t xml:space="preserve"> </w:t>
      </w:r>
    </w:p>
    <w:p w14:paraId="40B1779D" w14:textId="77777777" w:rsidR="00D52C36" w:rsidRDefault="00D52C36" w:rsidP="000E62DB"/>
    <w:p w14:paraId="73079427" w14:textId="77777777" w:rsidR="00FC554F" w:rsidRDefault="00FC554F" w:rsidP="000E62DB"/>
    <w:p w14:paraId="0F215DF5" w14:textId="77777777" w:rsidR="00FC554F" w:rsidRDefault="00FC554F" w:rsidP="000E62DB"/>
    <w:p w14:paraId="3BE1D7EE" w14:textId="77777777" w:rsidR="0036144F" w:rsidRDefault="0036144F">
      <w:pPr>
        <w:spacing w:after="160" w:line="259" w:lineRule="auto"/>
        <w:rPr>
          <w:b/>
          <w:bCs/>
        </w:rPr>
      </w:pPr>
      <w:r>
        <w:rPr>
          <w:b/>
          <w:bCs/>
        </w:rPr>
        <w:br w:type="page"/>
      </w:r>
    </w:p>
    <w:p w14:paraId="741363DA" w14:textId="3408423C" w:rsidR="00D52C36" w:rsidRDefault="00D52C36" w:rsidP="00FC554F">
      <w:r>
        <w:rPr>
          <w:b/>
          <w:bCs/>
        </w:rPr>
        <w:lastRenderedPageBreak/>
        <w:t>References</w:t>
      </w:r>
    </w:p>
    <w:p w14:paraId="0CC811F3" w14:textId="77777777" w:rsidR="000E0E01" w:rsidRPr="000E0E01" w:rsidRDefault="00D52C36" w:rsidP="000E0E01">
      <w:pPr>
        <w:pStyle w:val="Bibliography"/>
      </w:pPr>
      <w:r>
        <w:fldChar w:fldCharType="begin"/>
      </w:r>
      <w:r>
        <w:instrText xml:space="preserve"> ADDIN ZOTERO_BIBL {"uncited":[],"omitted":[],"custom":[]} CSL_BIBLIOGRAPHY </w:instrText>
      </w:r>
      <w:r>
        <w:fldChar w:fldCharType="separate"/>
      </w:r>
      <w:r w:rsidR="000E0E01" w:rsidRPr="000E0E01">
        <w:t>1.</w:t>
      </w:r>
      <w:r w:rsidR="000E0E01" w:rsidRPr="000E0E01">
        <w:tab/>
        <w:t xml:space="preserve">Tanioka, T. &amp; Matsumoto, K. Buffering of ocean export production by flexible elemental stoichiometry of particulate organic matter. </w:t>
      </w:r>
      <w:r w:rsidR="000E0E01" w:rsidRPr="000E0E01">
        <w:rPr>
          <w:i/>
          <w:iCs/>
        </w:rPr>
        <w:t>Glob. Biogeochem. Cycles</w:t>
      </w:r>
      <w:r w:rsidR="000E0E01" w:rsidRPr="000E0E01">
        <w:t xml:space="preserve"> </w:t>
      </w:r>
      <w:r w:rsidR="000E0E01" w:rsidRPr="000E0E01">
        <w:rPr>
          <w:b/>
          <w:bCs/>
        </w:rPr>
        <w:t>31</w:t>
      </w:r>
      <w:r w:rsidR="000E0E01" w:rsidRPr="000E0E01">
        <w:t>, 1528–1542 (2017).</w:t>
      </w:r>
    </w:p>
    <w:p w14:paraId="7265419C" w14:textId="77777777" w:rsidR="000E0E01" w:rsidRPr="000E0E01" w:rsidRDefault="000E0E01" w:rsidP="000E0E01">
      <w:pPr>
        <w:pStyle w:val="Bibliography"/>
      </w:pPr>
      <w:r w:rsidRPr="000E0E01">
        <w:t>2.</w:t>
      </w:r>
      <w:r w:rsidRPr="000E0E01">
        <w:tab/>
        <w:t xml:space="preserve">Böttjer-Wilson, D. </w:t>
      </w:r>
      <w:r w:rsidRPr="000E0E01">
        <w:rPr>
          <w:i/>
          <w:iCs/>
        </w:rPr>
        <w:t>et al.</w:t>
      </w:r>
      <w:r w:rsidRPr="000E0E01">
        <w:t xml:space="preserve"> Effects of nutrient enrichments on oligotrophic phytoplankton communities: a mesocosm experiment near Hawai‘i, USA. </w:t>
      </w:r>
      <w:r w:rsidRPr="000E0E01">
        <w:rPr>
          <w:i/>
          <w:iCs/>
        </w:rPr>
        <w:t>Aquat. Microb. Ecol.</w:t>
      </w:r>
      <w:r w:rsidRPr="000E0E01">
        <w:t xml:space="preserve"> </w:t>
      </w:r>
      <w:r w:rsidRPr="000E0E01">
        <w:rPr>
          <w:b/>
          <w:bCs/>
        </w:rPr>
        <w:t>87</w:t>
      </w:r>
      <w:r w:rsidRPr="000E0E01">
        <w:t>, 167–183 (2021).</w:t>
      </w:r>
    </w:p>
    <w:p w14:paraId="3192EF90" w14:textId="77777777" w:rsidR="000E0E01" w:rsidRPr="000E0E01" w:rsidRDefault="000E0E01" w:rsidP="000E0E01">
      <w:pPr>
        <w:pStyle w:val="Bibliography"/>
      </w:pPr>
      <w:r w:rsidRPr="000E0E01">
        <w:t>3.</w:t>
      </w:r>
      <w:r w:rsidRPr="000E0E01">
        <w:tab/>
        <w:t xml:space="preserve">Sharoni, S. &amp; Halevy, I. Nutrient ratios in marine particulate organic matter are predicted by the population structure of well-adapted phytoplankton. </w:t>
      </w:r>
      <w:r w:rsidRPr="000E0E01">
        <w:rPr>
          <w:i/>
          <w:iCs/>
        </w:rPr>
        <w:t>Sci. Adv.</w:t>
      </w:r>
      <w:r w:rsidRPr="000E0E01">
        <w:t xml:space="preserve"> </w:t>
      </w:r>
      <w:r w:rsidRPr="000E0E01">
        <w:rPr>
          <w:b/>
          <w:bCs/>
        </w:rPr>
        <w:t>6</w:t>
      </w:r>
      <w:r w:rsidRPr="000E0E01">
        <w:t>, eaaw9371 (2020).</w:t>
      </w:r>
    </w:p>
    <w:p w14:paraId="6CFD44BF" w14:textId="77777777" w:rsidR="000E0E01" w:rsidRPr="000E0E01" w:rsidRDefault="000E0E01" w:rsidP="000E0E01">
      <w:pPr>
        <w:pStyle w:val="Bibliography"/>
      </w:pPr>
      <w:r w:rsidRPr="000E0E01">
        <w:t>4.</w:t>
      </w:r>
      <w:r w:rsidRPr="000E0E01">
        <w:tab/>
        <w:t xml:space="preserve">Wu, J., Sunda, W., Boyle, E. A. &amp; Karl, D. M. Phosphate depletion in the Western North Atlantic Ocean. </w:t>
      </w:r>
      <w:r w:rsidRPr="000E0E01">
        <w:rPr>
          <w:i/>
          <w:iCs/>
        </w:rPr>
        <w:t>Science</w:t>
      </w:r>
      <w:r w:rsidRPr="000E0E01">
        <w:t xml:space="preserve"> </w:t>
      </w:r>
      <w:r w:rsidRPr="000E0E01">
        <w:rPr>
          <w:b/>
          <w:bCs/>
        </w:rPr>
        <w:t>289</w:t>
      </w:r>
      <w:r w:rsidRPr="000E0E01">
        <w:t>, 759–762 (2000).</w:t>
      </w:r>
    </w:p>
    <w:p w14:paraId="0D59503E" w14:textId="777FC2D5" w:rsidR="00D52C36" w:rsidRPr="00D52C36" w:rsidRDefault="00D52C36" w:rsidP="00FC554F">
      <w:r>
        <w:fldChar w:fldCharType="end"/>
      </w:r>
    </w:p>
    <w:sectPr w:rsidR="00D52C36" w:rsidRPr="00D52C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B51"/>
    <w:rsid w:val="00001E38"/>
    <w:rsid w:val="00016BE4"/>
    <w:rsid w:val="00021069"/>
    <w:rsid w:val="00021B75"/>
    <w:rsid w:val="000278AF"/>
    <w:rsid w:val="00073DB2"/>
    <w:rsid w:val="00087F77"/>
    <w:rsid w:val="000B197E"/>
    <w:rsid w:val="000C275F"/>
    <w:rsid w:val="000C42DC"/>
    <w:rsid w:val="000E0E01"/>
    <w:rsid w:val="000E62DB"/>
    <w:rsid w:val="00134B90"/>
    <w:rsid w:val="00144F23"/>
    <w:rsid w:val="00151D01"/>
    <w:rsid w:val="001A0668"/>
    <w:rsid w:val="001A1335"/>
    <w:rsid w:val="001F4D00"/>
    <w:rsid w:val="002027BD"/>
    <w:rsid w:val="002430EC"/>
    <w:rsid w:val="00243FC0"/>
    <w:rsid w:val="00290D1A"/>
    <w:rsid w:val="002A2705"/>
    <w:rsid w:val="002A2A08"/>
    <w:rsid w:val="002B158B"/>
    <w:rsid w:val="002D0AFA"/>
    <w:rsid w:val="002D196E"/>
    <w:rsid w:val="002E574F"/>
    <w:rsid w:val="003002AE"/>
    <w:rsid w:val="00346B01"/>
    <w:rsid w:val="0036144F"/>
    <w:rsid w:val="00383328"/>
    <w:rsid w:val="00395C17"/>
    <w:rsid w:val="003A1C47"/>
    <w:rsid w:val="003B2683"/>
    <w:rsid w:val="003D44B8"/>
    <w:rsid w:val="003D7A0C"/>
    <w:rsid w:val="003E5F87"/>
    <w:rsid w:val="00423E85"/>
    <w:rsid w:val="00470591"/>
    <w:rsid w:val="00477B3C"/>
    <w:rsid w:val="00496DEE"/>
    <w:rsid w:val="004B260F"/>
    <w:rsid w:val="004B3259"/>
    <w:rsid w:val="004B4042"/>
    <w:rsid w:val="004D4512"/>
    <w:rsid w:val="004E4B51"/>
    <w:rsid w:val="005354BA"/>
    <w:rsid w:val="00542334"/>
    <w:rsid w:val="00542C62"/>
    <w:rsid w:val="00562F0E"/>
    <w:rsid w:val="00565444"/>
    <w:rsid w:val="005B197D"/>
    <w:rsid w:val="005C288F"/>
    <w:rsid w:val="005D4BE1"/>
    <w:rsid w:val="005E4BEE"/>
    <w:rsid w:val="005F6E7C"/>
    <w:rsid w:val="0067722F"/>
    <w:rsid w:val="006869FE"/>
    <w:rsid w:val="00696C56"/>
    <w:rsid w:val="006A7970"/>
    <w:rsid w:val="006B6242"/>
    <w:rsid w:val="006C5DF1"/>
    <w:rsid w:val="006D5675"/>
    <w:rsid w:val="00701192"/>
    <w:rsid w:val="00704A5C"/>
    <w:rsid w:val="00715FBC"/>
    <w:rsid w:val="00745971"/>
    <w:rsid w:val="00766091"/>
    <w:rsid w:val="0079557A"/>
    <w:rsid w:val="007A2043"/>
    <w:rsid w:val="007B300B"/>
    <w:rsid w:val="007B684D"/>
    <w:rsid w:val="007C1258"/>
    <w:rsid w:val="007C17FB"/>
    <w:rsid w:val="007C59B6"/>
    <w:rsid w:val="007D23D6"/>
    <w:rsid w:val="00832E46"/>
    <w:rsid w:val="008541ED"/>
    <w:rsid w:val="00872BDD"/>
    <w:rsid w:val="0089737B"/>
    <w:rsid w:val="008A0133"/>
    <w:rsid w:val="008A20A8"/>
    <w:rsid w:val="008B18A9"/>
    <w:rsid w:val="008B2EA1"/>
    <w:rsid w:val="008B444C"/>
    <w:rsid w:val="008B7821"/>
    <w:rsid w:val="008D76E3"/>
    <w:rsid w:val="008F1C8A"/>
    <w:rsid w:val="008F1E91"/>
    <w:rsid w:val="00900367"/>
    <w:rsid w:val="009115A7"/>
    <w:rsid w:val="009464FF"/>
    <w:rsid w:val="00946EBC"/>
    <w:rsid w:val="00956BFC"/>
    <w:rsid w:val="009672C6"/>
    <w:rsid w:val="009717C7"/>
    <w:rsid w:val="00987439"/>
    <w:rsid w:val="009A726A"/>
    <w:rsid w:val="009B577A"/>
    <w:rsid w:val="009C26DB"/>
    <w:rsid w:val="009C458C"/>
    <w:rsid w:val="009C632E"/>
    <w:rsid w:val="009D6F21"/>
    <w:rsid w:val="009E3035"/>
    <w:rsid w:val="00A039F5"/>
    <w:rsid w:val="00A1605B"/>
    <w:rsid w:val="00A24AB4"/>
    <w:rsid w:val="00A47057"/>
    <w:rsid w:val="00A50F96"/>
    <w:rsid w:val="00A5586E"/>
    <w:rsid w:val="00A651FF"/>
    <w:rsid w:val="00A77C03"/>
    <w:rsid w:val="00A83B2E"/>
    <w:rsid w:val="00A91A75"/>
    <w:rsid w:val="00AA09E6"/>
    <w:rsid w:val="00AC2E9E"/>
    <w:rsid w:val="00AD3D4B"/>
    <w:rsid w:val="00AF40F1"/>
    <w:rsid w:val="00B052CA"/>
    <w:rsid w:val="00B36EA3"/>
    <w:rsid w:val="00B57902"/>
    <w:rsid w:val="00B6077F"/>
    <w:rsid w:val="00B71D07"/>
    <w:rsid w:val="00B73E4C"/>
    <w:rsid w:val="00B746DD"/>
    <w:rsid w:val="00B86D33"/>
    <w:rsid w:val="00B9133F"/>
    <w:rsid w:val="00BB19D4"/>
    <w:rsid w:val="00BD7C75"/>
    <w:rsid w:val="00BF6CAA"/>
    <w:rsid w:val="00C004F3"/>
    <w:rsid w:val="00C12F83"/>
    <w:rsid w:val="00C232E9"/>
    <w:rsid w:val="00C573FD"/>
    <w:rsid w:val="00C65EF6"/>
    <w:rsid w:val="00CA29A4"/>
    <w:rsid w:val="00CA31CC"/>
    <w:rsid w:val="00CE3295"/>
    <w:rsid w:val="00CF5A7A"/>
    <w:rsid w:val="00D41E24"/>
    <w:rsid w:val="00D434C3"/>
    <w:rsid w:val="00D47783"/>
    <w:rsid w:val="00D52C36"/>
    <w:rsid w:val="00D656FB"/>
    <w:rsid w:val="00D6693C"/>
    <w:rsid w:val="00D72386"/>
    <w:rsid w:val="00D87BA4"/>
    <w:rsid w:val="00D97FB1"/>
    <w:rsid w:val="00DA5118"/>
    <w:rsid w:val="00DA67C4"/>
    <w:rsid w:val="00E213AE"/>
    <w:rsid w:val="00E7298E"/>
    <w:rsid w:val="00E73077"/>
    <w:rsid w:val="00EB199D"/>
    <w:rsid w:val="00EC2EE5"/>
    <w:rsid w:val="00EC4ED9"/>
    <w:rsid w:val="00ED0D9F"/>
    <w:rsid w:val="00ED2C8B"/>
    <w:rsid w:val="00EE17A0"/>
    <w:rsid w:val="00F10E7C"/>
    <w:rsid w:val="00F1294C"/>
    <w:rsid w:val="00F40A5A"/>
    <w:rsid w:val="00F44587"/>
    <w:rsid w:val="00F75750"/>
    <w:rsid w:val="00F837B7"/>
    <w:rsid w:val="00FC554F"/>
    <w:rsid w:val="00FD7DB4"/>
    <w:rsid w:val="00FE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CD645B"/>
  <w15:chartTrackingRefBased/>
  <w15:docId w15:val="{666F242B-BF06-45B2-8D24-86A807A8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05B"/>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f01">
    <w:name w:val="cf01"/>
    <w:basedOn w:val="DefaultParagraphFont"/>
    <w:rsid w:val="00A1605B"/>
    <w:rPr>
      <w:rFonts w:ascii="Segoe UI" w:hAnsi="Segoe UI" w:cs="Segoe UI" w:hint="default"/>
      <w:sz w:val="18"/>
      <w:szCs w:val="18"/>
    </w:rPr>
  </w:style>
  <w:style w:type="paragraph" w:styleId="Bibliography">
    <w:name w:val="Bibliography"/>
    <w:basedOn w:val="Normal"/>
    <w:next w:val="Normal"/>
    <w:uiPriority w:val="37"/>
    <w:unhideWhenUsed/>
    <w:rsid w:val="00D52C36"/>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385">
      <w:bodyDiv w:val="1"/>
      <w:marLeft w:val="0"/>
      <w:marRight w:val="0"/>
      <w:marTop w:val="0"/>
      <w:marBottom w:val="0"/>
      <w:divBdr>
        <w:top w:val="none" w:sz="0" w:space="0" w:color="auto"/>
        <w:left w:val="none" w:sz="0" w:space="0" w:color="auto"/>
        <w:bottom w:val="none" w:sz="0" w:space="0" w:color="auto"/>
        <w:right w:val="none" w:sz="0" w:space="0" w:color="auto"/>
      </w:divBdr>
    </w:div>
    <w:div w:id="403454680">
      <w:bodyDiv w:val="1"/>
      <w:marLeft w:val="0"/>
      <w:marRight w:val="0"/>
      <w:marTop w:val="0"/>
      <w:marBottom w:val="0"/>
      <w:divBdr>
        <w:top w:val="none" w:sz="0" w:space="0" w:color="auto"/>
        <w:left w:val="none" w:sz="0" w:space="0" w:color="auto"/>
        <w:bottom w:val="none" w:sz="0" w:space="0" w:color="auto"/>
        <w:right w:val="none" w:sz="0" w:space="0" w:color="auto"/>
      </w:divBdr>
    </w:div>
    <w:div w:id="513881950">
      <w:bodyDiv w:val="1"/>
      <w:marLeft w:val="0"/>
      <w:marRight w:val="0"/>
      <w:marTop w:val="0"/>
      <w:marBottom w:val="0"/>
      <w:divBdr>
        <w:top w:val="none" w:sz="0" w:space="0" w:color="auto"/>
        <w:left w:val="none" w:sz="0" w:space="0" w:color="auto"/>
        <w:bottom w:val="none" w:sz="0" w:space="0" w:color="auto"/>
        <w:right w:val="none" w:sz="0" w:space="0" w:color="auto"/>
      </w:divBdr>
    </w:div>
    <w:div w:id="973369880">
      <w:bodyDiv w:val="1"/>
      <w:marLeft w:val="0"/>
      <w:marRight w:val="0"/>
      <w:marTop w:val="0"/>
      <w:marBottom w:val="0"/>
      <w:divBdr>
        <w:top w:val="none" w:sz="0" w:space="0" w:color="auto"/>
        <w:left w:val="none" w:sz="0" w:space="0" w:color="auto"/>
        <w:bottom w:val="none" w:sz="0" w:space="0" w:color="auto"/>
        <w:right w:val="none" w:sz="0" w:space="0" w:color="auto"/>
      </w:divBdr>
    </w:div>
    <w:div w:id="1572815565">
      <w:bodyDiv w:val="1"/>
      <w:marLeft w:val="0"/>
      <w:marRight w:val="0"/>
      <w:marTop w:val="0"/>
      <w:marBottom w:val="0"/>
      <w:divBdr>
        <w:top w:val="none" w:sz="0" w:space="0" w:color="auto"/>
        <w:left w:val="none" w:sz="0" w:space="0" w:color="auto"/>
        <w:bottom w:val="none" w:sz="0" w:space="0" w:color="auto"/>
        <w:right w:val="none" w:sz="0" w:space="0" w:color="auto"/>
      </w:divBdr>
    </w:div>
    <w:div w:id="1643777792">
      <w:bodyDiv w:val="1"/>
      <w:marLeft w:val="0"/>
      <w:marRight w:val="0"/>
      <w:marTop w:val="0"/>
      <w:marBottom w:val="0"/>
      <w:divBdr>
        <w:top w:val="none" w:sz="0" w:space="0" w:color="auto"/>
        <w:left w:val="none" w:sz="0" w:space="0" w:color="auto"/>
        <w:bottom w:val="none" w:sz="0" w:space="0" w:color="auto"/>
        <w:right w:val="none" w:sz="0" w:space="0" w:color="auto"/>
      </w:divBdr>
    </w:div>
    <w:div w:id="1650477695">
      <w:bodyDiv w:val="1"/>
      <w:marLeft w:val="0"/>
      <w:marRight w:val="0"/>
      <w:marTop w:val="0"/>
      <w:marBottom w:val="0"/>
      <w:divBdr>
        <w:top w:val="none" w:sz="0" w:space="0" w:color="auto"/>
        <w:left w:val="none" w:sz="0" w:space="0" w:color="auto"/>
        <w:bottom w:val="none" w:sz="0" w:space="0" w:color="auto"/>
        <w:right w:val="none" w:sz="0" w:space="0" w:color="auto"/>
      </w:divBdr>
    </w:div>
    <w:div w:id="2053922659">
      <w:bodyDiv w:val="1"/>
      <w:marLeft w:val="0"/>
      <w:marRight w:val="0"/>
      <w:marTop w:val="0"/>
      <w:marBottom w:val="0"/>
      <w:divBdr>
        <w:top w:val="none" w:sz="0" w:space="0" w:color="auto"/>
        <w:left w:val="none" w:sz="0" w:space="0" w:color="auto"/>
        <w:bottom w:val="none" w:sz="0" w:space="0" w:color="auto"/>
        <w:right w:val="none" w:sz="0" w:space="0" w:color="auto"/>
      </w:divBdr>
      <w:divsChild>
        <w:div w:id="1635450962">
          <w:marLeft w:val="0"/>
          <w:marRight w:val="0"/>
          <w:marTop w:val="0"/>
          <w:marBottom w:val="0"/>
          <w:divBdr>
            <w:top w:val="none" w:sz="0" w:space="0" w:color="auto"/>
            <w:left w:val="none" w:sz="0" w:space="0" w:color="auto"/>
            <w:bottom w:val="none" w:sz="0" w:space="0" w:color="auto"/>
            <w:right w:val="none" w:sz="0" w:space="0" w:color="auto"/>
          </w:divBdr>
          <w:divsChild>
            <w:div w:id="695545882">
              <w:marLeft w:val="0"/>
              <w:marRight w:val="0"/>
              <w:marTop w:val="0"/>
              <w:marBottom w:val="0"/>
              <w:divBdr>
                <w:top w:val="none" w:sz="0" w:space="0" w:color="auto"/>
                <w:left w:val="none" w:sz="0" w:space="0" w:color="auto"/>
                <w:bottom w:val="none" w:sz="0" w:space="0" w:color="auto"/>
                <w:right w:val="none" w:sz="0" w:space="0" w:color="auto"/>
              </w:divBdr>
              <w:divsChild>
                <w:div w:id="1072897854">
                  <w:marLeft w:val="0"/>
                  <w:marRight w:val="0"/>
                  <w:marTop w:val="0"/>
                  <w:marBottom w:val="0"/>
                  <w:divBdr>
                    <w:top w:val="none" w:sz="0" w:space="0" w:color="auto"/>
                    <w:left w:val="none" w:sz="0" w:space="0" w:color="auto"/>
                    <w:bottom w:val="none" w:sz="0" w:space="0" w:color="auto"/>
                    <w:right w:val="none" w:sz="0" w:space="0" w:color="auto"/>
                  </w:divBdr>
                </w:div>
              </w:divsChild>
            </w:div>
            <w:div w:id="1635912698">
              <w:marLeft w:val="0"/>
              <w:marRight w:val="0"/>
              <w:marTop w:val="0"/>
              <w:marBottom w:val="0"/>
              <w:divBdr>
                <w:top w:val="none" w:sz="0" w:space="0" w:color="auto"/>
                <w:left w:val="none" w:sz="0" w:space="0" w:color="auto"/>
                <w:bottom w:val="none" w:sz="0" w:space="0" w:color="auto"/>
                <w:right w:val="none" w:sz="0" w:space="0" w:color="auto"/>
              </w:divBdr>
            </w:div>
          </w:divsChild>
        </w:div>
        <w:div w:id="549076673">
          <w:marLeft w:val="0"/>
          <w:marRight w:val="0"/>
          <w:marTop w:val="0"/>
          <w:marBottom w:val="0"/>
          <w:divBdr>
            <w:top w:val="none" w:sz="0" w:space="0" w:color="auto"/>
            <w:left w:val="none" w:sz="0" w:space="0" w:color="auto"/>
            <w:bottom w:val="none" w:sz="0" w:space="0" w:color="auto"/>
            <w:right w:val="none" w:sz="0" w:space="0" w:color="auto"/>
          </w:divBdr>
          <w:divsChild>
            <w:div w:id="1190297566">
              <w:marLeft w:val="-300"/>
              <w:marRight w:val="0"/>
              <w:marTop w:val="0"/>
              <w:marBottom w:val="0"/>
              <w:divBdr>
                <w:top w:val="none" w:sz="0" w:space="0" w:color="auto"/>
                <w:left w:val="none" w:sz="0" w:space="0" w:color="auto"/>
                <w:bottom w:val="none" w:sz="0" w:space="0" w:color="auto"/>
                <w:right w:val="none" w:sz="0" w:space="0" w:color="auto"/>
              </w:divBdr>
              <w:divsChild>
                <w:div w:id="15869127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4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3088</Words>
  <Characters>17606</Characters>
  <Application>Microsoft Office Word</Application>
  <DocSecurity>0</DocSecurity>
  <Lines>146</Lines>
  <Paragraphs>41</Paragraphs>
  <ScaleCrop>false</ScaleCrop>
  <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Ann Seelen</dc:creator>
  <cp:keywords/>
  <dc:description/>
  <cp:lastModifiedBy>Emily Ann Seelen</cp:lastModifiedBy>
  <cp:revision>4</cp:revision>
  <dcterms:created xsi:type="dcterms:W3CDTF">2024-04-01T20:45:00Z</dcterms:created>
  <dcterms:modified xsi:type="dcterms:W3CDTF">2024-04-02T03:01:00Z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id="uE3Y5Ii6"/&gt;&lt;style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