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F84B3" w14:textId="163F719F" w:rsidR="00A67E51" w:rsidRDefault="00A67E51" w:rsidP="00A67E51">
      <w:pPr>
        <w:pStyle w:val="Body"/>
        <w:tabs>
          <w:tab w:val="right" w:pos="360"/>
          <w:tab w:val="left" w:pos="540"/>
        </w:tabs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Supplement</w:t>
      </w:r>
    </w:p>
    <w:p w14:paraId="1AF6919E" w14:textId="77777777" w:rsidR="00A6266A" w:rsidRPr="00A6266A" w:rsidRDefault="00A6266A" w:rsidP="00A67E51">
      <w:pPr>
        <w:pStyle w:val="Body"/>
        <w:tabs>
          <w:tab w:val="right" w:pos="360"/>
          <w:tab w:val="left" w:pos="540"/>
        </w:tabs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77C81EEB" w14:textId="2B5E821F" w:rsidR="00A67E51" w:rsidRDefault="00A6266A" w:rsidP="00A6266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rFonts w:ascii="Calibri" w:eastAsia="Calibri" w:hAnsi="Calibri" w:cs="Calibri"/>
          <w:b/>
          <w:bCs/>
          <w:color w:val="3D3C40"/>
          <w:sz w:val="20"/>
          <w:szCs w:val="20"/>
          <w:u w:color="3D3C40"/>
        </w:rPr>
      </w:pPr>
      <w:r>
        <w:rPr>
          <w:rFonts w:ascii="Calibri" w:eastAsia="Calibri" w:hAnsi="Calibri" w:cs="Calibri"/>
          <w:b/>
          <w:bCs/>
          <w:color w:val="3D3C40"/>
          <w:sz w:val="20"/>
          <w:szCs w:val="20"/>
          <w:u w:color="3D3C40"/>
        </w:rPr>
        <w:t xml:space="preserve">Please note that </w:t>
      </w:r>
      <w:r>
        <w:rPr>
          <w:rFonts w:asciiTheme="minorEastAsia" w:eastAsiaTheme="minorEastAsia" w:hAnsiTheme="minorEastAsia" w:cs="Calibri" w:hint="eastAsia"/>
          <w:b/>
          <w:bCs/>
          <w:color w:val="3D3C40"/>
          <w:sz w:val="20"/>
          <w:szCs w:val="20"/>
          <w:u w:color="3D3C40"/>
        </w:rPr>
        <w:t>the</w:t>
      </w:r>
      <w:r>
        <w:rPr>
          <w:rFonts w:ascii="Calibri" w:eastAsia="Calibri" w:hAnsi="Calibri" w:cs="Calibri"/>
          <w:b/>
          <w:bCs/>
          <w:color w:val="3D3C40"/>
          <w:sz w:val="20"/>
          <w:szCs w:val="20"/>
          <w:u w:color="3D3C40"/>
        </w:rPr>
        <w:t xml:space="preserve"> nanoparticle shape is set as cuboid in the supplementary materials while the other parameter such as damping factor is the same as that in the main article.</w:t>
      </w:r>
    </w:p>
    <w:p w14:paraId="17A5D1B3" w14:textId="77777777" w:rsidR="00A6266A" w:rsidRPr="00A6266A" w:rsidRDefault="00A6266A" w:rsidP="00A6266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rFonts w:ascii="Calibri" w:eastAsiaTheme="minorEastAsia" w:hAnsi="Calibri" w:cs="Calibri"/>
          <w:b/>
          <w:bCs/>
          <w:color w:val="3D3C40"/>
          <w:sz w:val="20"/>
          <w:szCs w:val="20"/>
          <w:u w:color="3D3C40"/>
        </w:rPr>
      </w:pPr>
    </w:p>
    <w:p w14:paraId="519FFC61" w14:textId="17BAE3F6" w:rsidR="007829A1" w:rsidRPr="00722ED0" w:rsidRDefault="00A67E51" w:rsidP="007829A1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A67E5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EFDA3F1" wp14:editId="4DC20D86">
            <wp:extent cx="4424289" cy="3216743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1563" cy="32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1E57E" w14:textId="4E2D09A4" w:rsidR="007829A1" w:rsidRPr="00722ED0" w:rsidRDefault="007829A1" w:rsidP="007829A1">
      <w:pPr>
        <w:spacing w:beforeLines="50" w:before="156" w:afterLines="50" w:after="156"/>
        <w:rPr>
          <w:rFonts w:ascii="Times New Roman" w:hAnsi="Times New Roman" w:cs="Times New Roman"/>
          <w:sz w:val="22"/>
        </w:rPr>
      </w:pPr>
      <w:r w:rsidRPr="00AB4529">
        <w:rPr>
          <w:rFonts w:ascii="Times New Roman" w:hAnsi="Times New Roman" w:cs="Times New Roman"/>
          <w:b/>
          <w:kern w:val="0"/>
          <w:sz w:val="24"/>
        </w:rPr>
        <w:t>Supplementary Fig</w:t>
      </w:r>
      <w:r w:rsidRPr="00AB4529">
        <w:rPr>
          <w:rFonts w:ascii="Times New Roman" w:hAnsi="Times New Roman" w:cs="Times New Roman" w:hint="eastAsia"/>
          <w:b/>
          <w:kern w:val="0"/>
          <w:sz w:val="24"/>
        </w:rPr>
        <w:t>ure</w:t>
      </w:r>
      <w:r w:rsidRPr="00AB4529">
        <w:rPr>
          <w:rFonts w:ascii="Times New Roman" w:hAnsi="Times New Roman" w:cs="Times New Roman"/>
          <w:b/>
          <w:kern w:val="0"/>
          <w:sz w:val="24"/>
        </w:rPr>
        <w:t xml:space="preserve"> S1</w:t>
      </w:r>
      <w:r w:rsidRPr="00AB4529">
        <w:rPr>
          <w:rFonts w:ascii="Times New Roman" w:hAnsi="Times New Roman" w:cs="Times New Roman"/>
          <w:b/>
          <w:sz w:val="22"/>
        </w:rPr>
        <w:t>.</w:t>
      </w:r>
      <w:r w:rsidRPr="00722ED0">
        <w:rPr>
          <w:rFonts w:ascii="Times New Roman" w:hAnsi="Times New Roman" w:cs="Times New Roman"/>
          <w:sz w:val="22"/>
        </w:rPr>
        <w:t xml:space="preserve"> </w:t>
      </w:r>
      <w:r w:rsidR="00F13738">
        <w:rPr>
          <w:rFonts w:ascii="Times New Roman" w:hAnsi="Times New Roman" w:cs="Times New Roman"/>
          <w:sz w:val="22"/>
        </w:rPr>
        <w:t xml:space="preserve">(Left) </w:t>
      </w:r>
      <w:r w:rsidR="007E0F7D">
        <w:rPr>
          <w:rFonts w:ascii="Times New Roman" w:hAnsi="Times New Roman" w:cs="Times New Roman"/>
          <w:sz w:val="22"/>
        </w:rPr>
        <w:t xml:space="preserve">The calculated permeability of iron-cobalt alloy in the main article. (Right) The experimental permeability data of iron-cobalt alloy from ref. [9]. </w:t>
      </w:r>
    </w:p>
    <w:p w14:paraId="2189BE84" w14:textId="4EC44490" w:rsidR="007829A1" w:rsidRDefault="007829A1"/>
    <w:p w14:paraId="5A872B71" w14:textId="414CDF61" w:rsidR="00A67E51" w:rsidRDefault="00A67E51"/>
    <w:p w14:paraId="3D225F56" w14:textId="50537CBB" w:rsidR="00145069" w:rsidRDefault="008641BA">
      <w:r w:rsidRPr="008641BA">
        <w:drawing>
          <wp:inline distT="0" distB="0" distL="0" distR="0" wp14:anchorId="2DE4FFC8" wp14:editId="089614DF">
            <wp:extent cx="5274310" cy="19894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59B7C" w14:textId="29D2A0BF" w:rsidR="00145069" w:rsidRPr="00593874" w:rsidRDefault="00145069" w:rsidP="00145069">
      <w:pPr>
        <w:rPr>
          <w:rFonts w:ascii="Times New Roman" w:hAnsi="Times New Roman" w:cs="Times New Roman" w:hint="eastAsia"/>
          <w:sz w:val="24"/>
        </w:rPr>
      </w:pPr>
      <w:r w:rsidRPr="00AB4529">
        <w:rPr>
          <w:rFonts w:ascii="Times New Roman" w:hAnsi="Times New Roman" w:cs="Times New Roman"/>
          <w:b/>
          <w:kern w:val="0"/>
          <w:sz w:val="24"/>
        </w:rPr>
        <w:t>Supplementary Fig</w:t>
      </w:r>
      <w:r w:rsidRPr="00AB4529">
        <w:rPr>
          <w:rFonts w:ascii="Times New Roman" w:hAnsi="Times New Roman" w:cs="Times New Roman" w:hint="eastAsia"/>
          <w:b/>
          <w:kern w:val="0"/>
          <w:sz w:val="24"/>
        </w:rPr>
        <w:t>ure</w:t>
      </w:r>
      <w:r w:rsidRPr="00AB4529">
        <w:rPr>
          <w:rFonts w:ascii="Times New Roman" w:hAnsi="Times New Roman" w:cs="Times New Roman"/>
          <w:b/>
          <w:kern w:val="0"/>
          <w:sz w:val="24"/>
        </w:rPr>
        <w:t xml:space="preserve"> S</w:t>
      </w:r>
      <w:r>
        <w:rPr>
          <w:rFonts w:ascii="Times New Roman" w:hAnsi="Times New Roman" w:cs="Times New Roman"/>
          <w:b/>
          <w:kern w:val="0"/>
          <w:sz w:val="24"/>
        </w:rPr>
        <w:t>2</w:t>
      </w:r>
      <w:r w:rsidRPr="00AB4529">
        <w:rPr>
          <w:rFonts w:ascii="Times New Roman" w:hAnsi="Times New Roman" w:cs="Times New Roman"/>
          <w:b/>
          <w:sz w:val="22"/>
        </w:rPr>
        <w:t>.</w:t>
      </w:r>
      <w:r w:rsidRPr="00593874">
        <w:rPr>
          <w:rFonts w:ascii="Times New Roman" w:hAnsi="Times New Roman" w:cs="Times New Roman"/>
          <w:sz w:val="22"/>
        </w:rPr>
        <w:t xml:space="preserve"> (a) Imaginary part and (b) real part of the permeability vs frequency of </w:t>
      </w:r>
      <w:r>
        <w:rPr>
          <w:rFonts w:ascii="Times New Roman" w:hAnsi="Times New Roman" w:cs="Times New Roman" w:hint="eastAsia"/>
          <w:sz w:val="22"/>
        </w:rPr>
        <w:t>cuboid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shape</w:t>
      </w:r>
      <w:r w:rsidRPr="00593874">
        <w:rPr>
          <w:rFonts w:ascii="Times New Roman" w:hAnsi="Times New Roman" w:cs="Times New Roman"/>
          <w:sz w:val="22"/>
        </w:rPr>
        <w:t xml:space="preserve"> nanoparticle</w:t>
      </w:r>
      <w:r w:rsidR="00CB0A1A">
        <w:rPr>
          <w:rFonts w:ascii="Times New Roman" w:hAnsi="Times New Roman" w:cs="Times New Roman" w:hint="eastAsia"/>
          <w:sz w:val="22"/>
        </w:rPr>
        <w:t>s</w:t>
      </w:r>
      <w:bookmarkStart w:id="0" w:name="_GoBack"/>
      <w:bookmarkEnd w:id="0"/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with</w:t>
      </w:r>
      <w:r w:rsidRPr="00593874">
        <w:rPr>
          <w:rFonts w:ascii="Times New Roman" w:hAnsi="Times New Roman" w:cs="Times New Roman"/>
          <w:sz w:val="22"/>
        </w:rPr>
        <w:t xml:space="preserve"> distances between 10 nm and </w:t>
      </w:r>
      <w:r>
        <w:rPr>
          <w:rFonts w:ascii="Times New Roman" w:hAnsi="Times New Roman" w:cs="Times New Roman"/>
          <w:sz w:val="22"/>
        </w:rPr>
        <w:t>2</w:t>
      </w:r>
      <w:r w:rsidRPr="00593874">
        <w:rPr>
          <w:rFonts w:ascii="Times New Roman" w:hAnsi="Times New Roman" w:cs="Times New Roman"/>
          <w:sz w:val="22"/>
        </w:rPr>
        <w:t>0 nm.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/>
          <w:sz w:val="22"/>
        </w:rPr>
        <w:t>Results of the permeab</w:t>
      </w:r>
      <w:r w:rsidR="008641BA">
        <w:rPr>
          <w:rFonts w:ascii="Times New Roman" w:hAnsi="Times New Roman" w:cs="Times New Roman" w:hint="eastAsia"/>
          <w:sz w:val="22"/>
        </w:rPr>
        <w:t>i</w:t>
      </w:r>
      <w:r w:rsidR="008641BA">
        <w:rPr>
          <w:rFonts w:ascii="Times New Roman" w:hAnsi="Times New Roman" w:cs="Times New Roman"/>
          <w:sz w:val="22"/>
        </w:rPr>
        <w:t>lity indicated that the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cuboid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shape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nanoparticles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have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the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similar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behavior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with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the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spherical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nanoparticles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in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the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main</w:t>
      </w:r>
      <w:r w:rsidR="008641BA">
        <w:rPr>
          <w:rFonts w:ascii="Times New Roman" w:hAnsi="Times New Roman" w:cs="Times New Roman"/>
          <w:sz w:val="22"/>
        </w:rPr>
        <w:t xml:space="preserve"> </w:t>
      </w:r>
      <w:r w:rsidR="008641BA">
        <w:rPr>
          <w:rFonts w:ascii="Times New Roman" w:hAnsi="Times New Roman" w:cs="Times New Roman" w:hint="eastAsia"/>
          <w:sz w:val="22"/>
        </w:rPr>
        <w:t>article</w:t>
      </w:r>
      <w:r w:rsidR="008641BA">
        <w:rPr>
          <w:rFonts w:ascii="Times New Roman" w:hAnsi="Times New Roman" w:cs="Times New Roman"/>
          <w:sz w:val="22"/>
        </w:rPr>
        <w:t>.</w:t>
      </w:r>
    </w:p>
    <w:p w14:paraId="035E3C6C" w14:textId="5140A7BE" w:rsidR="00145069" w:rsidRPr="00145069" w:rsidRDefault="00145069"/>
    <w:p w14:paraId="386FF9D1" w14:textId="3ACF9FF1" w:rsidR="00145069" w:rsidRDefault="00145069"/>
    <w:p w14:paraId="21F33EDB" w14:textId="77777777" w:rsidR="00145069" w:rsidRPr="00145069" w:rsidRDefault="00145069" w:rsidP="007829A1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</w:p>
    <w:p w14:paraId="043766B3" w14:textId="22AEAB6D" w:rsidR="007829A1" w:rsidRPr="00722ED0" w:rsidRDefault="00A67E51" w:rsidP="007829A1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6A8620A" wp14:editId="2D78DB5C">
            <wp:extent cx="2567927" cy="1744653"/>
            <wp:effectExtent l="0" t="0" r="444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20" cy="176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E5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894D09F" wp14:editId="63A625C4">
            <wp:extent cx="2561166" cy="1740062"/>
            <wp:effectExtent l="0" t="0" r="0" b="0"/>
            <wp:docPr id="4" name="图片 4" descr="C:\Users\ZJ\Desktop\投的文章\附件\增的据\组分二\real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J\Desktop\投的文章\附件\增的据\组分二\real_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20" cy="175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B8644" w14:textId="68644BE9" w:rsidR="007829A1" w:rsidRPr="00722ED0" w:rsidRDefault="007829A1" w:rsidP="007829A1">
      <w:pPr>
        <w:rPr>
          <w:rFonts w:ascii="Times New Roman" w:hAnsi="Times New Roman" w:cs="Times New Roman"/>
          <w:sz w:val="24"/>
        </w:rPr>
      </w:pPr>
      <w:r w:rsidRPr="00AB4529">
        <w:rPr>
          <w:rFonts w:ascii="Times New Roman" w:hAnsi="Times New Roman" w:cs="Times New Roman"/>
          <w:b/>
          <w:kern w:val="0"/>
          <w:sz w:val="24"/>
        </w:rPr>
        <w:t>Supplementary Fig</w:t>
      </w:r>
      <w:r w:rsidRPr="00AB4529">
        <w:rPr>
          <w:rFonts w:ascii="Times New Roman" w:hAnsi="Times New Roman" w:cs="Times New Roman" w:hint="eastAsia"/>
          <w:b/>
          <w:kern w:val="0"/>
          <w:sz w:val="24"/>
        </w:rPr>
        <w:t>ure</w:t>
      </w:r>
      <w:r w:rsidRPr="00AB4529">
        <w:rPr>
          <w:rFonts w:ascii="Times New Roman" w:hAnsi="Times New Roman" w:cs="Times New Roman"/>
          <w:b/>
          <w:kern w:val="0"/>
          <w:sz w:val="24"/>
        </w:rPr>
        <w:t xml:space="preserve"> S</w:t>
      </w:r>
      <w:r w:rsidR="00145069">
        <w:rPr>
          <w:rFonts w:ascii="Times New Roman" w:hAnsi="Times New Roman" w:cs="Times New Roman"/>
          <w:b/>
          <w:kern w:val="0"/>
          <w:sz w:val="24"/>
        </w:rPr>
        <w:t>3</w:t>
      </w:r>
      <w:r w:rsidRPr="00AB4529">
        <w:rPr>
          <w:rFonts w:ascii="Times New Roman" w:hAnsi="Times New Roman" w:cs="Times New Roman"/>
          <w:b/>
          <w:sz w:val="22"/>
        </w:rPr>
        <w:t>.</w:t>
      </w:r>
      <w:r w:rsidRPr="00722ED0">
        <w:rPr>
          <w:rFonts w:ascii="Times New Roman" w:hAnsi="Times New Roman" w:cs="Times New Roman"/>
          <w:sz w:val="22"/>
        </w:rPr>
        <w:t xml:space="preserve"> (a) Imaginary part and (b) real part of the permeability vs frequency of iron-cobalt alloy with various </w:t>
      </w:r>
      <w:r w:rsidR="00A67E51">
        <w:rPr>
          <w:rFonts w:ascii="Times New Roman" w:hAnsi="Times New Roman" w:cs="Times New Roman"/>
          <w:sz w:val="22"/>
        </w:rPr>
        <w:t>C</w:t>
      </w:r>
      <w:r w:rsidR="00A67E51">
        <w:rPr>
          <w:rFonts w:ascii="Times New Roman" w:hAnsi="Times New Roman" w:cs="Times New Roman" w:hint="eastAsia"/>
          <w:sz w:val="22"/>
        </w:rPr>
        <w:t>o</w:t>
      </w:r>
      <w:r w:rsidR="00A67E51">
        <w:rPr>
          <w:rFonts w:ascii="Times New Roman" w:hAnsi="Times New Roman" w:cs="Times New Roman"/>
          <w:sz w:val="22"/>
        </w:rPr>
        <w:t xml:space="preserve"> </w:t>
      </w:r>
      <w:r w:rsidR="00A67E51">
        <w:rPr>
          <w:rFonts w:ascii="Times New Roman" w:hAnsi="Times New Roman" w:cs="Times New Roman" w:hint="eastAsia"/>
          <w:sz w:val="22"/>
        </w:rPr>
        <w:t>compositions</w:t>
      </w:r>
      <w:r w:rsidRPr="00722ED0">
        <w:rPr>
          <w:rFonts w:ascii="Times New Roman" w:hAnsi="Times New Roman" w:cs="Times New Roman"/>
          <w:sz w:val="22"/>
        </w:rPr>
        <w:t>.</w:t>
      </w:r>
      <w:r w:rsidR="007E0F7D">
        <w:rPr>
          <w:rFonts w:ascii="Times New Roman" w:hAnsi="Times New Roman" w:cs="Times New Roman"/>
          <w:sz w:val="22"/>
        </w:rPr>
        <w:t xml:space="preserve"> Results of the permeablity indicated that the real permeability and natural resonance frequency increase as the Co composition increases, which is mainly attributed to the increase in </w:t>
      </w:r>
      <w:r w:rsidR="00280A83" w:rsidRPr="00280A83">
        <w:rPr>
          <w:rFonts w:ascii="Times New Roman" w:hAnsi="Times New Roman" w:cs="Times New Roman"/>
          <w:sz w:val="22"/>
        </w:rPr>
        <w:t xml:space="preserve">anisotropy </w:t>
      </w:r>
      <w:r w:rsidR="00280A83">
        <w:rPr>
          <w:rFonts w:ascii="Times New Roman" w:hAnsi="Times New Roman" w:cs="Times New Roman"/>
          <w:sz w:val="22"/>
        </w:rPr>
        <w:t>constant.</w:t>
      </w:r>
    </w:p>
    <w:p w14:paraId="153E3518" w14:textId="53126C6D" w:rsidR="007829A1" w:rsidRPr="007E0F7D" w:rsidRDefault="007829A1"/>
    <w:p w14:paraId="349BBB7F" w14:textId="5574D399" w:rsidR="007829A1" w:rsidRPr="00A67771" w:rsidRDefault="007829A1"/>
    <w:p w14:paraId="40D3A572" w14:textId="77777777" w:rsidR="00042DDF" w:rsidRPr="00722ED0" w:rsidRDefault="00042DDF" w:rsidP="00042DD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kern w:val="0"/>
          <w:sz w:val="24"/>
        </w:rPr>
        <w:t xml:space="preserve">Supplementary </w:t>
      </w:r>
      <w:r w:rsidRPr="00722ED0">
        <w:rPr>
          <w:rFonts w:ascii="Times New Roman" w:hAnsi="Times New Roman" w:cs="Times New Roman" w:hint="eastAsia"/>
          <w:b/>
          <w:sz w:val="24"/>
        </w:rPr>
        <w:t>T</w:t>
      </w:r>
      <w:r w:rsidRPr="00722ED0">
        <w:rPr>
          <w:rFonts w:ascii="Times New Roman" w:hAnsi="Times New Roman" w:cs="Times New Roman"/>
          <w:b/>
          <w:sz w:val="24"/>
        </w:rPr>
        <w:t xml:space="preserve">able </w:t>
      </w:r>
      <w:r>
        <w:rPr>
          <w:rFonts w:ascii="Times New Roman" w:hAnsi="Times New Roman" w:cs="Times New Roman"/>
          <w:b/>
          <w:sz w:val="24"/>
        </w:rPr>
        <w:t>S</w:t>
      </w:r>
      <w:r w:rsidRPr="00722ED0">
        <w:rPr>
          <w:rFonts w:ascii="Times New Roman" w:hAnsi="Times New Roman" w:cs="Times New Roman"/>
          <w:b/>
          <w:sz w:val="24"/>
        </w:rPr>
        <w:t>1.</w:t>
      </w:r>
      <w:r w:rsidRPr="00722ED0">
        <w:rPr>
          <w:rFonts w:ascii="Times New Roman" w:hAnsi="Times New Roman" w:cs="Times New Roman"/>
          <w:sz w:val="24"/>
        </w:rPr>
        <w:t xml:space="preserve"> The iron and cobalt material parameters used in micromagnetic simulations.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48"/>
        <w:gridCol w:w="1301"/>
        <w:gridCol w:w="1301"/>
        <w:gridCol w:w="1301"/>
        <w:gridCol w:w="1301"/>
      </w:tblGrid>
      <w:tr w:rsidR="00042DDF" w:rsidRPr="00722ED0" w14:paraId="3EAC8762" w14:textId="77777777" w:rsidTr="00FD4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tcBorders>
              <w:top w:val="single" w:sz="8" w:space="0" w:color="auto"/>
              <w:bottom w:val="single" w:sz="8" w:space="0" w:color="auto"/>
            </w:tcBorders>
          </w:tcPr>
          <w:p w14:paraId="127EE1C1" w14:textId="77777777" w:rsidR="00042DDF" w:rsidRPr="00722ED0" w:rsidRDefault="00042DDF" w:rsidP="00FD4B54">
            <w:pPr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 w:hint="eastAsia"/>
                <w:sz w:val="24"/>
              </w:rPr>
              <w:t>M</w:t>
            </w:r>
            <w:r w:rsidRPr="00722ED0">
              <w:rPr>
                <w:rFonts w:ascii="Times New Roman" w:hAnsi="Times New Roman" w:cs="Times New Roman"/>
                <w:sz w:val="24"/>
              </w:rPr>
              <w:t>aterial type</w:t>
            </w:r>
          </w:p>
        </w:tc>
        <w:tc>
          <w:tcPr>
            <w:tcW w:w="1301" w:type="dxa"/>
            <w:tcBorders>
              <w:top w:val="single" w:sz="8" w:space="0" w:color="auto"/>
              <w:bottom w:val="single" w:sz="8" w:space="0" w:color="auto"/>
            </w:tcBorders>
          </w:tcPr>
          <w:p w14:paraId="28A76CB3" w14:textId="77777777" w:rsidR="00042DDF" w:rsidRPr="00722ED0" w:rsidRDefault="00042DDF" w:rsidP="00FD4B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22ED0">
              <w:rPr>
                <w:rFonts w:ascii="Times New Roman" w:hAnsi="Times New Roman" w:cs="Times New Roman" w:hint="eastAsia"/>
                <w:sz w:val="24"/>
              </w:rPr>
              <w:t>M</w:t>
            </w:r>
            <w:r w:rsidRPr="00722ED0">
              <w:rPr>
                <w:rFonts w:ascii="Times New Roman" w:hAnsi="Times New Roman" w:cs="Times New Roman"/>
                <w:sz w:val="24"/>
                <w:vertAlign w:val="subscript"/>
              </w:rPr>
              <w:t>s</w:t>
            </w:r>
            <w:proofErr w:type="spellEnd"/>
            <w:r w:rsidRPr="00722ED0">
              <w:rPr>
                <w:rFonts w:ascii="Times New Roman" w:hAnsi="Times New Roman" w:cs="Times New Roman"/>
                <w:sz w:val="24"/>
              </w:rPr>
              <w:t xml:space="preserve"> (A/m)</w:t>
            </w:r>
          </w:p>
        </w:tc>
        <w:tc>
          <w:tcPr>
            <w:tcW w:w="1301" w:type="dxa"/>
            <w:tcBorders>
              <w:top w:val="single" w:sz="8" w:space="0" w:color="auto"/>
              <w:bottom w:val="single" w:sz="8" w:space="0" w:color="auto"/>
            </w:tcBorders>
          </w:tcPr>
          <w:p w14:paraId="3A01E2B9" w14:textId="77777777" w:rsidR="00042DDF" w:rsidRPr="00722ED0" w:rsidRDefault="00042DDF" w:rsidP="00FD4B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22ED0">
              <w:rPr>
                <w:rFonts w:ascii="Times New Roman" w:hAnsi="Times New Roman" w:cs="Times New Roman" w:hint="eastAsia"/>
                <w:sz w:val="24"/>
              </w:rPr>
              <w:t>A</w:t>
            </w:r>
            <w:r w:rsidRPr="00722ED0">
              <w:rPr>
                <w:rFonts w:ascii="Times New Roman" w:hAnsi="Times New Roman" w:cs="Times New Roman"/>
                <w:sz w:val="24"/>
                <w:vertAlign w:val="subscript"/>
              </w:rPr>
              <w:t>ex</w:t>
            </w:r>
            <w:proofErr w:type="spellEnd"/>
            <w:r w:rsidRPr="00722ED0">
              <w:rPr>
                <w:rFonts w:ascii="Times New Roman" w:hAnsi="Times New Roman" w:cs="Times New Roman"/>
                <w:sz w:val="24"/>
              </w:rPr>
              <w:t xml:space="preserve"> (J/m)</w:t>
            </w:r>
          </w:p>
        </w:tc>
        <w:tc>
          <w:tcPr>
            <w:tcW w:w="1301" w:type="dxa"/>
            <w:tcBorders>
              <w:top w:val="single" w:sz="8" w:space="0" w:color="auto"/>
              <w:bottom w:val="single" w:sz="8" w:space="0" w:color="auto"/>
            </w:tcBorders>
          </w:tcPr>
          <w:p w14:paraId="7563A8EC" w14:textId="77777777" w:rsidR="00042DDF" w:rsidRPr="00722ED0" w:rsidRDefault="00042DDF" w:rsidP="00FD4B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 w:hint="eastAsia"/>
                <w:sz w:val="24"/>
              </w:rPr>
              <w:t>K</w:t>
            </w:r>
            <w:r w:rsidRPr="00722ED0">
              <w:rPr>
                <w:rFonts w:ascii="Times New Roman" w:hAnsi="Times New Roman" w:cs="Times New Roman"/>
                <w:sz w:val="24"/>
              </w:rPr>
              <w:t xml:space="preserve"> (J/m</w:t>
            </w:r>
            <w:r w:rsidRPr="00722ED0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722ED0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bottom w:val="single" w:sz="8" w:space="0" w:color="auto"/>
            </w:tcBorders>
          </w:tcPr>
          <w:p w14:paraId="0B545E26" w14:textId="77777777" w:rsidR="00042DDF" w:rsidRPr="00722ED0" w:rsidRDefault="00042DDF" w:rsidP="00FD4B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 w:hint="eastAsia"/>
                <w:sz w:val="24"/>
              </w:rPr>
              <w:t>R</w:t>
            </w:r>
            <w:r w:rsidRPr="00722ED0">
              <w:rPr>
                <w:rFonts w:ascii="Times New Roman" w:hAnsi="Times New Roman" w:cs="Times New Roman"/>
                <w:sz w:val="24"/>
              </w:rPr>
              <w:t>ef.</w:t>
            </w:r>
          </w:p>
        </w:tc>
      </w:tr>
      <w:tr w:rsidR="00042DDF" w:rsidRPr="00722ED0" w14:paraId="3B546A73" w14:textId="77777777" w:rsidTr="00FD4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tcBorders>
              <w:top w:val="single" w:sz="8" w:space="0" w:color="auto"/>
              <w:bottom w:val="nil"/>
            </w:tcBorders>
          </w:tcPr>
          <w:p w14:paraId="7BD2A18D" w14:textId="77777777" w:rsidR="00042DDF" w:rsidRPr="00722ED0" w:rsidRDefault="00042DDF" w:rsidP="00FD4B54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722ED0">
              <w:rPr>
                <w:rFonts w:ascii="Times New Roman" w:hAnsi="Times New Roman" w:cs="Times New Roman"/>
                <w:b w:val="0"/>
                <w:sz w:val="24"/>
              </w:rPr>
              <w:t>Cobalt</w:t>
            </w:r>
          </w:p>
        </w:tc>
        <w:tc>
          <w:tcPr>
            <w:tcW w:w="1301" w:type="dxa"/>
            <w:tcBorders>
              <w:top w:val="single" w:sz="8" w:space="0" w:color="auto"/>
              <w:bottom w:val="nil"/>
            </w:tcBorders>
          </w:tcPr>
          <w:p w14:paraId="5A8C8E17" w14:textId="77777777" w:rsidR="00042DDF" w:rsidRPr="00722ED0" w:rsidRDefault="00042DDF" w:rsidP="00FD4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/>
                <w:sz w:val="24"/>
              </w:rPr>
              <w:t>1.4</w:t>
            </w:r>
            <w:r w:rsidRPr="00722ED0">
              <w:rPr>
                <w:rFonts w:ascii="等线" w:eastAsia="等线" w:hAnsi="等线" w:cs="Times New Roman" w:hint="eastAsia"/>
                <w:sz w:val="22"/>
              </w:rPr>
              <w:t>◊</w:t>
            </w:r>
            <w:r w:rsidRPr="00722ED0">
              <w:rPr>
                <w:rFonts w:ascii="Times New Roman" w:hAnsi="Times New Roman" w:cs="Times New Roman"/>
                <w:sz w:val="24"/>
              </w:rPr>
              <w:t>10</w:t>
            </w:r>
            <w:r w:rsidRPr="00722ED0">
              <w:rPr>
                <w:rFonts w:ascii="Times New Roman" w:hAnsi="Times New Roman" w:cs="Times New Roman"/>
                <w:sz w:val="24"/>
                <w:vertAlign w:val="superscript"/>
              </w:rPr>
              <w:t>6</w:t>
            </w:r>
          </w:p>
        </w:tc>
        <w:tc>
          <w:tcPr>
            <w:tcW w:w="1301" w:type="dxa"/>
            <w:tcBorders>
              <w:top w:val="single" w:sz="8" w:space="0" w:color="auto"/>
              <w:bottom w:val="nil"/>
            </w:tcBorders>
          </w:tcPr>
          <w:p w14:paraId="5D33E989" w14:textId="77777777" w:rsidR="00042DDF" w:rsidRPr="00722ED0" w:rsidRDefault="00042DDF" w:rsidP="00FD4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722ED0">
              <w:rPr>
                <w:rFonts w:ascii="Times New Roman" w:hAnsi="Times New Roman" w:cs="Times New Roman"/>
                <w:sz w:val="24"/>
              </w:rPr>
              <w:t>4</w:t>
            </w:r>
            <w:r w:rsidRPr="00722ED0">
              <w:rPr>
                <w:rFonts w:ascii="等线" w:eastAsia="等线" w:hAnsi="等线" w:cs="Times New Roman" w:hint="eastAsia"/>
                <w:sz w:val="22"/>
              </w:rPr>
              <w:t>◊</w:t>
            </w:r>
            <w:r w:rsidRPr="00722ED0">
              <w:rPr>
                <w:rFonts w:ascii="Times New Roman" w:eastAsia="等线" w:hAnsi="Times New Roman" w:cs="Times New Roman"/>
                <w:sz w:val="24"/>
              </w:rPr>
              <w:t>10</w:t>
            </w:r>
            <w:r w:rsidRPr="00722ED0">
              <w:rPr>
                <w:rFonts w:ascii="Times New Roman" w:eastAsia="等线" w:hAnsi="Times New Roman" w:cs="Times New Roman"/>
                <w:sz w:val="24"/>
                <w:vertAlign w:val="superscript"/>
              </w:rPr>
              <w:t>-12</w:t>
            </w:r>
          </w:p>
        </w:tc>
        <w:tc>
          <w:tcPr>
            <w:tcW w:w="1301" w:type="dxa"/>
            <w:tcBorders>
              <w:top w:val="single" w:sz="8" w:space="0" w:color="auto"/>
              <w:bottom w:val="nil"/>
            </w:tcBorders>
          </w:tcPr>
          <w:p w14:paraId="2B931D2A" w14:textId="77777777" w:rsidR="00042DDF" w:rsidRPr="00722ED0" w:rsidRDefault="00042DDF" w:rsidP="00FD4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/>
                <w:sz w:val="24"/>
              </w:rPr>
              <w:t>53</w:t>
            </w:r>
            <w:r w:rsidRPr="00722ED0">
              <w:rPr>
                <w:rFonts w:ascii="等线" w:eastAsia="等线" w:hAnsi="等线" w:cs="Times New Roman" w:hint="eastAsia"/>
                <w:sz w:val="22"/>
              </w:rPr>
              <w:t>◊</w:t>
            </w:r>
            <w:r w:rsidRPr="00722ED0">
              <w:rPr>
                <w:rFonts w:ascii="Times New Roman" w:hAnsi="Times New Roman" w:cs="Times New Roman"/>
                <w:sz w:val="24"/>
              </w:rPr>
              <w:t>10</w:t>
            </w:r>
            <w:r w:rsidRPr="00722ED0">
              <w:rPr>
                <w:rFonts w:ascii="Times New Roman" w:hAnsi="Times New Roman" w:cs="Times New Roman"/>
                <w:sz w:val="24"/>
                <w:vertAlign w:val="superscript"/>
              </w:rPr>
              <w:t>4</w:t>
            </w:r>
          </w:p>
        </w:tc>
        <w:tc>
          <w:tcPr>
            <w:tcW w:w="1301" w:type="dxa"/>
            <w:tcBorders>
              <w:top w:val="single" w:sz="8" w:space="0" w:color="auto"/>
              <w:bottom w:val="nil"/>
            </w:tcBorders>
          </w:tcPr>
          <w:p w14:paraId="45D2996B" w14:textId="77777777" w:rsidR="00042DDF" w:rsidRPr="00722ED0" w:rsidRDefault="00042DDF" w:rsidP="00FD4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 w:hint="eastAsia"/>
                <w:sz w:val="24"/>
              </w:rPr>
              <w:t>[</w:t>
            </w:r>
            <w:r w:rsidRPr="00722ED0">
              <w:rPr>
                <w:rFonts w:ascii="Times New Roman" w:hAnsi="Times New Roman" w:cs="Times New Roman"/>
                <w:sz w:val="24"/>
              </w:rPr>
              <w:t>14]</w:t>
            </w:r>
          </w:p>
        </w:tc>
      </w:tr>
      <w:tr w:rsidR="00042DDF" w:rsidRPr="00722ED0" w14:paraId="388BBDAE" w14:textId="77777777" w:rsidTr="00FD4B54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tcBorders>
              <w:top w:val="nil"/>
              <w:bottom w:val="single" w:sz="12" w:space="0" w:color="auto"/>
            </w:tcBorders>
          </w:tcPr>
          <w:p w14:paraId="308489AE" w14:textId="77777777" w:rsidR="00042DDF" w:rsidRPr="00722ED0" w:rsidRDefault="00042DDF" w:rsidP="00FD4B54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722ED0">
              <w:rPr>
                <w:rFonts w:ascii="Times New Roman" w:hAnsi="Times New Roman" w:cs="Times New Roman"/>
                <w:b w:val="0"/>
                <w:sz w:val="24"/>
              </w:rPr>
              <w:t>Iron</w:t>
            </w:r>
          </w:p>
        </w:tc>
        <w:tc>
          <w:tcPr>
            <w:tcW w:w="1301" w:type="dxa"/>
            <w:tcBorders>
              <w:top w:val="nil"/>
              <w:bottom w:val="single" w:sz="12" w:space="0" w:color="auto"/>
            </w:tcBorders>
          </w:tcPr>
          <w:p w14:paraId="67A2B21F" w14:textId="77777777" w:rsidR="00042DDF" w:rsidRPr="00722ED0" w:rsidRDefault="00042DDF" w:rsidP="00FD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722ED0">
              <w:rPr>
                <w:rFonts w:ascii="Times New Roman" w:hAnsi="Times New Roman" w:cs="Times New Roman"/>
                <w:sz w:val="24"/>
              </w:rPr>
              <w:t>.7</w:t>
            </w:r>
            <w:r w:rsidRPr="00722ED0">
              <w:rPr>
                <w:rFonts w:ascii="等线" w:eastAsia="等线" w:hAnsi="等线" w:cs="Times New Roman" w:hint="eastAsia"/>
                <w:sz w:val="22"/>
              </w:rPr>
              <w:t>◊</w:t>
            </w:r>
            <w:r w:rsidRPr="00722ED0">
              <w:rPr>
                <w:rFonts w:ascii="Times New Roman" w:hAnsi="Times New Roman" w:cs="Times New Roman"/>
                <w:sz w:val="24"/>
              </w:rPr>
              <w:t>10</w:t>
            </w:r>
            <w:r w:rsidRPr="00722ED0">
              <w:rPr>
                <w:rFonts w:ascii="Times New Roman" w:hAnsi="Times New Roman" w:cs="Times New Roman"/>
                <w:sz w:val="24"/>
                <w:vertAlign w:val="superscript"/>
              </w:rPr>
              <w:t>6</w:t>
            </w:r>
          </w:p>
        </w:tc>
        <w:tc>
          <w:tcPr>
            <w:tcW w:w="1301" w:type="dxa"/>
            <w:tcBorders>
              <w:top w:val="nil"/>
              <w:bottom w:val="single" w:sz="12" w:space="0" w:color="auto"/>
            </w:tcBorders>
          </w:tcPr>
          <w:p w14:paraId="67984E43" w14:textId="77777777" w:rsidR="00042DDF" w:rsidRPr="00722ED0" w:rsidRDefault="00042DDF" w:rsidP="00FD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/>
                <w:sz w:val="24"/>
              </w:rPr>
              <w:t>21</w:t>
            </w:r>
            <w:r w:rsidRPr="00722ED0">
              <w:rPr>
                <w:rFonts w:ascii="等线" w:eastAsia="等线" w:hAnsi="等线" w:cs="Times New Roman" w:hint="eastAsia"/>
                <w:sz w:val="22"/>
              </w:rPr>
              <w:t>◊</w:t>
            </w:r>
            <w:r w:rsidRPr="00722ED0">
              <w:rPr>
                <w:rFonts w:ascii="Times New Roman" w:eastAsia="等线" w:hAnsi="Times New Roman" w:cs="Times New Roman"/>
                <w:sz w:val="24"/>
              </w:rPr>
              <w:t>10</w:t>
            </w:r>
            <w:r w:rsidRPr="00722ED0">
              <w:rPr>
                <w:rFonts w:ascii="Times New Roman" w:eastAsia="等线" w:hAnsi="Times New Roman" w:cs="Times New Roman"/>
                <w:sz w:val="24"/>
                <w:vertAlign w:val="superscript"/>
              </w:rPr>
              <w:t>-12</w:t>
            </w:r>
          </w:p>
        </w:tc>
        <w:tc>
          <w:tcPr>
            <w:tcW w:w="1301" w:type="dxa"/>
            <w:tcBorders>
              <w:top w:val="nil"/>
              <w:bottom w:val="single" w:sz="12" w:space="0" w:color="auto"/>
            </w:tcBorders>
          </w:tcPr>
          <w:p w14:paraId="58FF5BF8" w14:textId="77777777" w:rsidR="00042DDF" w:rsidRPr="00722ED0" w:rsidRDefault="00042DDF" w:rsidP="00FD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/>
                <w:sz w:val="24"/>
              </w:rPr>
              <w:t>4.8</w:t>
            </w:r>
            <w:r w:rsidRPr="00722ED0">
              <w:rPr>
                <w:rFonts w:ascii="等线" w:eastAsia="等线" w:hAnsi="等线" w:cs="Times New Roman" w:hint="eastAsia"/>
                <w:sz w:val="22"/>
              </w:rPr>
              <w:t>◊</w:t>
            </w:r>
            <w:r w:rsidRPr="00722ED0">
              <w:rPr>
                <w:rFonts w:ascii="Times New Roman" w:hAnsi="Times New Roman" w:cs="Times New Roman"/>
                <w:sz w:val="24"/>
              </w:rPr>
              <w:t>10</w:t>
            </w:r>
            <w:r w:rsidRPr="00722ED0">
              <w:rPr>
                <w:rFonts w:ascii="Times New Roman" w:hAnsi="Times New Roman" w:cs="Times New Roman"/>
                <w:sz w:val="24"/>
                <w:vertAlign w:val="superscript"/>
              </w:rPr>
              <w:t>4</w:t>
            </w:r>
          </w:p>
        </w:tc>
        <w:tc>
          <w:tcPr>
            <w:tcW w:w="1301" w:type="dxa"/>
            <w:tcBorders>
              <w:top w:val="nil"/>
              <w:bottom w:val="single" w:sz="12" w:space="0" w:color="auto"/>
            </w:tcBorders>
          </w:tcPr>
          <w:p w14:paraId="57782E0E" w14:textId="77777777" w:rsidR="00042DDF" w:rsidRPr="00722ED0" w:rsidRDefault="00042DDF" w:rsidP="00FD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22ED0">
              <w:rPr>
                <w:rFonts w:ascii="Times New Roman" w:hAnsi="Times New Roman" w:cs="Times New Roman" w:hint="eastAsia"/>
                <w:sz w:val="24"/>
              </w:rPr>
              <w:t>[</w:t>
            </w:r>
            <w:r w:rsidRPr="00722ED0">
              <w:rPr>
                <w:rFonts w:ascii="Times New Roman" w:hAnsi="Times New Roman" w:cs="Times New Roman"/>
                <w:sz w:val="24"/>
              </w:rPr>
              <w:t>15]</w:t>
            </w:r>
          </w:p>
        </w:tc>
      </w:tr>
    </w:tbl>
    <w:p w14:paraId="7DE673F6" w14:textId="77777777" w:rsidR="007829A1" w:rsidRPr="007829A1" w:rsidRDefault="007829A1"/>
    <w:sectPr w:rsidR="007829A1" w:rsidRPr="00782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51"/>
    <w:rsid w:val="00042DDF"/>
    <w:rsid w:val="000D4605"/>
    <w:rsid w:val="00145069"/>
    <w:rsid w:val="00280A83"/>
    <w:rsid w:val="00482431"/>
    <w:rsid w:val="005817CF"/>
    <w:rsid w:val="007829A1"/>
    <w:rsid w:val="007E0F7D"/>
    <w:rsid w:val="008641BA"/>
    <w:rsid w:val="008A068D"/>
    <w:rsid w:val="00A6266A"/>
    <w:rsid w:val="00A67771"/>
    <w:rsid w:val="00A67E51"/>
    <w:rsid w:val="00B64551"/>
    <w:rsid w:val="00CB0A1A"/>
    <w:rsid w:val="00E077D5"/>
    <w:rsid w:val="00F13738"/>
    <w:rsid w:val="00F8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69861"/>
  <w15:chartTrackingRefBased/>
  <w15:docId w15:val="{9DBC337A-C0B0-4FFB-A5CB-2E2D7167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9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042DD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ody">
    <w:name w:val="Body"/>
    <w:rsid w:val="00A67E51"/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</w:rPr>
  </w:style>
  <w:style w:type="paragraph" w:customStyle="1" w:styleId="Default">
    <w:name w:val="Default"/>
    <w:rsid w:val="00A626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kern w:val="0"/>
      <w:sz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ZJ</cp:lastModifiedBy>
  <cp:revision>18</cp:revision>
  <dcterms:created xsi:type="dcterms:W3CDTF">2024-02-28T03:28:00Z</dcterms:created>
  <dcterms:modified xsi:type="dcterms:W3CDTF">2024-03-07T06:44:00Z</dcterms:modified>
</cp:coreProperties>
</file>