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26F8B" w14:textId="77777777" w:rsidR="00C944DC" w:rsidRPr="00354934" w:rsidRDefault="00C944DC" w:rsidP="00C944DC">
      <w:pPr>
        <w:spacing w:after="0"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54934">
        <w:rPr>
          <w:rFonts w:asciiTheme="majorBidi" w:hAnsiTheme="majorBidi" w:cstheme="majorBidi"/>
          <w:b/>
          <w:bCs/>
          <w:sz w:val="28"/>
          <w:szCs w:val="28"/>
        </w:rPr>
        <w:t>Graphical Abstract</w:t>
      </w:r>
    </w:p>
    <w:p w14:paraId="763DD5CC" w14:textId="77777777" w:rsidR="00C944DC" w:rsidRPr="00354934" w:rsidRDefault="00C944DC" w:rsidP="00C944DC">
      <w:pPr>
        <w:spacing w:after="0"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3D3FFD0E" w14:textId="77777777" w:rsidR="00C944DC" w:rsidRPr="009F4AF8" w:rsidRDefault="00C944DC" w:rsidP="00C944D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9F4AF8">
        <w:rPr>
          <w:rFonts w:asciiTheme="majorBidi" w:hAnsiTheme="majorBidi" w:cstheme="majorBidi"/>
          <w:b/>
          <w:bCs/>
          <w:sz w:val="28"/>
          <w:szCs w:val="28"/>
        </w:rPr>
        <w:t>Synthesis of heterostructure ferromagnetic photocatalyst</w:t>
      </w:r>
      <w:r w:rsidRPr="009F4AF8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FMMWCNTs@GLYMO@WO</w:t>
      </w:r>
      <w:r w:rsidRPr="009F4AF8">
        <w:rPr>
          <w:rFonts w:asciiTheme="majorBidi" w:hAnsiTheme="majorBidi" w:cstheme="majorBidi"/>
          <w:b/>
          <w:bCs/>
          <w:sz w:val="28"/>
          <w:szCs w:val="28"/>
          <w:vertAlign w:val="subscript"/>
          <w:lang w:val="en-US"/>
        </w:rPr>
        <w:t xml:space="preserve">3 </w:t>
      </w:r>
      <w:r w:rsidRPr="009F4AF8">
        <w:rPr>
          <w:rFonts w:asciiTheme="majorBidi" w:hAnsiTheme="majorBidi" w:cstheme="majorBidi"/>
          <w:b/>
          <w:bCs/>
          <w:sz w:val="28"/>
          <w:szCs w:val="28"/>
        </w:rPr>
        <w:t xml:space="preserve">and its performance for photodegradation of </w:t>
      </w:r>
      <w:bookmarkStart w:id="0" w:name="_Hlk162879903"/>
      <w:r w:rsidRPr="009F4AF8">
        <w:rPr>
          <w:rFonts w:asciiTheme="majorBidi" w:hAnsiTheme="majorBidi" w:cstheme="majorBidi"/>
          <w:b/>
          <w:bCs/>
          <w:sz w:val="28"/>
          <w:szCs w:val="28"/>
        </w:rPr>
        <w:t xml:space="preserve">metronidazole and acetaminophen </w:t>
      </w:r>
      <w:bookmarkEnd w:id="0"/>
      <w:r w:rsidRPr="009F4AF8">
        <w:rPr>
          <w:rFonts w:asciiTheme="majorBidi" w:hAnsiTheme="majorBidi" w:cstheme="majorBidi"/>
          <w:b/>
          <w:bCs/>
          <w:sz w:val="28"/>
          <w:szCs w:val="28"/>
        </w:rPr>
        <w:t>in water</w:t>
      </w:r>
    </w:p>
    <w:p w14:paraId="5ADBC4FF" w14:textId="77777777" w:rsidR="00C944DC" w:rsidRPr="00746BE3" w:rsidRDefault="00C944DC" w:rsidP="00C944DC">
      <w:pPr>
        <w:spacing w:after="0" w:line="480" w:lineRule="auto"/>
        <w:jc w:val="both"/>
        <w:rPr>
          <w:rFonts w:ascii="Times New Roman" w:eastAsia="Calibri" w:hAnsi="Times New Roman" w:cs="Times New Roman"/>
          <w:kern w:val="2"/>
          <w:sz w:val="28"/>
          <w:szCs w:val="28"/>
          <w:lang w:bidi="fa-IR"/>
          <w14:ligatures w14:val="standardContextual"/>
        </w:rPr>
      </w:pPr>
    </w:p>
    <w:p w14:paraId="3C214C58" w14:textId="77777777" w:rsidR="00C944DC" w:rsidRPr="00354934" w:rsidRDefault="00C944DC" w:rsidP="00C944DC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vertAlign w:val="superscript"/>
        </w:rPr>
        <w:sectPr w:rsidR="00C944DC" w:rsidRPr="00354934" w:rsidSect="00A807BB">
          <w:footnotePr>
            <w:numFmt w:val="chicago"/>
            <w:numRestart w:val="eachPage"/>
          </w:footnotePr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354934">
        <w:rPr>
          <w:rFonts w:asciiTheme="majorBidi" w:hAnsiTheme="majorBidi" w:cstheme="majorBidi"/>
          <w:color w:val="000000"/>
          <w:sz w:val="24"/>
          <w:szCs w:val="24"/>
        </w:rPr>
        <w:t>Maryam Sadat Ghasemzadeh</w:t>
      </w:r>
      <w:r w:rsidRPr="00354934">
        <w:rPr>
          <w:rFonts w:asciiTheme="majorBidi" w:hAnsiTheme="majorBidi" w:cstheme="majorBidi"/>
          <w:bCs/>
          <w:color w:val="000000"/>
          <w:sz w:val="24"/>
          <w:szCs w:val="24"/>
          <w:vertAlign w:val="superscript"/>
          <w:lang w:val="en-US"/>
        </w:rPr>
        <w:t>1,2</w:t>
      </w:r>
      <w:r w:rsidRPr="00354934">
        <w:rPr>
          <w:rFonts w:asciiTheme="majorBidi" w:hAnsiTheme="majorBidi" w:cstheme="majorBidi"/>
          <w:color w:val="000000"/>
          <w:sz w:val="24"/>
          <w:szCs w:val="24"/>
        </w:rPr>
        <w:t>, Ali Ahmadpour</w:t>
      </w:r>
      <w:r w:rsidRPr="00354934">
        <w:rPr>
          <w:rFonts w:asciiTheme="majorBidi" w:hAnsiTheme="majorBidi" w:cstheme="majorBidi"/>
          <w:bCs/>
          <w:color w:val="000000"/>
          <w:sz w:val="24"/>
          <w:szCs w:val="24"/>
          <w:vertAlign w:val="superscript"/>
          <w:lang w:val="en-US"/>
        </w:rPr>
        <w:t>1,2,</w:t>
      </w:r>
      <w:r w:rsidRPr="00354934">
        <w:rPr>
          <w:rFonts w:asciiTheme="majorBidi" w:hAnsiTheme="majorBidi" w:cstheme="majorBidi"/>
          <w:color w:val="000000"/>
          <w:sz w:val="24"/>
          <w:szCs w:val="24"/>
          <w:vertAlign w:val="superscript"/>
          <w:lang w:val="en-US"/>
        </w:rPr>
        <w:footnoteReference w:id="1"/>
      </w:r>
    </w:p>
    <w:p w14:paraId="647AA069" w14:textId="77777777" w:rsidR="00C944DC" w:rsidRPr="00354934" w:rsidRDefault="00C944DC" w:rsidP="00C944DC">
      <w:pPr>
        <w:spacing w:after="0" w:line="480" w:lineRule="auto"/>
        <w:rPr>
          <w:rFonts w:asciiTheme="majorBidi" w:hAnsiTheme="majorBidi" w:cstheme="majorBidi"/>
          <w:i/>
          <w:iCs/>
        </w:rPr>
      </w:pPr>
      <w:r w:rsidRPr="00354934">
        <w:rPr>
          <w:rFonts w:asciiTheme="majorBidi" w:hAnsiTheme="majorBidi" w:cstheme="majorBidi"/>
          <w:i/>
          <w:iCs/>
          <w:vertAlign w:val="superscript"/>
        </w:rPr>
        <w:t>1</w:t>
      </w:r>
      <w:r w:rsidRPr="00354934">
        <w:rPr>
          <w:rFonts w:asciiTheme="majorBidi" w:hAnsiTheme="majorBidi" w:cstheme="majorBidi"/>
          <w:i/>
          <w:iCs/>
        </w:rPr>
        <w:t>Department of Chemical Engineering, Faculty of Engineering, Ferdowsi University of Mashhad, P.O. Box 91779-48944, Mashhad, Iran</w:t>
      </w:r>
    </w:p>
    <w:p w14:paraId="4F68D12F" w14:textId="77777777" w:rsidR="00C944DC" w:rsidRPr="00354934" w:rsidRDefault="00C944DC" w:rsidP="00C944DC">
      <w:pPr>
        <w:spacing w:after="0" w:line="480" w:lineRule="auto"/>
        <w:rPr>
          <w:rFonts w:asciiTheme="majorBidi" w:hAnsiTheme="majorBidi" w:cstheme="majorBidi"/>
          <w:i/>
          <w:iCs/>
        </w:rPr>
      </w:pPr>
      <w:r w:rsidRPr="00354934">
        <w:rPr>
          <w:rFonts w:asciiTheme="majorBidi" w:hAnsiTheme="majorBidi" w:cstheme="majorBidi"/>
          <w:i/>
          <w:iCs/>
          <w:vertAlign w:val="superscript"/>
        </w:rPr>
        <w:t>2</w:t>
      </w:r>
      <w:r w:rsidRPr="00354934">
        <w:rPr>
          <w:rFonts w:asciiTheme="majorBidi" w:hAnsiTheme="majorBidi" w:cstheme="majorBidi"/>
          <w:i/>
          <w:iCs/>
        </w:rPr>
        <w:t>Industrial Catalysts, Adsorbents and Environment Lab., Oil and Gas Research Institute, Ferdowsi University of Mashhad, P.O. Box 91779-48974, Mashhad, Iran.</w:t>
      </w:r>
    </w:p>
    <w:p w14:paraId="032DC747" w14:textId="77777777" w:rsidR="00C944DC" w:rsidRPr="00A23F70" w:rsidRDefault="00C944DC" w:rsidP="00C944DC">
      <w:p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0E42A20C" w14:textId="77777777" w:rsidR="00C944DC" w:rsidRPr="00A23F70" w:rsidRDefault="00C944DC" w:rsidP="00C944DC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A23F70">
        <w:rPr>
          <w:rFonts w:asciiTheme="majorBidi" w:hAnsiTheme="majorBidi" w:cstheme="majorBidi"/>
          <w:sz w:val="24"/>
          <w:szCs w:val="24"/>
          <w:lang w:val="en-US"/>
        </w:rPr>
        <w:t>Metronidazole and acetaminophen can be efficiently degraded in environmentally-friendly conditions using FMMWCNTs@GLYMO@WO</w:t>
      </w:r>
      <w:r w:rsidRPr="00A23F70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Pr="00A23F70">
        <w:rPr>
          <w:rFonts w:asciiTheme="majorBidi" w:hAnsiTheme="majorBidi" w:cstheme="majorBidi"/>
          <w:sz w:val="24"/>
          <w:szCs w:val="24"/>
          <w:lang w:val="en-US"/>
        </w:rPr>
        <w:t xml:space="preserve"> as a potent and eco-friendly photocatalyst. Analysis using spectroscopic and microscopic techniques confirmed the spherical morphology of the </w:t>
      </w:r>
      <w:r>
        <w:rPr>
          <w:rFonts w:asciiTheme="majorBidi" w:hAnsiTheme="majorBidi" w:cstheme="majorBidi"/>
          <w:sz w:val="24"/>
          <w:szCs w:val="24"/>
          <w:lang w:val="en-US"/>
        </w:rPr>
        <w:t>ferr</w:t>
      </w:r>
      <w:r w:rsidRPr="00A23F70">
        <w:rPr>
          <w:rFonts w:asciiTheme="majorBidi" w:hAnsiTheme="majorBidi" w:cstheme="majorBidi"/>
          <w:sz w:val="24"/>
          <w:szCs w:val="24"/>
          <w:lang w:val="en-US"/>
        </w:rPr>
        <w:t>omagnetic photocatalyst, with nanoparticles averaging between 23 to 39 nm in diameter. Furthermore, this magnetic photocatalyst can be easily separated from the reaction mixture using a magnet without compromising its catalytic efficiency.</w:t>
      </w:r>
    </w:p>
    <w:p w14:paraId="2D4F6321" w14:textId="77777777" w:rsidR="00C944DC" w:rsidRDefault="00C944DC" w:rsidP="00C944DC">
      <w:p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599ABF61" w14:textId="77777777" w:rsidR="00C944DC" w:rsidRPr="00354934" w:rsidRDefault="00C944DC" w:rsidP="00C944DC">
      <w:p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20ACD6A4" w14:textId="77777777" w:rsidR="00C944DC" w:rsidRPr="00354934" w:rsidRDefault="00C944DC" w:rsidP="00C944DC">
      <w:pPr>
        <w:spacing w:after="0" w:line="480" w:lineRule="auto"/>
        <w:jc w:val="both"/>
        <w:rPr>
          <w:rFonts w:asciiTheme="majorBidi" w:hAnsiTheme="majorBidi" w:cstheme="majorBidi"/>
          <w:lang w:val="en-US"/>
        </w:rPr>
      </w:pPr>
    </w:p>
    <w:p w14:paraId="21B3025C" w14:textId="77777777" w:rsidR="00C944DC" w:rsidRPr="00F96C9C" w:rsidRDefault="00C944DC" w:rsidP="00C944DC">
      <w:pPr>
        <w:spacing w:after="0" w:line="480" w:lineRule="auto"/>
        <w:jc w:val="center"/>
        <w:rPr>
          <w:rFonts w:ascii="Times New Roman" w:eastAsia="Calibri" w:hAnsi="Times New Roman"/>
          <w:sz w:val="24"/>
          <w:szCs w:val="24"/>
          <w:lang w:val="en-US" w:bidi="fa-IR"/>
        </w:rPr>
      </w:pPr>
      <w:r w:rsidRPr="002B0ED7">
        <w:rPr>
          <w:rFonts w:ascii="Times New Roman" w:eastAsia="Calibri" w:hAnsi="Times New Roman"/>
          <w:noProof/>
          <w:sz w:val="24"/>
          <w:szCs w:val="24"/>
          <w:lang w:val="en-US" w:bidi="fa-IR"/>
        </w:rPr>
        <w:lastRenderedPageBreak/>
        <w:drawing>
          <wp:anchor distT="0" distB="0" distL="114300" distR="114300" simplePos="0" relativeHeight="251659264" behindDoc="0" locked="0" layoutInCell="1" allowOverlap="1" wp14:anchorId="6B6E4069" wp14:editId="7FA9F6CC">
            <wp:simplePos x="0" y="0"/>
            <wp:positionH relativeFrom="column">
              <wp:posOffset>636814</wp:posOffset>
            </wp:positionH>
            <wp:positionV relativeFrom="paragraph">
              <wp:posOffset>-364671</wp:posOffset>
            </wp:positionV>
            <wp:extent cx="4824730" cy="2411185"/>
            <wp:effectExtent l="0" t="0" r="0" b="8255"/>
            <wp:wrapNone/>
            <wp:docPr id="15849170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4" t="4395" r="11072"/>
                    <a:stretch/>
                  </pic:blipFill>
                  <pic:spPr bwMode="auto">
                    <a:xfrm>
                      <a:off x="0" y="0"/>
                      <a:ext cx="4830927" cy="2414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51798E" w14:textId="77777777" w:rsidR="00C944DC" w:rsidRDefault="00C944DC"/>
    <w:sectPr w:rsidR="00C944DC" w:rsidSect="00A807BB">
      <w:footnotePr>
        <w:numFmt w:val="chicago"/>
        <w:numRestart w:val="eachPage"/>
      </w:footnotePr>
      <w:type w:val="continuous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D7FE2" w14:textId="77777777" w:rsidR="00A807BB" w:rsidRDefault="00A807BB" w:rsidP="00C944DC">
      <w:pPr>
        <w:spacing w:after="0" w:line="240" w:lineRule="auto"/>
      </w:pPr>
      <w:r>
        <w:separator/>
      </w:r>
    </w:p>
  </w:endnote>
  <w:endnote w:type="continuationSeparator" w:id="0">
    <w:p w14:paraId="7259B259" w14:textId="77777777" w:rsidR="00A807BB" w:rsidRDefault="00A807BB" w:rsidP="00C94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73A91" w14:textId="77777777" w:rsidR="00A807BB" w:rsidRDefault="00A807BB" w:rsidP="00C944DC">
      <w:pPr>
        <w:spacing w:after="0" w:line="240" w:lineRule="auto"/>
      </w:pPr>
      <w:r>
        <w:separator/>
      </w:r>
    </w:p>
  </w:footnote>
  <w:footnote w:type="continuationSeparator" w:id="0">
    <w:p w14:paraId="6083E6A5" w14:textId="77777777" w:rsidR="00A807BB" w:rsidRDefault="00A807BB" w:rsidP="00C944DC">
      <w:pPr>
        <w:spacing w:after="0" w:line="240" w:lineRule="auto"/>
      </w:pPr>
      <w:r>
        <w:continuationSeparator/>
      </w:r>
    </w:p>
  </w:footnote>
  <w:footnote w:id="1">
    <w:p w14:paraId="366DFDA6" w14:textId="77777777" w:rsidR="00C944DC" w:rsidRPr="00E15E47" w:rsidRDefault="00C944DC" w:rsidP="00C944DC">
      <w:pPr>
        <w:pStyle w:val="FootnoteText"/>
        <w:rPr>
          <w:rFonts w:asciiTheme="majorBidi" w:hAnsiTheme="majorBidi" w:cstheme="majorBidi"/>
          <w:u w:val="single"/>
          <w:lang w:val="de-DE"/>
        </w:rPr>
      </w:pPr>
      <w:r w:rsidRPr="00E15E47">
        <w:rPr>
          <w:rStyle w:val="FootnoteReference"/>
          <w:rFonts w:asciiTheme="majorBidi" w:hAnsiTheme="majorBidi" w:cstheme="majorBidi"/>
        </w:rPr>
        <w:footnoteRef/>
      </w:r>
      <w:r w:rsidRPr="00A82664">
        <w:rPr>
          <w:rFonts w:asciiTheme="majorBidi" w:hAnsiTheme="majorBidi" w:cstheme="majorBidi"/>
          <w:lang w:val="de-DE"/>
        </w:rPr>
        <w:t xml:space="preserve"> </w:t>
      </w:r>
      <w:r w:rsidRPr="00E15E47">
        <w:rPr>
          <w:rFonts w:asciiTheme="majorBidi" w:hAnsiTheme="majorBidi" w:cstheme="majorBidi"/>
          <w:lang w:val="de-DE"/>
        </w:rPr>
        <w:t xml:space="preserve">E-mail: </w:t>
      </w:r>
      <w:hyperlink r:id="rId1" w:history="1">
        <w:r w:rsidRPr="00E15E47">
          <w:rPr>
            <w:rStyle w:val="Hyperlink"/>
            <w:rFonts w:asciiTheme="majorBidi" w:hAnsiTheme="majorBidi" w:cstheme="majorBidi"/>
            <w:lang w:val="de-DE"/>
          </w:rPr>
          <w:t>ahmadpour@um.ac.ir</w:t>
        </w:r>
      </w:hyperlink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4DC"/>
    <w:rsid w:val="00A807BB"/>
    <w:rsid w:val="00C9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2A813"/>
  <w15:chartTrackingRefBased/>
  <w15:docId w15:val="{14E0A850-4500-4390-A53D-C0D65F2C5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944DC"/>
    <w:pPr>
      <w:spacing w:after="200" w:line="276" w:lineRule="auto"/>
    </w:pPr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44DC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944D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44DC"/>
    <w:rPr>
      <w:kern w:val="0"/>
      <w:sz w:val="20"/>
      <w:szCs w:val="20"/>
      <w:lang w:val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C944DC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C944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ahmadpour@um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879</Characters>
  <Application>Microsoft Office Word</Application>
  <DocSecurity>0</DocSecurity>
  <Lines>7</Lines>
  <Paragraphs>2</Paragraphs>
  <ScaleCrop>false</ScaleCrop>
  <Company>Springer Nature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2024-05-14T06:52:00Z</dcterms:created>
  <dcterms:modified xsi:type="dcterms:W3CDTF">2024-05-14T06:52:00Z</dcterms:modified>
</cp:coreProperties>
</file>