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5F8CF" w14:textId="7E5C2BCD" w:rsidR="002908CB" w:rsidRPr="005C72FA" w:rsidRDefault="00AC667C" w:rsidP="005C72FA">
      <w:pPr>
        <w:jc w:val="center"/>
        <w:rPr>
          <w:i/>
          <w:iCs/>
          <w:lang w:val="en-US"/>
        </w:rPr>
      </w:pPr>
      <w:r w:rsidRPr="005C72FA">
        <w:rPr>
          <w:i/>
          <w:iCs/>
          <w:lang w:val="en-US"/>
        </w:rPr>
        <w:t>Earth, Planet, and Space</w:t>
      </w:r>
    </w:p>
    <w:p w14:paraId="70D14412" w14:textId="77777777" w:rsidR="005C72FA" w:rsidRDefault="005C72FA" w:rsidP="005C72FA">
      <w:pPr>
        <w:jc w:val="center"/>
        <w:rPr>
          <w:lang w:val="en-US"/>
        </w:rPr>
      </w:pPr>
    </w:p>
    <w:p w14:paraId="784193C0" w14:textId="1D340C86" w:rsidR="00AC667C" w:rsidRDefault="00AC667C" w:rsidP="005C72FA">
      <w:pPr>
        <w:jc w:val="center"/>
        <w:rPr>
          <w:lang w:val="en-US"/>
        </w:rPr>
      </w:pPr>
      <w:r>
        <w:rPr>
          <w:lang w:val="en-US"/>
        </w:rPr>
        <w:t>Supporting Information for</w:t>
      </w:r>
    </w:p>
    <w:p w14:paraId="162A63B1" w14:textId="77777777" w:rsidR="00AC667C" w:rsidRDefault="00AC667C" w:rsidP="009333FA">
      <w:pPr>
        <w:rPr>
          <w:lang w:val="en-US"/>
        </w:rPr>
      </w:pPr>
    </w:p>
    <w:p w14:paraId="5C55BBE9" w14:textId="1BC556AC" w:rsidR="00AC667C" w:rsidRPr="005C72FA" w:rsidRDefault="00AC667C" w:rsidP="005C72FA">
      <w:pPr>
        <w:jc w:val="center"/>
        <w:rPr>
          <w:b/>
          <w:bCs/>
          <w:lang w:val="en-US"/>
        </w:rPr>
      </w:pPr>
      <w:r w:rsidRPr="005C72FA">
        <w:rPr>
          <w:b/>
          <w:bCs/>
          <w:lang w:val="en-US"/>
        </w:rPr>
        <w:t xml:space="preserve">Building </w:t>
      </w:r>
      <w:r w:rsidR="00C10768" w:rsidRPr="005C72FA">
        <w:rPr>
          <w:b/>
          <w:bCs/>
          <w:lang w:val="en-US"/>
        </w:rPr>
        <w:t xml:space="preserve">the Fracture Network Model for the </w:t>
      </w:r>
      <w:proofErr w:type="spellStart"/>
      <w:r w:rsidR="00C10768" w:rsidRPr="005C72FA">
        <w:rPr>
          <w:b/>
          <w:bCs/>
          <w:lang w:val="en-US"/>
        </w:rPr>
        <w:t>Okuaizu</w:t>
      </w:r>
      <w:proofErr w:type="spellEnd"/>
      <w:r w:rsidR="00C10768" w:rsidRPr="005C72FA">
        <w:rPr>
          <w:b/>
          <w:bCs/>
          <w:lang w:val="en-US"/>
        </w:rPr>
        <w:t xml:space="preserve"> Geothermal Field Based on </w:t>
      </w:r>
      <w:proofErr w:type="spellStart"/>
      <w:r w:rsidR="00C10768" w:rsidRPr="005C72FA">
        <w:rPr>
          <w:b/>
          <w:bCs/>
          <w:lang w:val="en-US"/>
        </w:rPr>
        <w:t>Microseismic</w:t>
      </w:r>
      <w:proofErr w:type="spellEnd"/>
      <w:r w:rsidR="00C10768" w:rsidRPr="005C72FA">
        <w:rPr>
          <w:b/>
          <w:bCs/>
          <w:lang w:val="en-US"/>
        </w:rPr>
        <w:t xml:space="preserve"> Data Analysis</w:t>
      </w:r>
    </w:p>
    <w:p w14:paraId="221BC8C5" w14:textId="77777777" w:rsidR="00AC667C" w:rsidRDefault="00AC667C" w:rsidP="005C72FA">
      <w:pPr>
        <w:jc w:val="center"/>
        <w:rPr>
          <w:lang w:val="en-US"/>
        </w:rPr>
      </w:pPr>
    </w:p>
    <w:p w14:paraId="75700319" w14:textId="5D72448B" w:rsidR="004D5F82" w:rsidRDefault="004D5F82" w:rsidP="005C72FA">
      <w:pPr>
        <w:jc w:val="center"/>
        <w:rPr>
          <w:lang w:val="en-US"/>
        </w:rPr>
      </w:pPr>
      <w:r>
        <w:rPr>
          <w:lang w:val="en-US"/>
        </w:rPr>
        <w:t>D. Darisma</w:t>
      </w:r>
      <w:r w:rsidR="00772C91" w:rsidRPr="00772C91">
        <w:rPr>
          <w:vertAlign w:val="superscript"/>
          <w:lang w:val="en-US"/>
        </w:rPr>
        <w:t>1,2</w:t>
      </w:r>
      <w:r w:rsidR="0067483D">
        <w:rPr>
          <w:lang w:val="en-US"/>
        </w:rPr>
        <w:t>, Y. Mukuhira</w:t>
      </w:r>
      <w:r w:rsidR="00772C91" w:rsidRPr="00772C91">
        <w:rPr>
          <w:vertAlign w:val="superscript"/>
          <w:lang w:val="en-US"/>
        </w:rPr>
        <w:t>1</w:t>
      </w:r>
      <w:r w:rsidR="0067483D">
        <w:rPr>
          <w:lang w:val="en-US"/>
        </w:rPr>
        <w:t>, K. Okamoto</w:t>
      </w:r>
      <w:r w:rsidR="00772C91" w:rsidRPr="00772C91">
        <w:rPr>
          <w:vertAlign w:val="superscript"/>
          <w:lang w:val="en-US"/>
        </w:rPr>
        <w:t>3</w:t>
      </w:r>
      <w:r w:rsidR="0067483D">
        <w:rPr>
          <w:lang w:val="en-US"/>
        </w:rPr>
        <w:t>, N. Aoyagi</w:t>
      </w:r>
      <w:r w:rsidR="00772C91">
        <w:rPr>
          <w:lang w:val="en-US"/>
        </w:rPr>
        <w:t>3</w:t>
      </w:r>
      <w:r w:rsidR="0067483D">
        <w:rPr>
          <w:lang w:val="en-US"/>
        </w:rPr>
        <w:t>, T. Uchide</w:t>
      </w:r>
      <w:r w:rsidR="00772C91" w:rsidRPr="00772C91">
        <w:rPr>
          <w:vertAlign w:val="superscript"/>
          <w:lang w:val="en-US"/>
        </w:rPr>
        <w:t>4</w:t>
      </w:r>
      <w:r w:rsidR="0067483D">
        <w:rPr>
          <w:lang w:val="en-US"/>
        </w:rPr>
        <w:t>, T. Ishibashi</w:t>
      </w:r>
      <w:r w:rsidR="00772C91" w:rsidRPr="00772C91">
        <w:rPr>
          <w:vertAlign w:val="superscript"/>
          <w:lang w:val="en-US"/>
        </w:rPr>
        <w:t>3</w:t>
      </w:r>
      <w:r w:rsidR="0067483D">
        <w:rPr>
          <w:lang w:val="en-US"/>
        </w:rPr>
        <w:t>, H. Asanuma</w:t>
      </w:r>
      <w:r w:rsidR="00772C91" w:rsidRPr="00772C91">
        <w:rPr>
          <w:vertAlign w:val="superscript"/>
          <w:lang w:val="en-US"/>
        </w:rPr>
        <w:t>3</w:t>
      </w:r>
      <w:r w:rsidR="0067483D">
        <w:rPr>
          <w:lang w:val="en-US"/>
        </w:rPr>
        <w:t xml:space="preserve">, </w:t>
      </w:r>
      <w:r w:rsidR="00E57D63">
        <w:rPr>
          <w:lang w:val="en-US"/>
        </w:rPr>
        <w:t>T</w:t>
      </w:r>
      <w:r w:rsidR="00A87EA3">
        <w:rPr>
          <w:lang w:val="en-US"/>
        </w:rPr>
        <w:t>. Ito</w:t>
      </w:r>
      <w:r w:rsidR="00772C91" w:rsidRPr="00772C91">
        <w:rPr>
          <w:vertAlign w:val="superscript"/>
          <w:lang w:val="en-US"/>
        </w:rPr>
        <w:t>1</w:t>
      </w:r>
    </w:p>
    <w:p w14:paraId="0EDED538" w14:textId="77777777" w:rsidR="004D5F82" w:rsidRDefault="004D5F82" w:rsidP="009333FA">
      <w:pPr>
        <w:rPr>
          <w:lang w:val="en-US"/>
        </w:rPr>
      </w:pPr>
    </w:p>
    <w:p w14:paraId="436B348F" w14:textId="40B20A3B" w:rsidR="000F7A0F" w:rsidRPr="00B92A22" w:rsidRDefault="00B92A22" w:rsidP="009333FA">
      <w:r w:rsidRPr="00F77E7D">
        <w:rPr>
          <w:vertAlign w:val="superscript"/>
        </w:rPr>
        <w:t>1</w:t>
      </w:r>
      <w:r w:rsidRPr="00B92A22">
        <w:t>Institute of Fluid Science, Tohoku University, Sendai, Japan</w:t>
      </w:r>
    </w:p>
    <w:p w14:paraId="4EEE0A4C" w14:textId="77777777" w:rsidR="00F77E7D" w:rsidRDefault="00F77E7D" w:rsidP="00F77E7D">
      <w:r w:rsidRPr="00F77E7D">
        <w:rPr>
          <w:vertAlign w:val="superscript"/>
        </w:rPr>
        <w:t>2</w:t>
      </w:r>
      <w:r>
        <w:t>Department of Geophysical Engineering, Universitas Syiah Kuala, Banda Aceh, Indonesia</w:t>
      </w:r>
    </w:p>
    <w:p w14:paraId="1D0DF33B" w14:textId="77777777" w:rsidR="00F77E7D" w:rsidRDefault="00F77E7D" w:rsidP="00F77E7D">
      <w:r w:rsidRPr="00F77E7D">
        <w:rPr>
          <w:vertAlign w:val="superscript"/>
        </w:rPr>
        <w:t>3</w:t>
      </w:r>
      <w:r>
        <w:t>Fukushima Renewable Energy Institute, National Institute of Advanced Industrial Science and Technology, Koriyama, Japan</w:t>
      </w:r>
    </w:p>
    <w:p w14:paraId="45B49083" w14:textId="3B38EE4F" w:rsidR="00772C91" w:rsidRDefault="00F77E7D" w:rsidP="00F77E7D">
      <w:r w:rsidRPr="00F77E7D">
        <w:rPr>
          <w:vertAlign w:val="superscript"/>
        </w:rPr>
        <w:t>4</w:t>
      </w:r>
      <w:r>
        <w:t>Geological Survey of Japan, National Institute of Advanced Industrial and Technology, Tsukuba, Ibaraki, Japan</w:t>
      </w:r>
    </w:p>
    <w:p w14:paraId="312EFEBC" w14:textId="77777777" w:rsidR="00774144" w:rsidRDefault="00774144" w:rsidP="00F77E7D"/>
    <w:p w14:paraId="5DA55649" w14:textId="2E6A6E43" w:rsidR="00774144" w:rsidRPr="007C152C" w:rsidRDefault="00774144" w:rsidP="00F77E7D">
      <w:pPr>
        <w:rPr>
          <w:b/>
          <w:bCs/>
          <w:lang w:val="en-US"/>
        </w:rPr>
      </w:pPr>
      <w:r w:rsidRPr="007C152C">
        <w:rPr>
          <w:b/>
          <w:bCs/>
          <w:lang w:val="en-US"/>
        </w:rPr>
        <w:t>Content of this file</w:t>
      </w:r>
    </w:p>
    <w:p w14:paraId="5CE6088D" w14:textId="18F824F3" w:rsidR="007C152C" w:rsidRDefault="007C152C" w:rsidP="007C152C">
      <w:pPr>
        <w:ind w:firstLine="720"/>
        <w:rPr>
          <w:lang w:val="en-US"/>
        </w:rPr>
      </w:pPr>
      <w:r>
        <w:rPr>
          <w:lang w:val="en-US"/>
        </w:rPr>
        <w:t>Fig</w:t>
      </w:r>
      <w:r w:rsidR="008E009B">
        <w:rPr>
          <w:lang w:val="en-US"/>
        </w:rPr>
        <w:t>.</w:t>
      </w:r>
      <w:r>
        <w:rPr>
          <w:lang w:val="en-US"/>
        </w:rPr>
        <w:t xml:space="preserve"> S1 to S6</w:t>
      </w:r>
    </w:p>
    <w:p w14:paraId="73D2C8FD" w14:textId="77777777" w:rsidR="007C152C" w:rsidRPr="007C152C" w:rsidRDefault="007C152C" w:rsidP="00F77E7D">
      <w:pPr>
        <w:rPr>
          <w:b/>
          <w:bCs/>
          <w:lang w:val="en-US"/>
        </w:rPr>
      </w:pPr>
    </w:p>
    <w:p w14:paraId="525929EF" w14:textId="253FEA72" w:rsidR="007C152C" w:rsidRDefault="007C152C" w:rsidP="00F77E7D">
      <w:pPr>
        <w:rPr>
          <w:b/>
          <w:bCs/>
          <w:lang w:val="en-US"/>
        </w:rPr>
      </w:pPr>
      <w:r w:rsidRPr="007C152C">
        <w:rPr>
          <w:b/>
          <w:bCs/>
          <w:lang w:val="en-US"/>
        </w:rPr>
        <w:t>Introduction</w:t>
      </w:r>
    </w:p>
    <w:p w14:paraId="6B0DC009" w14:textId="0D0EDB7E" w:rsidR="007C152C" w:rsidRPr="007202BC" w:rsidRDefault="007202BC" w:rsidP="00F77E7D">
      <w:pPr>
        <w:rPr>
          <w:lang w:val="en-US"/>
        </w:rPr>
      </w:pPr>
      <w:r w:rsidRPr="007202BC">
        <w:rPr>
          <w:lang w:val="en-US"/>
        </w:rPr>
        <w:t xml:space="preserve">This </w:t>
      </w:r>
      <w:r w:rsidR="005C041A">
        <w:rPr>
          <w:lang w:val="en-US"/>
        </w:rPr>
        <w:t>s</w:t>
      </w:r>
      <w:r w:rsidRPr="007202BC">
        <w:rPr>
          <w:lang w:val="en-US"/>
        </w:rPr>
        <w:t>upporting information provides the following contents.</w:t>
      </w:r>
    </w:p>
    <w:p w14:paraId="43992BF5" w14:textId="7FB659FD" w:rsidR="007202BC" w:rsidRDefault="00F41B2D" w:rsidP="007202BC">
      <w:pPr>
        <w:pStyle w:val="ListParagraph"/>
        <w:numPr>
          <w:ilvl w:val="0"/>
          <w:numId w:val="1"/>
        </w:numPr>
        <w:rPr>
          <w:lang w:val="en-US"/>
        </w:rPr>
      </w:pPr>
      <w:r w:rsidRPr="00611B45">
        <w:rPr>
          <w:lang w:val="en-US"/>
        </w:rPr>
        <w:t>Relocation and clustering results of 2019, 2020, and 2021 data (Fig</w:t>
      </w:r>
      <w:r w:rsidR="008E009B">
        <w:rPr>
          <w:lang w:val="en-US"/>
        </w:rPr>
        <w:t>.</w:t>
      </w:r>
      <w:r w:rsidRPr="00611B45">
        <w:rPr>
          <w:lang w:val="en-US"/>
        </w:rPr>
        <w:t xml:space="preserve"> S1</w:t>
      </w:r>
      <w:r w:rsidR="00611B45" w:rsidRPr="00611B45">
        <w:rPr>
          <w:lang w:val="en-US"/>
        </w:rPr>
        <w:t>, S2, and S3)</w:t>
      </w:r>
    </w:p>
    <w:p w14:paraId="117EAFC7" w14:textId="1AAF4360" w:rsidR="001912B9" w:rsidRPr="003773E3" w:rsidRDefault="003773E3" w:rsidP="007202BC">
      <w:pPr>
        <w:pStyle w:val="ListParagraph"/>
        <w:numPr>
          <w:ilvl w:val="0"/>
          <w:numId w:val="1"/>
        </w:numPr>
        <w:rPr>
          <w:lang w:val="en-US"/>
        </w:rPr>
      </w:pPr>
      <w:r>
        <w:t>Performance test of polarity picking by deep learning to March-September 2021 data</w:t>
      </w:r>
      <w:r>
        <w:rPr>
          <w:lang w:val="en-US"/>
        </w:rPr>
        <w:t xml:space="preserve"> (Fig</w:t>
      </w:r>
      <w:r w:rsidR="008E009B">
        <w:rPr>
          <w:lang w:val="en-US"/>
        </w:rPr>
        <w:t xml:space="preserve">. </w:t>
      </w:r>
      <w:r>
        <w:rPr>
          <w:lang w:val="en-US"/>
        </w:rPr>
        <w:t>S4)</w:t>
      </w:r>
    </w:p>
    <w:p w14:paraId="2E2BBE0E" w14:textId="6DDC2D43" w:rsidR="003773E3" w:rsidRDefault="003773E3" w:rsidP="007202BC">
      <w:pPr>
        <w:pStyle w:val="ListParagraph"/>
        <w:numPr>
          <w:ilvl w:val="0"/>
          <w:numId w:val="1"/>
        </w:numPr>
        <w:rPr>
          <w:lang w:val="en-US"/>
        </w:rPr>
      </w:pPr>
      <w:r>
        <w:t xml:space="preserve">Histogram of polarity picking by deep learning for Mw </w:t>
      </w:r>
      <w:r w:rsidR="00813B3E">
        <w:rPr>
          <w:rFonts w:cs="Times New Roman"/>
          <w:color w:val="000000"/>
          <w:kern w:val="0"/>
        </w:rPr>
        <w:t>≥</w:t>
      </w:r>
      <w:r w:rsidR="00813B3E">
        <w:rPr>
          <w:rFonts w:cs="Times New Roman"/>
          <w:color w:val="000000"/>
          <w:kern w:val="0"/>
          <w:lang w:val="en-US"/>
        </w:rPr>
        <w:t xml:space="preserve"> </w:t>
      </w:r>
      <w:r>
        <w:t>1 to data January 2019-February 2021</w:t>
      </w:r>
      <w:r>
        <w:rPr>
          <w:lang w:val="en-US"/>
        </w:rPr>
        <w:t xml:space="preserve"> (Fig</w:t>
      </w:r>
      <w:r w:rsidR="008E009B">
        <w:rPr>
          <w:lang w:val="en-US"/>
        </w:rPr>
        <w:t>.</w:t>
      </w:r>
      <w:r>
        <w:rPr>
          <w:lang w:val="en-US"/>
        </w:rPr>
        <w:t xml:space="preserve"> S5)</w:t>
      </w:r>
    </w:p>
    <w:p w14:paraId="77CC0E5A" w14:textId="5AE48DFD" w:rsidR="003773E3" w:rsidRPr="00611B45" w:rsidRDefault="003773E3" w:rsidP="007202BC">
      <w:pPr>
        <w:pStyle w:val="ListParagraph"/>
        <w:numPr>
          <w:ilvl w:val="0"/>
          <w:numId w:val="1"/>
        </w:numPr>
        <w:rPr>
          <w:lang w:val="en-US"/>
        </w:rPr>
      </w:pPr>
      <w:r>
        <w:t>Focal mechanism results with station plot</w:t>
      </w:r>
      <w:r>
        <w:rPr>
          <w:lang w:val="en-US"/>
        </w:rPr>
        <w:t xml:space="preserve"> (Fig</w:t>
      </w:r>
      <w:r w:rsidR="008E009B">
        <w:rPr>
          <w:lang w:val="en-US"/>
        </w:rPr>
        <w:t>.</w:t>
      </w:r>
      <w:r>
        <w:rPr>
          <w:lang w:val="en-US"/>
        </w:rPr>
        <w:t xml:space="preserve"> S6)</w:t>
      </w:r>
    </w:p>
    <w:p w14:paraId="2A90575B" w14:textId="77777777" w:rsidR="00772C91" w:rsidRDefault="00772C91" w:rsidP="009333FA">
      <w:pPr>
        <w:rPr>
          <w:lang w:val="en-US"/>
        </w:rPr>
      </w:pPr>
    </w:p>
    <w:p w14:paraId="09563DEF" w14:textId="77777777" w:rsidR="00774144" w:rsidRDefault="00774144" w:rsidP="009333FA">
      <w:pPr>
        <w:rPr>
          <w:lang w:val="en-US"/>
        </w:rPr>
        <w:sectPr w:rsidR="00774144" w:rsidSect="006D729F">
          <w:pgSz w:w="12240" w:h="15840"/>
          <w:pgMar w:top="1440" w:right="1440" w:bottom="1440" w:left="1440" w:header="708" w:footer="708" w:gutter="0"/>
          <w:cols w:space="708"/>
          <w:docGrid w:linePitch="360"/>
        </w:sectPr>
      </w:pPr>
    </w:p>
    <w:p w14:paraId="16EFD1F4" w14:textId="7FF585BA" w:rsidR="00774144" w:rsidRPr="00AC667C" w:rsidRDefault="004914E9" w:rsidP="009333FA">
      <w:pPr>
        <w:rPr>
          <w:lang w:val="en-US"/>
        </w:rPr>
      </w:pPr>
      <w:r>
        <w:rPr>
          <w:i/>
          <w:iCs/>
          <w:noProof/>
        </w:rPr>
        <w:lastRenderedPageBreak/>
        <w:drawing>
          <wp:inline distT="0" distB="0" distL="0" distR="0" wp14:anchorId="091826A9" wp14:editId="55A7F759">
            <wp:extent cx="5943600" cy="5822315"/>
            <wp:effectExtent l="0" t="0" r="0" b="0"/>
            <wp:docPr id="1072809400" name="Picture 4" descr="A collage of different colored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809400" name="Picture 4" descr="A collage of different colored objects&#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5822315"/>
                    </a:xfrm>
                    <a:prstGeom prst="rect">
                      <a:avLst/>
                    </a:prstGeom>
                  </pic:spPr>
                </pic:pic>
              </a:graphicData>
            </a:graphic>
          </wp:inline>
        </w:drawing>
      </w:r>
    </w:p>
    <w:p w14:paraId="6603F284" w14:textId="4F033CDA" w:rsidR="009333FA" w:rsidRPr="00943B0A" w:rsidRDefault="009333FA" w:rsidP="009333FA">
      <w:pPr>
        <w:rPr>
          <w:lang w:val="en-US" w:eastAsia="en-US"/>
        </w:rPr>
      </w:pPr>
      <w:r w:rsidRPr="004914E9">
        <w:rPr>
          <w:b/>
          <w:bCs/>
        </w:rPr>
        <w:t>Fig</w:t>
      </w:r>
      <w:r w:rsidR="008E009B">
        <w:rPr>
          <w:b/>
          <w:bCs/>
          <w:lang w:val="en-US"/>
        </w:rPr>
        <w:t>.</w:t>
      </w:r>
      <w:r w:rsidRPr="004914E9">
        <w:rPr>
          <w:b/>
          <w:bCs/>
        </w:rPr>
        <w:t xml:space="preserve"> S1</w:t>
      </w:r>
      <w:r w:rsidRPr="008958B2">
        <w:t xml:space="preserve"> </w:t>
      </w:r>
      <w:r>
        <w:t xml:space="preserve">Relocation and clustering result of 2019 data by Growclust </w:t>
      </w:r>
      <w:r>
        <w:fldChar w:fldCharType="begin"/>
      </w:r>
      <w:r>
        <w:instrText xml:space="preserve"> ADDIN ZOTERO_ITEM CSL_CITATION {"citationID":"1k5vWJge","properties":{"formattedCitation":"(Trugman and Shearer 2017)","plainCitation":"(Trugman and Shearer 2017)","noteIndex":0},"citationItems":[{"id":33,"uris":["http://zotero.org/users/8725578/items/USJACPPD"],"itemData":{"id":33,"type":"article-journal","abstract":"Accurate earthquake locations are essential for providing reliable hazard assessments, understanding the physical mechanisms driving extended earthquake sequences, and interpreting fault structure. Techniques based on waveform cross correlation can significantly improve the precision of the relative locations of event pairs observed at a set of common stations. Here we describe GrowClust, an open-source, relative relocation algorithm that can provide robust relocation results for earthquake sequences over a wide range of spatial and temporal scales. The method uses input differential travel times, cross-correlation values, and reference starting locations, and applies a hybrid, hierarchical clustering algorithm to simultaneously group and relocate events within similar event clusters. The method is computationally efficient and numerically stable in its capacity to process large data sets and naturally applies greater weight to more similar event pairs. Additionally, it outputs location error estimates that can be used to help interpret the reliability and resolution of relocation results. As an example, we apply the GrowClust method to the recent Spanish Springs and Sheldon, Nevada, earthquake swarms. These sequences highlight the future potential for applying the GrowClust relocation method on a much larger scale within the region, where existing relocation results are sparse but vital for understanding the seismotectonics and seismic hazard of Nevada and eastern California.","container-title":"Seismological Research Letters","DOI":"10.1785/0220160188","ISSN":"0895-0695, 1938-2057","issue":"2A","journalAbbreviation":"Seismological Research Letters","language":"en","page":"379-391","source":"DOI.org (Crossref)","title":"GrowClust: A Hierarchical Clustering Algorithm for Relative Earthquake Relocation, with Application to the Spanish Springs and Sheldon, Nevada, Earthquake Sequences","title-short":"GrowClust","volume":"88","author":[{"family":"Trugman","given":"Daniel T."},{"family":"Shearer","given":"Peter M."}],"issued":{"date-parts":[["2017",3]]}}}],"schema":"https://github.com/citation-style-language/schema/raw/master/csl-citation.json"} </w:instrText>
      </w:r>
      <w:r>
        <w:fldChar w:fldCharType="separate"/>
      </w:r>
      <w:r>
        <w:rPr>
          <w:noProof/>
        </w:rPr>
        <w:t>(Trugman and Shearer 2017)</w:t>
      </w:r>
      <w:r>
        <w:fldChar w:fldCharType="end"/>
      </w:r>
      <w:r>
        <w:t>. Events are color coded by the cluster ID. (a) map view, (b) north-south cross-section, (c) east-west cross-section, and (d) RMS of travel residual (observed-predicted)</w:t>
      </w:r>
    </w:p>
    <w:p w14:paraId="38172847" w14:textId="5C31DCEE" w:rsidR="002951B7" w:rsidRDefault="002951B7" w:rsidP="00DD1D3F">
      <w:pPr>
        <w:pStyle w:val="Caption"/>
        <w:rPr>
          <w:i w:val="0"/>
          <w:iCs w:val="0"/>
          <w:color w:val="auto"/>
          <w:sz w:val="24"/>
          <w:szCs w:val="24"/>
        </w:rPr>
        <w:sectPr w:rsidR="002951B7" w:rsidSect="006D729F">
          <w:pgSz w:w="12240" w:h="15840"/>
          <w:pgMar w:top="1440" w:right="1440" w:bottom="1440" w:left="1440" w:header="708" w:footer="708" w:gutter="0"/>
          <w:cols w:space="708"/>
          <w:docGrid w:linePitch="360"/>
        </w:sectPr>
      </w:pPr>
    </w:p>
    <w:p w14:paraId="629C6106" w14:textId="0C9AE67B" w:rsidR="004914E9" w:rsidRDefault="004914E9" w:rsidP="00921F96">
      <w:r>
        <w:rPr>
          <w:noProof/>
          <w:lang w:val="en-US" w:eastAsia="en-US"/>
        </w:rPr>
        <w:lastRenderedPageBreak/>
        <w:drawing>
          <wp:inline distT="0" distB="0" distL="0" distR="0" wp14:anchorId="2D88C12B" wp14:editId="1E0B97EF">
            <wp:extent cx="5943600" cy="5822315"/>
            <wp:effectExtent l="0" t="0" r="0" b="0"/>
            <wp:docPr id="1407411156" name="Picture 5" descr="A collage of different colored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411156" name="Picture 5" descr="A collage of different colored objects&#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5822315"/>
                    </a:xfrm>
                    <a:prstGeom prst="rect">
                      <a:avLst/>
                    </a:prstGeom>
                  </pic:spPr>
                </pic:pic>
              </a:graphicData>
            </a:graphic>
          </wp:inline>
        </w:drawing>
      </w:r>
    </w:p>
    <w:p w14:paraId="699C2272" w14:textId="26336DF1" w:rsidR="00921F96" w:rsidRPr="00943B0A" w:rsidRDefault="00921F96" w:rsidP="00921F96">
      <w:pPr>
        <w:rPr>
          <w:lang w:val="en-US" w:eastAsia="en-US"/>
        </w:rPr>
      </w:pPr>
      <w:r w:rsidRPr="004914E9">
        <w:rPr>
          <w:b/>
          <w:bCs/>
        </w:rPr>
        <w:t>Fig</w:t>
      </w:r>
      <w:r w:rsidR="008E009B">
        <w:rPr>
          <w:b/>
          <w:bCs/>
          <w:lang w:val="en-US"/>
        </w:rPr>
        <w:t>.</w:t>
      </w:r>
      <w:r w:rsidRPr="004914E9">
        <w:rPr>
          <w:b/>
          <w:bCs/>
        </w:rPr>
        <w:t xml:space="preserve"> S2</w:t>
      </w:r>
      <w:r w:rsidRPr="008958B2">
        <w:t xml:space="preserve"> </w:t>
      </w:r>
      <w:r>
        <w:t xml:space="preserve">Relocation and clustering result </w:t>
      </w:r>
      <w:r w:rsidR="00DE0ED0">
        <w:t xml:space="preserve">of 2020 data </w:t>
      </w:r>
      <w:r>
        <w:t xml:space="preserve">by Growclust </w:t>
      </w:r>
      <w:r>
        <w:fldChar w:fldCharType="begin"/>
      </w:r>
      <w:r>
        <w:instrText xml:space="preserve"> ADDIN ZOTERO_ITEM CSL_CITATION {"citationID":"1k5vWJge","properties":{"formattedCitation":"(Trugman and Shearer 2017)","plainCitation":"(Trugman and Shearer 2017)","noteIndex":0},"citationItems":[{"id":33,"uris":["http://zotero.org/users/8725578/items/USJACPPD"],"itemData":{"id":33,"type":"article-journal","abstract":"Accurate earthquake locations are essential for providing reliable hazard assessments, understanding the physical mechanisms driving extended earthquake sequences, and interpreting fault structure. Techniques based on waveform cross correlation can significantly improve the precision of the relative locations of event pairs observed at a set of common stations. Here we describe GrowClust, an open-source, relative relocation algorithm that can provide robust relocation results for earthquake sequences over a wide range of spatial and temporal scales. The method uses input differential travel times, cross-correlation values, and reference starting locations, and applies a hybrid, hierarchical clustering algorithm to simultaneously group and relocate events within similar event clusters. The method is computationally efficient and numerically stable in its capacity to process large data sets and naturally applies greater weight to more similar event pairs. Additionally, it outputs location error estimates that can be used to help interpret the reliability and resolution of relocation results. As an example, we apply the GrowClust method to the recent Spanish Springs and Sheldon, Nevada, earthquake swarms. These sequences highlight the future potential for applying the GrowClust relocation method on a much larger scale within the region, where existing relocation results are sparse but vital for understanding the seismotectonics and seismic hazard of Nevada and eastern California.","container-title":"Seismological Research Letters","DOI":"10.1785/0220160188","ISSN":"0895-0695, 1938-2057","issue":"2A","journalAbbreviation":"Seismological Research Letters","language":"en","page":"379-391","source":"DOI.org (Crossref)","title":"GrowClust: A Hierarchical Clustering Algorithm for Relative Earthquake Relocation, with Application to the Spanish Springs and Sheldon, Nevada, Earthquake Sequences","title-short":"GrowClust","volume":"88","author":[{"family":"Trugman","given":"Daniel T."},{"family":"Shearer","given":"Peter M."}],"issued":{"date-parts":[["2017",3]]}}}],"schema":"https://github.com/citation-style-language/schema/raw/master/csl-citation.json"} </w:instrText>
      </w:r>
      <w:r>
        <w:fldChar w:fldCharType="separate"/>
      </w:r>
      <w:r>
        <w:rPr>
          <w:noProof/>
        </w:rPr>
        <w:t>(Trugman and Shearer 2017)</w:t>
      </w:r>
      <w:r>
        <w:fldChar w:fldCharType="end"/>
      </w:r>
      <w:r>
        <w:t>. Events are color coded by the cluster ID. (a) map view, (b) north-south cross-section, (c) east-west cross-section, and (d) RMS of travel residual (observed-predicted)</w:t>
      </w:r>
    </w:p>
    <w:p w14:paraId="714897EE" w14:textId="692A08A7" w:rsidR="00F23612" w:rsidRDefault="00F23612" w:rsidP="00921F96">
      <w:pPr>
        <w:rPr>
          <w:lang w:val="en-US" w:eastAsia="en-US"/>
        </w:rPr>
        <w:sectPr w:rsidR="00F23612" w:rsidSect="006D729F">
          <w:pgSz w:w="12240" w:h="15840"/>
          <w:pgMar w:top="1440" w:right="1440" w:bottom="1440" w:left="1440" w:header="708" w:footer="708" w:gutter="0"/>
          <w:cols w:space="708"/>
          <w:docGrid w:linePitch="360"/>
        </w:sectPr>
      </w:pPr>
    </w:p>
    <w:p w14:paraId="0200EF51" w14:textId="7D2A7A1A" w:rsidR="004914E9" w:rsidRDefault="004914E9" w:rsidP="00921F96">
      <w:r>
        <w:rPr>
          <w:noProof/>
          <w:lang w:val="en-US" w:eastAsia="en-US"/>
        </w:rPr>
        <w:lastRenderedPageBreak/>
        <w:drawing>
          <wp:inline distT="0" distB="0" distL="0" distR="0" wp14:anchorId="619B3360" wp14:editId="27F93399">
            <wp:extent cx="5943600" cy="5822315"/>
            <wp:effectExtent l="0" t="0" r="0" b="0"/>
            <wp:docPr id="407964975" name="Picture 6" descr="A collage of graphs and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964975" name="Picture 6" descr="A collage of graphs and diagram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5822315"/>
                    </a:xfrm>
                    <a:prstGeom prst="rect">
                      <a:avLst/>
                    </a:prstGeom>
                  </pic:spPr>
                </pic:pic>
              </a:graphicData>
            </a:graphic>
          </wp:inline>
        </w:drawing>
      </w:r>
    </w:p>
    <w:p w14:paraId="1097997C" w14:textId="62E1B184" w:rsidR="00921F96" w:rsidRPr="00943B0A" w:rsidRDefault="00921F96" w:rsidP="00921F96">
      <w:pPr>
        <w:rPr>
          <w:lang w:val="en-US" w:eastAsia="en-US"/>
        </w:rPr>
      </w:pPr>
      <w:r w:rsidRPr="004914E9">
        <w:rPr>
          <w:b/>
          <w:bCs/>
        </w:rPr>
        <w:t>Fig</w:t>
      </w:r>
      <w:r w:rsidR="008E009B">
        <w:rPr>
          <w:b/>
          <w:bCs/>
          <w:lang w:val="en-US"/>
        </w:rPr>
        <w:t>.</w:t>
      </w:r>
      <w:r w:rsidRPr="004914E9">
        <w:rPr>
          <w:b/>
          <w:bCs/>
        </w:rPr>
        <w:t xml:space="preserve"> S3</w:t>
      </w:r>
      <w:r w:rsidRPr="008958B2">
        <w:t xml:space="preserve"> </w:t>
      </w:r>
      <w:r>
        <w:t>Relocation and clustering result</w:t>
      </w:r>
      <w:r w:rsidR="00DE0ED0">
        <w:t xml:space="preserve"> of 2021 data</w:t>
      </w:r>
      <w:r>
        <w:t xml:space="preserve"> by Growclust </w:t>
      </w:r>
      <w:r>
        <w:fldChar w:fldCharType="begin"/>
      </w:r>
      <w:r>
        <w:instrText xml:space="preserve"> ADDIN ZOTERO_ITEM CSL_CITATION {"citationID":"1k5vWJge","properties":{"formattedCitation":"(Trugman and Shearer 2017)","plainCitation":"(Trugman and Shearer 2017)","noteIndex":0},"citationItems":[{"id":33,"uris":["http://zotero.org/users/8725578/items/USJACPPD"],"itemData":{"id":33,"type":"article-journal","abstract":"Accurate earthquake locations are essential for providing reliable hazard assessments, understanding the physical mechanisms driving extended earthquake sequences, and interpreting fault structure. Techniques based on waveform cross correlation can significantly improve the precision of the relative locations of event pairs observed at a set of common stations. Here we describe GrowClust, an open-source, relative relocation algorithm that can provide robust relocation results for earthquake sequences over a wide range of spatial and temporal scales. The method uses input differential travel times, cross-correlation values, and reference starting locations, and applies a hybrid, hierarchical clustering algorithm to simultaneously group and relocate events within similar event clusters. The method is computationally efficient and numerically stable in its capacity to process large data sets and naturally applies greater weight to more similar event pairs. Additionally, it outputs location error estimates that can be used to help interpret the reliability and resolution of relocation results. As an example, we apply the GrowClust method to the recent Spanish Springs and Sheldon, Nevada, earthquake swarms. These sequences highlight the future potential for applying the GrowClust relocation method on a much larger scale within the region, where existing relocation results are sparse but vital for understanding the seismotectonics and seismic hazard of Nevada and eastern California.","container-title":"Seismological Research Letters","DOI":"10.1785/0220160188","ISSN":"0895-0695, 1938-2057","issue":"2A","journalAbbreviation":"Seismological Research Letters","language":"en","page":"379-391","source":"DOI.org (Crossref)","title":"GrowClust: A Hierarchical Clustering Algorithm for Relative Earthquake Relocation, with Application to the Spanish Springs and Sheldon, Nevada, Earthquake Sequences","title-short":"GrowClust","volume":"88","author":[{"family":"Trugman","given":"Daniel T."},{"family":"Shearer","given":"Peter M."}],"issued":{"date-parts":[["2017",3]]}}}],"schema":"https://github.com/citation-style-language/schema/raw/master/csl-citation.json"} </w:instrText>
      </w:r>
      <w:r>
        <w:fldChar w:fldCharType="separate"/>
      </w:r>
      <w:r>
        <w:rPr>
          <w:noProof/>
        </w:rPr>
        <w:t>(Trugman and Shearer 2017)</w:t>
      </w:r>
      <w:r>
        <w:fldChar w:fldCharType="end"/>
      </w:r>
      <w:r>
        <w:t>. Events are color coded by the cluster ID. (a) map view, (b) north-south cross-section, (c) east-west cross-section, and (d) RMS of travel residual (observed-predicted)</w:t>
      </w:r>
    </w:p>
    <w:p w14:paraId="49891FF5" w14:textId="05FE05A0" w:rsidR="00F23612" w:rsidRDefault="00F23612" w:rsidP="00921F96">
      <w:pPr>
        <w:rPr>
          <w:lang w:val="en-US" w:eastAsia="en-US"/>
        </w:rPr>
        <w:sectPr w:rsidR="00F23612" w:rsidSect="006D729F">
          <w:pgSz w:w="12240" w:h="15840"/>
          <w:pgMar w:top="1440" w:right="1440" w:bottom="1440" w:left="1440" w:header="708" w:footer="708" w:gutter="0"/>
          <w:cols w:space="708"/>
          <w:docGrid w:linePitch="360"/>
        </w:sectPr>
      </w:pPr>
    </w:p>
    <w:p w14:paraId="592BCA69" w14:textId="00011150" w:rsidR="004914E9" w:rsidRDefault="004914E9" w:rsidP="00DD1D3F">
      <w:pPr>
        <w:pStyle w:val="Caption"/>
        <w:rPr>
          <w:b/>
          <w:bCs/>
          <w:i w:val="0"/>
          <w:iCs w:val="0"/>
          <w:color w:val="auto"/>
          <w:sz w:val="24"/>
          <w:szCs w:val="24"/>
        </w:rPr>
      </w:pPr>
      <w:r>
        <w:rPr>
          <w:noProof/>
        </w:rPr>
        <w:lastRenderedPageBreak/>
        <w:drawing>
          <wp:inline distT="0" distB="0" distL="0" distR="0" wp14:anchorId="4401E482" wp14:editId="17A81CC8">
            <wp:extent cx="4815360" cy="7200000"/>
            <wp:effectExtent l="0" t="0" r="0" b="1270"/>
            <wp:docPr id="297435194" name="Picture 7"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435194" name="Picture 7" descr="A screenshot of a graph&#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15360" cy="7200000"/>
                    </a:xfrm>
                    <a:prstGeom prst="rect">
                      <a:avLst/>
                    </a:prstGeom>
                  </pic:spPr>
                </pic:pic>
              </a:graphicData>
            </a:graphic>
          </wp:inline>
        </w:drawing>
      </w:r>
    </w:p>
    <w:p w14:paraId="02A1A8C6" w14:textId="42A59372" w:rsidR="003201D1" w:rsidRDefault="00DD1D3F" w:rsidP="00DD1D3F">
      <w:pPr>
        <w:pStyle w:val="Caption"/>
        <w:rPr>
          <w:i w:val="0"/>
          <w:iCs w:val="0"/>
          <w:color w:val="auto"/>
          <w:sz w:val="24"/>
          <w:szCs w:val="24"/>
        </w:rPr>
      </w:pPr>
      <w:r w:rsidRPr="004914E9">
        <w:rPr>
          <w:b/>
          <w:bCs/>
          <w:i w:val="0"/>
          <w:iCs w:val="0"/>
          <w:color w:val="auto"/>
          <w:sz w:val="24"/>
          <w:szCs w:val="24"/>
        </w:rPr>
        <w:t>Fig</w:t>
      </w:r>
      <w:r w:rsidR="008E009B">
        <w:rPr>
          <w:b/>
          <w:bCs/>
          <w:i w:val="0"/>
          <w:iCs w:val="0"/>
          <w:color w:val="auto"/>
          <w:sz w:val="24"/>
          <w:szCs w:val="24"/>
        </w:rPr>
        <w:t>.</w:t>
      </w:r>
      <w:r w:rsidRPr="004914E9">
        <w:rPr>
          <w:b/>
          <w:bCs/>
          <w:i w:val="0"/>
          <w:iCs w:val="0"/>
          <w:color w:val="auto"/>
          <w:sz w:val="24"/>
          <w:szCs w:val="24"/>
        </w:rPr>
        <w:t xml:space="preserve"> </w:t>
      </w:r>
      <w:r w:rsidR="00AE6F3B" w:rsidRPr="004914E9">
        <w:rPr>
          <w:b/>
          <w:bCs/>
          <w:i w:val="0"/>
          <w:iCs w:val="0"/>
          <w:color w:val="auto"/>
          <w:sz w:val="24"/>
          <w:szCs w:val="24"/>
        </w:rPr>
        <w:t>S</w:t>
      </w:r>
      <w:r w:rsidR="00921F96" w:rsidRPr="004914E9">
        <w:rPr>
          <w:b/>
          <w:bCs/>
          <w:i w:val="0"/>
          <w:iCs w:val="0"/>
          <w:color w:val="auto"/>
          <w:sz w:val="24"/>
          <w:szCs w:val="24"/>
        </w:rPr>
        <w:t>4</w:t>
      </w:r>
      <w:r w:rsidR="00921F96">
        <w:rPr>
          <w:i w:val="0"/>
          <w:iCs w:val="0"/>
          <w:color w:val="auto"/>
          <w:sz w:val="24"/>
          <w:szCs w:val="24"/>
        </w:rPr>
        <w:t xml:space="preserve"> </w:t>
      </w:r>
      <w:r w:rsidR="00AE6F3B">
        <w:rPr>
          <w:i w:val="0"/>
          <w:iCs w:val="0"/>
          <w:color w:val="auto"/>
          <w:sz w:val="24"/>
          <w:szCs w:val="24"/>
        </w:rPr>
        <w:t>Performance test of polarity picking by deep learning to March-September 2021 data. (a) precision</w:t>
      </w:r>
      <w:r w:rsidR="00EA545F">
        <w:rPr>
          <w:i w:val="0"/>
          <w:iCs w:val="0"/>
          <w:color w:val="auto"/>
          <w:sz w:val="24"/>
          <w:szCs w:val="24"/>
        </w:rPr>
        <w:t xml:space="preserve"> of polarity picking with </w:t>
      </w:r>
      <w:r w:rsidR="00A7155E">
        <w:rPr>
          <w:i w:val="0"/>
          <w:iCs w:val="0"/>
          <w:color w:val="auto"/>
          <w:sz w:val="24"/>
          <w:szCs w:val="24"/>
        </w:rPr>
        <w:t>range</w:t>
      </w:r>
      <w:r w:rsidR="00EA545F">
        <w:rPr>
          <w:i w:val="0"/>
          <w:iCs w:val="0"/>
          <w:color w:val="auto"/>
          <w:sz w:val="24"/>
          <w:szCs w:val="24"/>
        </w:rPr>
        <w:t xml:space="preserve"> magnitude from Mw -1 to Mw </w:t>
      </w:r>
      <w:r w:rsidR="004F4277">
        <w:rPr>
          <w:i w:val="0"/>
          <w:iCs w:val="0"/>
          <w:color w:val="auto"/>
          <w:sz w:val="24"/>
          <w:szCs w:val="24"/>
        </w:rPr>
        <w:t>1</w:t>
      </w:r>
      <w:r w:rsidR="00AE6F3B">
        <w:rPr>
          <w:i w:val="0"/>
          <w:iCs w:val="0"/>
          <w:color w:val="auto"/>
          <w:sz w:val="24"/>
          <w:szCs w:val="24"/>
        </w:rPr>
        <w:t>, (b)</w:t>
      </w:r>
      <w:r w:rsidR="008E23DC">
        <w:rPr>
          <w:i w:val="0"/>
          <w:iCs w:val="0"/>
          <w:color w:val="auto"/>
          <w:sz w:val="24"/>
          <w:szCs w:val="24"/>
        </w:rPr>
        <w:t xml:space="preserve"> </w:t>
      </w:r>
      <w:r w:rsidR="00985AFF">
        <w:rPr>
          <w:i w:val="0"/>
          <w:iCs w:val="0"/>
          <w:color w:val="auto"/>
          <w:sz w:val="24"/>
          <w:szCs w:val="24"/>
        </w:rPr>
        <w:t xml:space="preserve">number of </w:t>
      </w:r>
      <w:proofErr w:type="gramStart"/>
      <w:r w:rsidR="00A7155E">
        <w:rPr>
          <w:i w:val="0"/>
          <w:iCs w:val="0"/>
          <w:color w:val="auto"/>
          <w:sz w:val="24"/>
          <w:szCs w:val="24"/>
        </w:rPr>
        <w:t>polarity</w:t>
      </w:r>
      <w:proofErr w:type="gramEnd"/>
      <w:r w:rsidR="00A7155E">
        <w:rPr>
          <w:i w:val="0"/>
          <w:iCs w:val="0"/>
          <w:color w:val="auto"/>
          <w:sz w:val="24"/>
          <w:szCs w:val="24"/>
        </w:rPr>
        <w:t xml:space="preserve"> detected with range magnitude from Mw -1 to Mw 1</w:t>
      </w:r>
      <w:r w:rsidR="00AF3010">
        <w:rPr>
          <w:i w:val="0"/>
          <w:iCs w:val="0"/>
          <w:color w:val="auto"/>
          <w:sz w:val="24"/>
          <w:szCs w:val="24"/>
        </w:rPr>
        <w:t>, (c) waveform example with polarity</w:t>
      </w:r>
    </w:p>
    <w:p w14:paraId="0D3E8E99" w14:textId="3797CE74" w:rsidR="002B37D8" w:rsidRDefault="002B37D8" w:rsidP="00752FC7">
      <w:pPr>
        <w:rPr>
          <w:lang w:val="en-US" w:eastAsia="en-US"/>
        </w:rPr>
        <w:sectPr w:rsidR="002B37D8" w:rsidSect="006D729F">
          <w:pgSz w:w="12240" w:h="15840"/>
          <w:pgMar w:top="1440" w:right="1440" w:bottom="1440" w:left="1440" w:header="708" w:footer="708" w:gutter="0"/>
          <w:cols w:space="708"/>
          <w:docGrid w:linePitch="360"/>
        </w:sectPr>
      </w:pPr>
    </w:p>
    <w:p w14:paraId="64D54A3A" w14:textId="18731A17" w:rsidR="004914E9" w:rsidRDefault="004914E9" w:rsidP="002D33BF">
      <w:pPr>
        <w:pStyle w:val="Caption"/>
        <w:rPr>
          <w:b/>
          <w:bCs/>
          <w:i w:val="0"/>
          <w:iCs w:val="0"/>
          <w:color w:val="auto"/>
          <w:sz w:val="24"/>
          <w:szCs w:val="24"/>
        </w:rPr>
      </w:pPr>
      <w:r w:rsidRPr="007335BC">
        <w:rPr>
          <w:noProof/>
        </w:rPr>
        <w:lastRenderedPageBreak/>
        <w:drawing>
          <wp:inline distT="0" distB="0" distL="0" distR="0" wp14:anchorId="12BC9C8E" wp14:editId="4C17F6D7">
            <wp:extent cx="5943600" cy="3100070"/>
            <wp:effectExtent l="0" t="0" r="0" b="0"/>
            <wp:docPr id="5" name="Content Placeholder 4" descr="A graph of different colored bars&#10;&#10;Description automatically generated">
              <a:extLst xmlns:a="http://schemas.openxmlformats.org/drawingml/2006/main">
                <a:ext uri="{FF2B5EF4-FFF2-40B4-BE49-F238E27FC236}">
                  <a16:creationId xmlns:a16="http://schemas.microsoft.com/office/drawing/2014/main" id="{542C5B65-E6F1-83E1-7843-074B8789C75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graph of different colored bars&#10;&#10;Description automatically generated">
                      <a:extLst>
                        <a:ext uri="{FF2B5EF4-FFF2-40B4-BE49-F238E27FC236}">
                          <a16:creationId xmlns:a16="http://schemas.microsoft.com/office/drawing/2014/main" id="{542C5B65-E6F1-83E1-7843-074B8789C752}"/>
                        </a:ext>
                      </a:extLst>
                    </pic:cNvPr>
                    <pic:cNvPicPr>
                      <a:picLocks noGrp="1" noChangeAspect="1"/>
                    </pic:cNvPicPr>
                  </pic:nvPicPr>
                  <pic:blipFill rotWithShape="1">
                    <a:blip r:embed="rId9"/>
                    <a:srcRect l="7164" t="10440" r="9213" b="2314"/>
                    <a:stretch/>
                  </pic:blipFill>
                  <pic:spPr>
                    <a:xfrm>
                      <a:off x="0" y="0"/>
                      <a:ext cx="5943600" cy="3100070"/>
                    </a:xfrm>
                    <a:prstGeom prst="rect">
                      <a:avLst/>
                    </a:prstGeom>
                  </pic:spPr>
                </pic:pic>
              </a:graphicData>
            </a:graphic>
          </wp:inline>
        </w:drawing>
      </w:r>
    </w:p>
    <w:p w14:paraId="4A04AA6B" w14:textId="77777777" w:rsidR="007335BC" w:rsidRDefault="00F731ED" w:rsidP="00F63531">
      <w:pPr>
        <w:pStyle w:val="Caption"/>
        <w:rPr>
          <w:i w:val="0"/>
          <w:iCs w:val="0"/>
          <w:color w:val="auto"/>
          <w:sz w:val="24"/>
          <w:szCs w:val="24"/>
        </w:rPr>
      </w:pPr>
      <w:r w:rsidRPr="004914E9">
        <w:rPr>
          <w:b/>
          <w:bCs/>
          <w:i w:val="0"/>
          <w:iCs w:val="0"/>
          <w:color w:val="auto"/>
          <w:sz w:val="24"/>
          <w:szCs w:val="24"/>
        </w:rPr>
        <w:t>Fig</w:t>
      </w:r>
      <w:r w:rsidR="008E009B">
        <w:rPr>
          <w:b/>
          <w:bCs/>
          <w:i w:val="0"/>
          <w:iCs w:val="0"/>
          <w:color w:val="auto"/>
          <w:sz w:val="24"/>
          <w:szCs w:val="24"/>
        </w:rPr>
        <w:t xml:space="preserve">. </w:t>
      </w:r>
      <w:r w:rsidR="00AE6F3B" w:rsidRPr="004914E9">
        <w:rPr>
          <w:b/>
          <w:bCs/>
          <w:i w:val="0"/>
          <w:iCs w:val="0"/>
          <w:color w:val="auto"/>
          <w:sz w:val="24"/>
          <w:szCs w:val="24"/>
        </w:rPr>
        <w:t>S</w:t>
      </w:r>
      <w:r w:rsidR="00921F96" w:rsidRPr="004914E9">
        <w:rPr>
          <w:b/>
          <w:bCs/>
          <w:i w:val="0"/>
          <w:iCs w:val="0"/>
          <w:color w:val="auto"/>
          <w:sz w:val="24"/>
          <w:szCs w:val="24"/>
        </w:rPr>
        <w:t>5</w:t>
      </w:r>
      <w:r w:rsidRPr="008958B2">
        <w:rPr>
          <w:i w:val="0"/>
          <w:iCs w:val="0"/>
          <w:color w:val="auto"/>
          <w:sz w:val="24"/>
          <w:szCs w:val="24"/>
        </w:rPr>
        <w:t xml:space="preserve"> </w:t>
      </w:r>
      <w:r w:rsidR="00AF3010">
        <w:rPr>
          <w:i w:val="0"/>
          <w:iCs w:val="0"/>
          <w:color w:val="auto"/>
          <w:sz w:val="24"/>
          <w:szCs w:val="24"/>
        </w:rPr>
        <w:t>Histogram of polarity picking by deep learning</w:t>
      </w:r>
      <w:r w:rsidR="001A4581">
        <w:rPr>
          <w:i w:val="0"/>
          <w:iCs w:val="0"/>
          <w:color w:val="auto"/>
          <w:sz w:val="24"/>
          <w:szCs w:val="24"/>
        </w:rPr>
        <w:t xml:space="preserve"> for Mw </w:t>
      </w:r>
      <w:r w:rsidR="00813B3E">
        <w:rPr>
          <w:rFonts w:cs="Times New Roman"/>
          <w:color w:val="000000"/>
        </w:rPr>
        <w:t xml:space="preserve">≥ </w:t>
      </w:r>
      <w:r w:rsidR="001A4581">
        <w:rPr>
          <w:i w:val="0"/>
          <w:iCs w:val="0"/>
          <w:color w:val="auto"/>
          <w:sz w:val="24"/>
          <w:szCs w:val="24"/>
        </w:rPr>
        <w:t>1</w:t>
      </w:r>
      <w:r w:rsidR="00AF3010">
        <w:rPr>
          <w:i w:val="0"/>
          <w:iCs w:val="0"/>
          <w:color w:val="auto"/>
          <w:sz w:val="24"/>
          <w:szCs w:val="24"/>
        </w:rPr>
        <w:t xml:space="preserve"> to data January 2019</w:t>
      </w:r>
      <w:r w:rsidR="00943B0A">
        <w:rPr>
          <w:i w:val="0"/>
          <w:iCs w:val="0"/>
          <w:color w:val="auto"/>
          <w:sz w:val="24"/>
          <w:szCs w:val="24"/>
        </w:rPr>
        <w:t>-February 2021</w:t>
      </w:r>
      <w:r w:rsidR="008F50A8">
        <w:rPr>
          <w:i w:val="0"/>
          <w:iCs w:val="0"/>
          <w:color w:val="auto"/>
          <w:sz w:val="24"/>
          <w:szCs w:val="24"/>
        </w:rPr>
        <w:t>. U is for polarity up, D is for polarity down</w:t>
      </w:r>
      <w:r w:rsidR="00B644C4">
        <w:rPr>
          <w:i w:val="0"/>
          <w:iCs w:val="0"/>
          <w:color w:val="auto"/>
          <w:sz w:val="24"/>
          <w:szCs w:val="24"/>
        </w:rPr>
        <w:t>,</w:t>
      </w:r>
      <w:r w:rsidR="008F50A8">
        <w:rPr>
          <w:i w:val="0"/>
          <w:iCs w:val="0"/>
          <w:color w:val="auto"/>
          <w:sz w:val="24"/>
          <w:szCs w:val="24"/>
        </w:rPr>
        <w:t xml:space="preserve"> and </w:t>
      </w:r>
      <w:r w:rsidR="00B644C4">
        <w:rPr>
          <w:i w:val="0"/>
          <w:iCs w:val="0"/>
          <w:color w:val="auto"/>
          <w:sz w:val="24"/>
          <w:szCs w:val="24"/>
        </w:rPr>
        <w:t>“?” for undetected polarity</w:t>
      </w:r>
    </w:p>
    <w:p w14:paraId="70951EB9" w14:textId="019AF05F" w:rsidR="00110FFC" w:rsidRPr="00F63531" w:rsidRDefault="00110FFC" w:rsidP="00CE08D8">
      <w:pPr>
        <w:rPr>
          <w:lang w:val="en-US" w:eastAsia="en-US"/>
        </w:rPr>
      </w:pPr>
    </w:p>
    <w:sectPr w:rsidR="00110FFC" w:rsidRPr="00F6353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Yu Mincho">
    <w:altName w:val="游明朝"/>
    <w:panose1 w:val="02020400000000000000"/>
    <w:charset w:val="80"/>
    <w:family w:val="roman"/>
    <w:notTrueType/>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41333A"/>
    <w:multiLevelType w:val="hybridMultilevel"/>
    <w:tmpl w:val="0A62B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2570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1D1"/>
    <w:rsid w:val="000149FB"/>
    <w:rsid w:val="0007623F"/>
    <w:rsid w:val="000F7A0F"/>
    <w:rsid w:val="00110218"/>
    <w:rsid w:val="00110FFC"/>
    <w:rsid w:val="001912B9"/>
    <w:rsid w:val="001A4581"/>
    <w:rsid w:val="002908CB"/>
    <w:rsid w:val="002951B7"/>
    <w:rsid w:val="002B37D8"/>
    <w:rsid w:val="002D33BF"/>
    <w:rsid w:val="003201D1"/>
    <w:rsid w:val="003223FE"/>
    <w:rsid w:val="00365DCD"/>
    <w:rsid w:val="003773E3"/>
    <w:rsid w:val="003A4C57"/>
    <w:rsid w:val="003E1653"/>
    <w:rsid w:val="00406D8B"/>
    <w:rsid w:val="0044292C"/>
    <w:rsid w:val="0047576A"/>
    <w:rsid w:val="004914E9"/>
    <w:rsid w:val="004D5F82"/>
    <w:rsid w:val="004F4277"/>
    <w:rsid w:val="00504F7D"/>
    <w:rsid w:val="00537844"/>
    <w:rsid w:val="00541072"/>
    <w:rsid w:val="005C041A"/>
    <w:rsid w:val="005C72FA"/>
    <w:rsid w:val="00611B45"/>
    <w:rsid w:val="00642A07"/>
    <w:rsid w:val="0067483D"/>
    <w:rsid w:val="006D729F"/>
    <w:rsid w:val="006E2CDE"/>
    <w:rsid w:val="007202BC"/>
    <w:rsid w:val="007335BC"/>
    <w:rsid w:val="00752FC7"/>
    <w:rsid w:val="007651A6"/>
    <w:rsid w:val="00772C91"/>
    <w:rsid w:val="00774144"/>
    <w:rsid w:val="007B6A87"/>
    <w:rsid w:val="007C152C"/>
    <w:rsid w:val="00813B3E"/>
    <w:rsid w:val="008958B2"/>
    <w:rsid w:val="008D1BDA"/>
    <w:rsid w:val="008E009B"/>
    <w:rsid w:val="008E23DC"/>
    <w:rsid w:val="008F2DD7"/>
    <w:rsid w:val="008F50A8"/>
    <w:rsid w:val="00921F96"/>
    <w:rsid w:val="009333FA"/>
    <w:rsid w:val="00943B0A"/>
    <w:rsid w:val="00981071"/>
    <w:rsid w:val="00985AFF"/>
    <w:rsid w:val="009F4E53"/>
    <w:rsid w:val="00A126F0"/>
    <w:rsid w:val="00A50D15"/>
    <w:rsid w:val="00A7155E"/>
    <w:rsid w:val="00A87EA3"/>
    <w:rsid w:val="00A92A0C"/>
    <w:rsid w:val="00AA1B57"/>
    <w:rsid w:val="00AC667C"/>
    <w:rsid w:val="00AE6F3B"/>
    <w:rsid w:val="00AF3010"/>
    <w:rsid w:val="00B00F85"/>
    <w:rsid w:val="00B20938"/>
    <w:rsid w:val="00B644C4"/>
    <w:rsid w:val="00B92A22"/>
    <w:rsid w:val="00BB36C9"/>
    <w:rsid w:val="00C10768"/>
    <w:rsid w:val="00C12B9E"/>
    <w:rsid w:val="00C97BCB"/>
    <w:rsid w:val="00CA2FC6"/>
    <w:rsid w:val="00CE08D8"/>
    <w:rsid w:val="00D1095A"/>
    <w:rsid w:val="00D566A3"/>
    <w:rsid w:val="00D940BF"/>
    <w:rsid w:val="00DC4FCA"/>
    <w:rsid w:val="00DD1D3F"/>
    <w:rsid w:val="00DE0ED0"/>
    <w:rsid w:val="00DE3828"/>
    <w:rsid w:val="00DF2EB7"/>
    <w:rsid w:val="00E37330"/>
    <w:rsid w:val="00E57D63"/>
    <w:rsid w:val="00E641FC"/>
    <w:rsid w:val="00EA545F"/>
    <w:rsid w:val="00F23612"/>
    <w:rsid w:val="00F41B2D"/>
    <w:rsid w:val="00F63531"/>
    <w:rsid w:val="00F731ED"/>
    <w:rsid w:val="00F77E7D"/>
    <w:rsid w:val="00FE66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2C97D"/>
  <w15:chartTrackingRefBased/>
  <w15:docId w15:val="{50CB29B3-86BC-4B10-B082-961A67136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JP"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1D1"/>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3201D1"/>
    <w:pPr>
      <w:spacing w:after="200"/>
    </w:pPr>
    <w:rPr>
      <w:rFonts w:eastAsiaTheme="minorHAnsi"/>
      <w:i/>
      <w:iCs/>
      <w:color w:val="44546A" w:themeColor="text2"/>
      <w:kern w:val="0"/>
      <w:sz w:val="18"/>
      <w:szCs w:val="18"/>
      <w:lang w:val="en-US" w:eastAsia="en-US"/>
      <w14:ligatures w14:val="none"/>
    </w:rPr>
  </w:style>
  <w:style w:type="paragraph" w:customStyle="1" w:styleId="FigCaption">
    <w:name w:val="FigCaption"/>
    <w:basedOn w:val="Caption"/>
    <w:next w:val="Normal"/>
    <w:rsid w:val="0047576A"/>
    <w:pPr>
      <w:spacing w:before="120" w:after="120"/>
      <w:ind w:left="540" w:hanging="540"/>
      <w:jc w:val="both"/>
    </w:pPr>
    <w:rPr>
      <w:rFonts w:eastAsiaTheme="minorEastAsia" w:cs="Times New Roman"/>
      <w:b/>
      <w:i w:val="0"/>
      <w:iCs w:val="0"/>
      <w:color w:val="auto"/>
      <w:szCs w:val="20"/>
    </w:rPr>
  </w:style>
  <w:style w:type="paragraph" w:styleId="ListParagraph">
    <w:name w:val="List Paragraph"/>
    <w:basedOn w:val="Normal"/>
    <w:uiPriority w:val="34"/>
    <w:qFormat/>
    <w:rsid w:val="007202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D5899-ED75-AD4A-A2DB-57D4B87DA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2352</TotalTime>
  <Pages>6</Pages>
  <Words>1496</Words>
  <Characters>8365</Characters>
  <Application>Microsoft Office Word</Application>
  <DocSecurity>0</DocSecurity>
  <Lines>199</Lines>
  <Paragraphs>106</Paragraphs>
  <ScaleCrop>false</ScaleCrop>
  <Company/>
  <LinksUpToDate>false</LinksUpToDate>
  <CharactersWithSpaces>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 Darisma</dc:creator>
  <cp:keywords/>
  <dc:description/>
  <cp:lastModifiedBy>Dian Darisma</cp:lastModifiedBy>
  <cp:revision>85</cp:revision>
  <dcterms:created xsi:type="dcterms:W3CDTF">2023-08-29T01:38:00Z</dcterms:created>
  <dcterms:modified xsi:type="dcterms:W3CDTF">2024-04-01T21:02:00Z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id="eh4K7Zcv"/&gt;&lt;style id="http://www.zotero.org/styles/apa" locale="en-US" hasBibliography="1" bibliographyStyleHasBeenSet="0"/&gt;&lt;prefs&gt;&lt;pref name="fieldType" value="Field"/&gt;&lt;/prefs&gt;&lt;/data&gt;</vt:lpwstr>
  </property>
</Properties>
</file>