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Overlap w:val="never"/>
        <w:tblW w:w="5665" w:type="dxa"/>
        <w:tblLayout w:type="fixed"/>
        <w:tblLook w:val="04A0" w:firstRow="1" w:lastRow="0" w:firstColumn="1" w:lastColumn="0" w:noHBand="0" w:noVBand="1"/>
      </w:tblPr>
      <w:tblGrid>
        <w:gridCol w:w="1165"/>
        <w:gridCol w:w="720"/>
        <w:gridCol w:w="720"/>
        <w:gridCol w:w="720"/>
        <w:gridCol w:w="720"/>
        <w:gridCol w:w="810"/>
        <w:gridCol w:w="810"/>
      </w:tblGrid>
      <w:tr w:rsidR="00C43936" w:rsidRPr="00A05036" w14:paraId="17873BA0" w14:textId="77777777" w:rsidTr="001D2E94">
        <w:trPr>
          <w:cantSplit/>
          <w:trHeight w:val="380"/>
        </w:trPr>
        <w:tc>
          <w:tcPr>
            <w:tcW w:w="116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4A713404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</w:p>
        </w:tc>
        <w:tc>
          <w:tcPr>
            <w:tcW w:w="72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73E54A67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25(OH)D</w:t>
            </w:r>
          </w:p>
          <w:p w14:paraId="3E64402A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(30-80)</w:t>
            </w:r>
          </w:p>
        </w:tc>
        <w:tc>
          <w:tcPr>
            <w:tcW w:w="720" w:type="dxa"/>
            <w:vAlign w:val="center"/>
          </w:tcPr>
          <w:p w14:paraId="26FE50B8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Ca (8.9-10.4)</w:t>
            </w:r>
          </w:p>
        </w:tc>
        <w:tc>
          <w:tcPr>
            <w:tcW w:w="720" w:type="dxa"/>
            <w:vAlign w:val="center"/>
          </w:tcPr>
          <w:p w14:paraId="056B64EF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Phos</w:t>
            </w:r>
          </w:p>
          <w:p w14:paraId="040BE03F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(3.5-5.3)</w:t>
            </w:r>
          </w:p>
        </w:tc>
        <w:tc>
          <w:tcPr>
            <w:tcW w:w="72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56A685EF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IGF-1</w:t>
            </w:r>
          </w:p>
          <w:p w14:paraId="4D6D12BE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(z-score)</w:t>
            </w:r>
          </w:p>
          <w:p w14:paraId="6C74D298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(-2.5-2.5)</w:t>
            </w:r>
          </w:p>
        </w:tc>
        <w:tc>
          <w:tcPr>
            <w:tcW w:w="810" w:type="dxa"/>
            <w:vAlign w:val="center"/>
          </w:tcPr>
          <w:p w14:paraId="58C00DAC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Albumin</w:t>
            </w:r>
          </w:p>
          <w:p w14:paraId="5AD97472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(3.9-5.0)</w:t>
            </w:r>
          </w:p>
        </w:tc>
        <w:tc>
          <w:tcPr>
            <w:tcW w:w="8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63552802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Prealbumin</w:t>
            </w:r>
          </w:p>
          <w:p w14:paraId="54ECB276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(13-32)</w:t>
            </w:r>
          </w:p>
        </w:tc>
      </w:tr>
      <w:tr w:rsidR="00C43936" w:rsidRPr="00A05036" w14:paraId="1A3CB318" w14:textId="77777777" w:rsidTr="001D2E94">
        <w:trPr>
          <w:trHeight w:val="236"/>
        </w:trPr>
        <w:tc>
          <w:tcPr>
            <w:tcW w:w="116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3A072C09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b/>
                <w:bCs/>
                <w:color w:val="auto"/>
                <w:sz w:val="15"/>
                <w:szCs w:val="15"/>
              </w:rPr>
              <w:t>At presentation</w:t>
            </w:r>
          </w:p>
        </w:tc>
        <w:tc>
          <w:tcPr>
            <w:tcW w:w="72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403136FA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&lt; 4.0</w:t>
            </w:r>
          </w:p>
        </w:tc>
        <w:tc>
          <w:tcPr>
            <w:tcW w:w="720" w:type="dxa"/>
            <w:vAlign w:val="center"/>
          </w:tcPr>
          <w:p w14:paraId="3B16E944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8.6</w:t>
            </w:r>
          </w:p>
        </w:tc>
        <w:tc>
          <w:tcPr>
            <w:tcW w:w="720" w:type="dxa"/>
            <w:vAlign w:val="center"/>
          </w:tcPr>
          <w:p w14:paraId="78FFA460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3.5</w:t>
            </w:r>
          </w:p>
        </w:tc>
        <w:tc>
          <w:tcPr>
            <w:tcW w:w="72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0251EC71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-</w:t>
            </w:r>
            <w:r>
              <w:rPr>
                <w:color w:val="auto"/>
                <w:sz w:val="15"/>
                <w:szCs w:val="15"/>
              </w:rPr>
              <w:t>2.5</w:t>
            </w:r>
          </w:p>
        </w:tc>
        <w:tc>
          <w:tcPr>
            <w:tcW w:w="810" w:type="dxa"/>
            <w:vAlign w:val="center"/>
          </w:tcPr>
          <w:p w14:paraId="1BE85E61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4.0</w:t>
            </w:r>
          </w:p>
        </w:tc>
        <w:tc>
          <w:tcPr>
            <w:tcW w:w="810" w:type="dxa"/>
            <w:vAlign w:val="center"/>
          </w:tcPr>
          <w:p w14:paraId="3C7972FA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19</w:t>
            </w:r>
          </w:p>
        </w:tc>
      </w:tr>
      <w:tr w:rsidR="00C43936" w:rsidRPr="00A05036" w14:paraId="6AD51720" w14:textId="77777777" w:rsidTr="001D2E94">
        <w:trPr>
          <w:trHeight w:val="137"/>
        </w:trPr>
        <w:tc>
          <w:tcPr>
            <w:tcW w:w="116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25AF6421" w14:textId="77777777" w:rsidR="00C43936" w:rsidRPr="00A05036" w:rsidRDefault="00C43936" w:rsidP="001D2E94">
            <w:pPr>
              <w:suppressOverlap/>
              <w:jc w:val="center"/>
              <w:rPr>
                <w:b/>
                <w:bCs/>
                <w:color w:val="auto"/>
                <w:sz w:val="15"/>
                <w:szCs w:val="15"/>
              </w:rPr>
            </w:pPr>
            <w:r>
              <w:rPr>
                <w:b/>
                <w:bCs/>
                <w:color w:val="auto"/>
                <w:sz w:val="15"/>
                <w:szCs w:val="15"/>
              </w:rPr>
              <w:t>After vitamin D replenishment</w:t>
            </w:r>
          </w:p>
        </w:tc>
        <w:tc>
          <w:tcPr>
            <w:tcW w:w="72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54A1199B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37 ng/mL</w:t>
            </w:r>
          </w:p>
        </w:tc>
        <w:tc>
          <w:tcPr>
            <w:tcW w:w="720" w:type="dxa"/>
            <w:vAlign w:val="center"/>
          </w:tcPr>
          <w:p w14:paraId="4360446C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9.6</w:t>
            </w:r>
          </w:p>
        </w:tc>
        <w:tc>
          <w:tcPr>
            <w:tcW w:w="720" w:type="dxa"/>
            <w:vAlign w:val="center"/>
          </w:tcPr>
          <w:p w14:paraId="5F2DB966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4.1</w:t>
            </w:r>
          </w:p>
        </w:tc>
        <w:tc>
          <w:tcPr>
            <w:tcW w:w="72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782E79E8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0.05</w:t>
            </w:r>
          </w:p>
        </w:tc>
        <w:tc>
          <w:tcPr>
            <w:tcW w:w="810" w:type="dxa"/>
            <w:vAlign w:val="center"/>
          </w:tcPr>
          <w:p w14:paraId="2A07C327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4.0</w:t>
            </w:r>
          </w:p>
        </w:tc>
        <w:tc>
          <w:tcPr>
            <w:tcW w:w="810" w:type="dxa"/>
            <w:vAlign w:val="center"/>
          </w:tcPr>
          <w:p w14:paraId="06D66B0A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19</w:t>
            </w:r>
          </w:p>
        </w:tc>
      </w:tr>
    </w:tbl>
    <w:p w14:paraId="2613E5D0" w14:textId="77777777" w:rsidR="00C43936" w:rsidRDefault="00C43936" w:rsidP="00C43936">
      <w:pPr>
        <w:pStyle w:val="Caption"/>
        <w:jc w:val="both"/>
        <w:rPr>
          <w:b/>
          <w:bCs/>
          <w:i w:val="0"/>
          <w:iCs w:val="0"/>
          <w:color w:val="000000" w:themeColor="text1"/>
        </w:rPr>
      </w:pPr>
    </w:p>
    <w:p w14:paraId="0BE5252F" w14:textId="467588F4" w:rsidR="00C43936" w:rsidRDefault="00C43936" w:rsidP="00C43936">
      <w:pPr>
        <w:pStyle w:val="Caption"/>
        <w:jc w:val="both"/>
      </w:pPr>
      <w:r>
        <w:rPr>
          <w:b/>
          <w:bCs/>
          <w:i w:val="0"/>
          <w:iCs w:val="0"/>
          <w:color w:val="000000" w:themeColor="text1"/>
        </w:rPr>
        <w:t>Table 1</w:t>
      </w:r>
      <w:r w:rsidRPr="006B3F9A">
        <w:rPr>
          <w:b/>
          <w:bCs/>
          <w:i w:val="0"/>
          <w:iCs w:val="0"/>
          <w:color w:val="000000" w:themeColor="text1"/>
        </w:rPr>
        <w:t>:</w:t>
      </w:r>
      <w:r>
        <w:rPr>
          <w:b/>
          <w:bCs/>
          <w:i w:val="0"/>
          <w:iCs w:val="0"/>
          <w:color w:val="000000" w:themeColor="text1"/>
        </w:rPr>
        <w:t xml:space="preserve"> Replenishment of vitamin D restores growth factor levels to normal</w:t>
      </w:r>
      <w:r w:rsidRPr="000F0FF3">
        <w:rPr>
          <w:b/>
          <w:bCs/>
          <w:i w:val="0"/>
          <w:iCs w:val="0"/>
          <w:color w:val="000000" w:themeColor="text1"/>
        </w:rPr>
        <w:t>.</w:t>
      </w:r>
      <w:r w:rsidRPr="004975A7">
        <w:rPr>
          <w:i w:val="0"/>
          <w:iCs w:val="0"/>
          <w:color w:val="000000" w:themeColor="text1"/>
        </w:rPr>
        <w:t xml:space="preserve"> </w:t>
      </w:r>
      <w:r>
        <w:rPr>
          <w:i w:val="0"/>
          <w:iCs w:val="0"/>
          <w:color w:val="000000" w:themeColor="text1"/>
        </w:rPr>
        <w:t xml:space="preserve">In our general endocrine clinic we evaluated a young adolescent with a premature growth plateau. Our initial evaluation was consistent with early rickets with an undetectable vitamin D and her phosphate at lower limit of normal and not yet low. Notably at presentation her IGF-1 was at the bottom of the normal range with and improved to the middle of the normal range with vitamin D repletion and without weight gain. </w:t>
      </w:r>
    </w:p>
    <w:tbl>
      <w:tblPr>
        <w:tblStyle w:val="TableGrid"/>
        <w:tblOverlap w:val="never"/>
        <w:tblW w:w="6475" w:type="dxa"/>
        <w:tblLayout w:type="fixed"/>
        <w:tblLook w:val="04A0" w:firstRow="1" w:lastRow="0" w:firstColumn="1" w:lastColumn="0" w:noHBand="0" w:noVBand="1"/>
      </w:tblPr>
      <w:tblGrid>
        <w:gridCol w:w="715"/>
        <w:gridCol w:w="630"/>
        <w:gridCol w:w="450"/>
        <w:gridCol w:w="810"/>
        <w:gridCol w:w="450"/>
        <w:gridCol w:w="540"/>
        <w:gridCol w:w="810"/>
        <w:gridCol w:w="720"/>
        <w:gridCol w:w="810"/>
        <w:gridCol w:w="540"/>
      </w:tblGrid>
      <w:tr w:rsidR="00C43936" w:rsidRPr="00A05036" w14:paraId="70CF5E32" w14:textId="77777777" w:rsidTr="001D2E94">
        <w:trPr>
          <w:cantSplit/>
          <w:trHeight w:val="380"/>
        </w:trPr>
        <w:tc>
          <w:tcPr>
            <w:tcW w:w="71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236C90FA" w14:textId="77777777" w:rsidR="00C43936" w:rsidRPr="00A05036" w:rsidRDefault="00C43936" w:rsidP="001D2E94">
            <w:pPr>
              <w:spacing w:beforeLines="80" w:before="192"/>
              <w:suppressOverlap/>
              <w:rPr>
                <w:color w:val="auto"/>
                <w:sz w:val="15"/>
                <w:szCs w:val="15"/>
              </w:rPr>
            </w:pPr>
          </w:p>
        </w:tc>
        <w:tc>
          <w:tcPr>
            <w:tcW w:w="63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17028769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Strength</w:t>
            </w:r>
          </w:p>
        </w:tc>
        <w:tc>
          <w:tcPr>
            <w:tcW w:w="45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571190A6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Lean mass</w:t>
            </w:r>
          </w:p>
        </w:tc>
        <w:tc>
          <w:tcPr>
            <w:tcW w:w="810" w:type="dxa"/>
          </w:tcPr>
          <w:p w14:paraId="57E71169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Strengthper muscle mass</w:t>
            </w:r>
          </w:p>
        </w:tc>
        <w:tc>
          <w:tcPr>
            <w:tcW w:w="45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5693D291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Fat mass</w:t>
            </w:r>
          </w:p>
        </w:tc>
        <w:tc>
          <w:tcPr>
            <w:tcW w:w="54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0001F453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weight</w:t>
            </w:r>
          </w:p>
        </w:tc>
        <w:tc>
          <w:tcPr>
            <w:tcW w:w="8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6606B9FD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Leptin production</w:t>
            </w:r>
          </w:p>
          <w:p w14:paraId="2B1A14B3" w14:textId="77777777" w:rsidR="00C439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per</w:t>
            </w:r>
          </w:p>
          <w:p w14:paraId="2298ED0C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>
              <w:rPr>
                <w:color w:val="auto"/>
                <w:sz w:val="15"/>
                <w:szCs w:val="15"/>
              </w:rPr>
              <w:t>fat mass</w:t>
            </w:r>
          </w:p>
        </w:tc>
        <w:tc>
          <w:tcPr>
            <w:tcW w:w="72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5FCAACEA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Leptin Sensitivity</w:t>
            </w:r>
          </w:p>
        </w:tc>
        <w:tc>
          <w:tcPr>
            <w:tcW w:w="8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7D5878C0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Myostatin production</w:t>
            </w:r>
            <w:r>
              <w:rPr>
                <w:color w:val="auto"/>
                <w:sz w:val="15"/>
                <w:szCs w:val="15"/>
              </w:rPr>
              <w:t xml:space="preserve"> per muscle mass</w:t>
            </w:r>
          </w:p>
        </w:tc>
        <w:tc>
          <w:tcPr>
            <w:tcW w:w="54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461D6598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Growth</w:t>
            </w:r>
          </w:p>
        </w:tc>
      </w:tr>
      <w:tr w:rsidR="00C43936" w:rsidRPr="00A05036" w14:paraId="171BD6C7" w14:textId="77777777" w:rsidTr="001D2E94">
        <w:trPr>
          <w:trHeight w:val="137"/>
        </w:trPr>
        <w:tc>
          <w:tcPr>
            <w:tcW w:w="71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5E5D862B" w14:textId="77777777" w:rsidR="00C43936" w:rsidRPr="00A05036" w:rsidRDefault="00C43936" w:rsidP="001D2E94">
            <w:pPr>
              <w:suppressOverlap/>
              <w:jc w:val="center"/>
              <w:rPr>
                <w:b/>
                <w:bCs/>
                <w:color w:val="auto"/>
                <w:sz w:val="15"/>
                <w:szCs w:val="15"/>
              </w:rPr>
            </w:pPr>
            <w:r w:rsidRPr="00A05036">
              <w:rPr>
                <w:b/>
                <w:bCs/>
                <w:color w:val="auto"/>
                <w:sz w:val="15"/>
                <w:szCs w:val="15"/>
              </w:rPr>
              <w:t>Normal D</w:t>
            </w:r>
          </w:p>
          <w:p w14:paraId="44F10FF0" w14:textId="77777777" w:rsidR="00C43936" w:rsidRPr="00A05036" w:rsidRDefault="00C43936" w:rsidP="001D2E94">
            <w:pPr>
              <w:suppressOverlap/>
              <w:jc w:val="center"/>
              <w:rPr>
                <w:i/>
                <w:iCs/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(</w:t>
            </w:r>
            <w:r w:rsidRPr="00A05036">
              <w:rPr>
                <w:i/>
                <w:iCs/>
                <w:color w:val="auto"/>
                <w:sz w:val="15"/>
                <w:szCs w:val="15"/>
              </w:rPr>
              <w:t>vs</w:t>
            </w:r>
          </w:p>
          <w:p w14:paraId="6EFD4EBD" w14:textId="77777777" w:rsidR="00C43936" w:rsidRPr="00A05036" w:rsidRDefault="00C43936" w:rsidP="001D2E94">
            <w:pPr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i/>
                <w:iCs/>
                <w:color w:val="auto"/>
                <w:sz w:val="15"/>
                <w:szCs w:val="15"/>
              </w:rPr>
              <w:t>Low D</w:t>
            </w:r>
            <w:r w:rsidRPr="00A05036">
              <w:rPr>
                <w:color w:val="auto"/>
                <w:sz w:val="15"/>
                <w:szCs w:val="15"/>
              </w:rPr>
              <w:t>)</w:t>
            </w:r>
          </w:p>
        </w:tc>
        <w:tc>
          <w:tcPr>
            <w:tcW w:w="63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06C29FBA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sym w:font="Symbol" w:char="F0AD"/>
            </w:r>
          </w:p>
        </w:tc>
        <w:tc>
          <w:tcPr>
            <w:tcW w:w="45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737647CF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-</w:t>
            </w:r>
          </w:p>
        </w:tc>
        <w:tc>
          <w:tcPr>
            <w:tcW w:w="810" w:type="dxa"/>
            <w:vAlign w:val="center"/>
          </w:tcPr>
          <w:p w14:paraId="1BADB49B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-</w:t>
            </w:r>
          </w:p>
        </w:tc>
        <w:tc>
          <w:tcPr>
            <w:tcW w:w="450" w:type="dxa"/>
            <w:vAlign w:val="center"/>
          </w:tcPr>
          <w:p w14:paraId="71F66111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-</w:t>
            </w:r>
          </w:p>
        </w:tc>
        <w:tc>
          <w:tcPr>
            <w:tcW w:w="540" w:type="dxa"/>
            <w:vAlign w:val="center"/>
          </w:tcPr>
          <w:p w14:paraId="13F6C350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-</w:t>
            </w:r>
          </w:p>
        </w:tc>
        <w:tc>
          <w:tcPr>
            <w:tcW w:w="8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7CAF8A88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sym w:font="Symbol" w:char="F0AD"/>
            </w:r>
          </w:p>
        </w:tc>
        <w:tc>
          <w:tcPr>
            <w:tcW w:w="72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756285A1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-</w:t>
            </w:r>
          </w:p>
        </w:tc>
        <w:tc>
          <w:tcPr>
            <w:tcW w:w="8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5FAD6600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sym w:font="Symbol" w:char="F0AF"/>
            </w:r>
          </w:p>
        </w:tc>
        <w:tc>
          <w:tcPr>
            <w:tcW w:w="54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1A2EF93A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sym w:font="Symbol" w:char="F0AD"/>
            </w:r>
          </w:p>
        </w:tc>
      </w:tr>
      <w:tr w:rsidR="00C43936" w:rsidRPr="00A05036" w14:paraId="156D9489" w14:textId="77777777" w:rsidTr="001D2E94">
        <w:trPr>
          <w:trHeight w:val="137"/>
        </w:trPr>
        <w:tc>
          <w:tcPr>
            <w:tcW w:w="715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220B4652" w14:textId="77777777" w:rsidR="00C43936" w:rsidRPr="00A05036" w:rsidRDefault="00C43936" w:rsidP="001D2E94">
            <w:pPr>
              <w:suppressOverlap/>
              <w:jc w:val="center"/>
              <w:rPr>
                <w:b/>
                <w:bCs/>
                <w:color w:val="auto"/>
                <w:sz w:val="15"/>
                <w:szCs w:val="15"/>
              </w:rPr>
            </w:pPr>
            <w:r w:rsidRPr="00A05036">
              <w:rPr>
                <w:b/>
                <w:bCs/>
                <w:color w:val="auto"/>
                <w:sz w:val="15"/>
                <w:szCs w:val="15"/>
              </w:rPr>
              <w:t>High-D</w:t>
            </w:r>
          </w:p>
          <w:p w14:paraId="259569D8" w14:textId="77777777" w:rsidR="00C43936" w:rsidRPr="00A05036" w:rsidRDefault="00C43936" w:rsidP="001D2E94">
            <w:pPr>
              <w:suppressOverlap/>
              <w:jc w:val="center"/>
              <w:rPr>
                <w:b/>
                <w:bCs/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(</w:t>
            </w:r>
            <w:r w:rsidRPr="00A05036">
              <w:rPr>
                <w:i/>
                <w:iCs/>
                <w:color w:val="auto"/>
                <w:sz w:val="15"/>
                <w:szCs w:val="15"/>
              </w:rPr>
              <w:t>vs Normal D</w:t>
            </w:r>
            <w:r w:rsidRPr="00A05036">
              <w:rPr>
                <w:color w:val="auto"/>
                <w:sz w:val="15"/>
                <w:szCs w:val="15"/>
              </w:rPr>
              <w:t>)</w:t>
            </w:r>
          </w:p>
        </w:tc>
        <w:tc>
          <w:tcPr>
            <w:tcW w:w="63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700A43D4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sym w:font="Symbol" w:char="F0AD"/>
            </w:r>
          </w:p>
        </w:tc>
        <w:tc>
          <w:tcPr>
            <w:tcW w:w="45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54D91D57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sym w:font="Symbol" w:char="F0AD"/>
            </w:r>
          </w:p>
        </w:tc>
        <w:tc>
          <w:tcPr>
            <w:tcW w:w="810" w:type="dxa"/>
            <w:vAlign w:val="center"/>
          </w:tcPr>
          <w:p w14:paraId="2847803A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sym w:font="Symbol" w:char="F0AD"/>
            </w:r>
          </w:p>
        </w:tc>
        <w:tc>
          <w:tcPr>
            <w:tcW w:w="450" w:type="dxa"/>
            <w:vAlign w:val="center"/>
          </w:tcPr>
          <w:p w14:paraId="5A0F00F1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sym w:font="Symbol" w:char="F0AF"/>
            </w:r>
          </w:p>
        </w:tc>
        <w:tc>
          <w:tcPr>
            <w:tcW w:w="540" w:type="dxa"/>
            <w:vAlign w:val="center"/>
          </w:tcPr>
          <w:p w14:paraId="0CA40F85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-</w:t>
            </w:r>
          </w:p>
        </w:tc>
        <w:tc>
          <w:tcPr>
            <w:tcW w:w="8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0CF41F5C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t>-</w:t>
            </w:r>
          </w:p>
        </w:tc>
        <w:tc>
          <w:tcPr>
            <w:tcW w:w="72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0C63CF30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sym w:font="Symbol" w:char="F0AD"/>
            </w:r>
          </w:p>
        </w:tc>
        <w:tc>
          <w:tcPr>
            <w:tcW w:w="81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6C1011D7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sym w:font="Symbol" w:char="F0AF"/>
            </w:r>
          </w:p>
        </w:tc>
        <w:tc>
          <w:tcPr>
            <w:tcW w:w="540" w:type="dxa"/>
            <w:tcMar>
              <w:top w:w="14" w:type="dxa"/>
              <w:left w:w="14" w:type="dxa"/>
              <w:bottom w:w="14" w:type="dxa"/>
              <w:right w:w="14" w:type="dxa"/>
            </w:tcMar>
            <w:vAlign w:val="center"/>
          </w:tcPr>
          <w:p w14:paraId="3F896828" w14:textId="77777777" w:rsidR="00C43936" w:rsidRPr="00A05036" w:rsidRDefault="00C43936" w:rsidP="001D2E94">
            <w:pPr>
              <w:spacing w:beforeLines="80" w:before="192"/>
              <w:suppressOverlap/>
              <w:jc w:val="center"/>
              <w:rPr>
                <w:color w:val="auto"/>
                <w:sz w:val="15"/>
                <w:szCs w:val="15"/>
              </w:rPr>
            </w:pPr>
            <w:r w:rsidRPr="00A05036">
              <w:rPr>
                <w:color w:val="auto"/>
                <w:sz w:val="15"/>
                <w:szCs w:val="15"/>
              </w:rPr>
              <w:sym w:font="Symbol" w:char="F0AD"/>
            </w:r>
          </w:p>
        </w:tc>
      </w:tr>
    </w:tbl>
    <w:p w14:paraId="7FCF156A" w14:textId="77777777" w:rsidR="00C43936" w:rsidRDefault="00C43936" w:rsidP="00C43936">
      <w:pPr>
        <w:pStyle w:val="Caption"/>
        <w:jc w:val="both"/>
        <w:rPr>
          <w:b/>
          <w:bCs/>
          <w:i w:val="0"/>
          <w:iCs w:val="0"/>
          <w:color w:val="000000" w:themeColor="text1"/>
        </w:rPr>
      </w:pPr>
    </w:p>
    <w:p w14:paraId="27E8029E" w14:textId="0AB93FBE" w:rsidR="00C43936" w:rsidRDefault="00C43936" w:rsidP="00C43936">
      <w:pPr>
        <w:pStyle w:val="Caption"/>
        <w:jc w:val="both"/>
      </w:pPr>
      <w:r>
        <w:rPr>
          <w:b/>
          <w:bCs/>
          <w:i w:val="0"/>
          <w:iCs w:val="0"/>
          <w:color w:val="000000" w:themeColor="text1"/>
        </w:rPr>
        <w:t>Table 2</w:t>
      </w:r>
      <w:r w:rsidRPr="006B3F9A">
        <w:rPr>
          <w:b/>
          <w:bCs/>
          <w:i w:val="0"/>
          <w:iCs w:val="0"/>
          <w:color w:val="000000" w:themeColor="text1"/>
        </w:rPr>
        <w:t>:</w:t>
      </w:r>
      <w:r>
        <w:rPr>
          <w:b/>
          <w:bCs/>
          <w:i w:val="0"/>
          <w:iCs w:val="0"/>
          <w:color w:val="000000" w:themeColor="text1"/>
        </w:rPr>
        <w:t xml:space="preserve"> </w:t>
      </w:r>
      <w:r w:rsidRPr="000F0FF3">
        <w:rPr>
          <w:b/>
          <w:bCs/>
          <w:i w:val="0"/>
          <w:iCs w:val="0"/>
          <w:color w:val="000000" w:themeColor="text1"/>
        </w:rPr>
        <w:t xml:space="preserve">High dose dietary vitamin D preferentially allocates excess calories to muscle </w:t>
      </w:r>
      <w:r>
        <w:rPr>
          <w:b/>
          <w:bCs/>
          <w:i w:val="0"/>
          <w:iCs w:val="0"/>
          <w:color w:val="000000" w:themeColor="text1"/>
        </w:rPr>
        <w:t xml:space="preserve">and growth </w:t>
      </w:r>
      <w:r w:rsidRPr="000F0FF3">
        <w:rPr>
          <w:b/>
          <w:bCs/>
          <w:i w:val="0"/>
          <w:iCs w:val="0"/>
          <w:color w:val="000000" w:themeColor="text1"/>
        </w:rPr>
        <w:t>instead of fat by increasing leptin production and sensitivity</w:t>
      </w:r>
      <w:r>
        <w:rPr>
          <w:b/>
          <w:bCs/>
          <w:i w:val="0"/>
          <w:iCs w:val="0"/>
          <w:color w:val="000000" w:themeColor="text1"/>
        </w:rPr>
        <w:t xml:space="preserve"> and decreasing myostatin production</w:t>
      </w:r>
      <w:r w:rsidRPr="000F0FF3">
        <w:rPr>
          <w:b/>
          <w:bCs/>
          <w:i w:val="0"/>
          <w:iCs w:val="0"/>
          <w:color w:val="000000" w:themeColor="text1"/>
        </w:rPr>
        <w:t>.</w:t>
      </w:r>
      <w:r w:rsidRPr="004975A7">
        <w:rPr>
          <w:i w:val="0"/>
          <w:iCs w:val="0"/>
          <w:color w:val="000000" w:themeColor="text1"/>
        </w:rPr>
        <w:t xml:space="preserve"> Normal</w:t>
      </w:r>
      <w:r>
        <w:rPr>
          <w:i w:val="0"/>
          <w:iCs w:val="0"/>
          <w:color w:val="000000" w:themeColor="text1"/>
        </w:rPr>
        <w:t xml:space="preserve">-D increases leptin production, decreases myostatin production, leading to increased allocation of excess calories to muscle with increased strength. High-D increases leptin sensitivity and decreases myostatin production, leading to increased allocation of excess calories to muscle with increased strength. as well as increased energy expenditure and linear growth. </w:t>
      </w:r>
      <w:r>
        <w:rPr>
          <w:b/>
          <w:bCs/>
          <w:i w:val="0"/>
          <w:iCs w:val="0"/>
          <w:color w:val="000000" w:themeColor="text1"/>
        </w:rPr>
        <w:t xml:space="preserve"> </w:t>
      </w:r>
    </w:p>
    <w:p w14:paraId="78F26F5E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936"/>
    <w:rsid w:val="00755780"/>
    <w:rsid w:val="00857596"/>
    <w:rsid w:val="00C4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01B11"/>
  <w15:chartTrackingRefBased/>
  <w15:docId w15:val="{68163A71-DF36-49A4-9DD5-8B9AE1450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936"/>
    <w:pPr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43936"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C43936"/>
    <w:pPr>
      <w:spacing w:after="0" w:line="240" w:lineRule="auto"/>
    </w:pPr>
    <w:rPr>
      <w:rFonts w:ascii="Arial" w:hAnsi="Arial" w:cs="Arial"/>
      <w:color w:val="000000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1295</Characters>
  <Application>Microsoft Office Word</Application>
  <DocSecurity>0</DocSecurity>
  <Lines>10</Lines>
  <Paragraphs>3</Paragraphs>
  <ScaleCrop>false</ScaleCrop>
  <Company>Springer Nature</Company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2024-05-08T05:09:00Z</dcterms:created>
  <dcterms:modified xsi:type="dcterms:W3CDTF">2024-05-08T05:10:00Z</dcterms:modified>
</cp:coreProperties>
</file>