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154CD" w14:textId="77777777" w:rsidR="001500FC" w:rsidRDefault="001500FC" w:rsidP="001500FC">
      <w:pPr>
        <w:pStyle w:val="Heading1"/>
      </w:pPr>
      <w:r>
        <w:t>Supplementary material</w:t>
      </w:r>
    </w:p>
    <w:tbl>
      <w:tblPr>
        <w:tblStyle w:val="Table"/>
        <w:tblW w:w="5000" w:type="pct"/>
        <w:tblInd w:w="0" w:type="dxa"/>
        <w:tblLook w:val="04A0" w:firstRow="1" w:lastRow="0" w:firstColumn="1" w:lastColumn="0" w:noHBand="0" w:noVBand="1"/>
      </w:tblPr>
      <w:tblGrid>
        <w:gridCol w:w="9360"/>
      </w:tblGrid>
      <w:tr w:rsidR="001500FC" w14:paraId="56E5DC06"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751F14CF" w14:textId="1ED73EE9" w:rsidR="001500FC" w:rsidRDefault="001500FC">
            <w:pPr>
              <w:jc w:val="center"/>
            </w:pPr>
            <w:r>
              <w:rPr>
                <w:noProof/>
              </w:rPr>
              <w:drawing>
                <wp:inline distT="0" distB="0" distL="0" distR="0" wp14:anchorId="5A7A97C2" wp14:editId="0FC6BBB4">
                  <wp:extent cx="5334000" cy="2476500"/>
                  <wp:effectExtent l="0" t="0" r="0" b="0"/>
                  <wp:docPr id="12339675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34000" cy="2476500"/>
                          </a:xfrm>
                          <a:prstGeom prst="rect">
                            <a:avLst/>
                          </a:prstGeom>
                          <a:noFill/>
                          <a:ln>
                            <a:noFill/>
                          </a:ln>
                        </pic:spPr>
                      </pic:pic>
                    </a:graphicData>
                  </a:graphic>
                </wp:inline>
              </w:drawing>
            </w:r>
          </w:p>
          <w:p w14:paraId="446E4F52" w14:textId="77777777" w:rsidR="001500FC" w:rsidRDefault="001500FC">
            <w:pPr>
              <w:pStyle w:val="ImageCaption"/>
              <w:spacing w:before="200"/>
            </w:pPr>
            <w:r>
              <w:t xml:space="preserve">Supplementary Figure 1. This figure shows the 21 tracked points by VI (left) and MP (right). For both frameworks the tracked landmarks where the same. VI returned x/y positions relative to the frames’ width and height, MP x/y/z positions normalized to the </w:t>
            </w:r>
            <w:proofErr w:type="gramStart"/>
            <w:r>
              <w:t>frames’</w:t>
            </w:r>
            <w:proofErr w:type="gramEnd"/>
            <w:r>
              <w:t xml:space="preserve"> and height as well as x/y/z positions in estimated world coordinates.</w:t>
            </w:r>
          </w:p>
        </w:tc>
      </w:tr>
    </w:tbl>
    <w:p w14:paraId="4B36A6D9"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252FE1B5"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0AABB66A" w14:textId="148B59E2" w:rsidR="001500FC" w:rsidRDefault="001500FC">
            <w:pPr>
              <w:jc w:val="center"/>
            </w:pPr>
            <w:r>
              <w:rPr>
                <w:noProof/>
              </w:rPr>
              <w:lastRenderedPageBreak/>
              <w:drawing>
                <wp:inline distT="0" distB="0" distL="0" distR="0" wp14:anchorId="2C1CE13E" wp14:editId="0807013A">
                  <wp:extent cx="5334000" cy="5486400"/>
                  <wp:effectExtent l="0" t="0" r="0" b="0"/>
                  <wp:docPr id="15841724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0" cy="5486400"/>
                          </a:xfrm>
                          <a:prstGeom prst="rect">
                            <a:avLst/>
                          </a:prstGeom>
                          <a:noFill/>
                          <a:ln>
                            <a:noFill/>
                          </a:ln>
                        </pic:spPr>
                      </pic:pic>
                    </a:graphicData>
                  </a:graphic>
                </wp:inline>
              </w:drawing>
            </w:r>
          </w:p>
          <w:p w14:paraId="7881C357" w14:textId="77777777" w:rsidR="001500FC" w:rsidRDefault="001500FC">
            <w:pPr>
              <w:pStyle w:val="ImageCaption"/>
              <w:spacing w:before="200"/>
            </w:pPr>
            <w:r>
              <w:t>Supplementary Figure 2. Example of qualitative tracking results of VI and MP for simulated and real data. The OMC markers did not interfere severely with the tracking.</w:t>
            </w:r>
          </w:p>
        </w:tc>
      </w:tr>
    </w:tbl>
    <w:p w14:paraId="38F2B565"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7C148952"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5225B8F6" w14:textId="79098C6C" w:rsidR="001500FC" w:rsidRDefault="001500FC">
            <w:pPr>
              <w:jc w:val="center"/>
            </w:pPr>
            <w:r>
              <w:rPr>
                <w:noProof/>
              </w:rPr>
              <w:lastRenderedPageBreak/>
              <w:drawing>
                <wp:inline distT="0" distB="0" distL="0" distR="0" wp14:anchorId="6AF9D359" wp14:editId="649D77BA">
                  <wp:extent cx="5334000" cy="5334000"/>
                  <wp:effectExtent l="0" t="0" r="0" b="0"/>
                  <wp:docPr id="18895206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34000" cy="5334000"/>
                          </a:xfrm>
                          <a:prstGeom prst="rect">
                            <a:avLst/>
                          </a:prstGeom>
                          <a:noFill/>
                          <a:ln>
                            <a:noFill/>
                          </a:ln>
                        </pic:spPr>
                      </pic:pic>
                    </a:graphicData>
                  </a:graphic>
                </wp:inline>
              </w:drawing>
            </w:r>
          </w:p>
          <w:p w14:paraId="0C3583F8" w14:textId="77777777" w:rsidR="001500FC" w:rsidRDefault="001500FC">
            <w:pPr>
              <w:pStyle w:val="ImageCaption"/>
              <w:spacing w:before="200"/>
            </w:pPr>
            <w:r>
              <w:t>Supplementary Figure 3. Estimated amplitude using the x/y/z axis of MP norm depending on camera viewpoint.</w:t>
            </w:r>
          </w:p>
        </w:tc>
      </w:tr>
    </w:tbl>
    <w:p w14:paraId="3AE512E3"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4D7DAAFF"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0112714D" w14:textId="02DEE173" w:rsidR="001500FC" w:rsidRDefault="001500FC">
            <w:pPr>
              <w:jc w:val="center"/>
            </w:pPr>
            <w:r>
              <w:rPr>
                <w:noProof/>
              </w:rPr>
              <w:lastRenderedPageBreak/>
              <w:drawing>
                <wp:inline distT="0" distB="0" distL="0" distR="0" wp14:anchorId="0D2DF6A5" wp14:editId="131696A2">
                  <wp:extent cx="5343525" cy="4000500"/>
                  <wp:effectExtent l="0" t="0" r="9525" b="0"/>
                  <wp:docPr id="1218247409" name="Picture 4" descr="A group of purple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247409" name="Picture 4" descr="A group of purple and yellow lin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43525" cy="4000500"/>
                          </a:xfrm>
                          <a:prstGeom prst="rect">
                            <a:avLst/>
                          </a:prstGeom>
                          <a:noFill/>
                          <a:ln>
                            <a:noFill/>
                          </a:ln>
                        </pic:spPr>
                      </pic:pic>
                    </a:graphicData>
                  </a:graphic>
                </wp:inline>
              </w:drawing>
            </w:r>
          </w:p>
          <w:p w14:paraId="3B913A7D" w14:textId="77777777" w:rsidR="001500FC" w:rsidRDefault="001500FC">
            <w:pPr>
              <w:pStyle w:val="ImageCaption"/>
              <w:spacing w:before="200"/>
            </w:pPr>
            <w:r>
              <w:t>Supplementary Figure 4. First five seconds of the frequency spectra derived from the simulated hand with linearly increasing amplitude. The power of the frequency bins was normalized to the maximum power of each second separately. MP world, MP world with z axis and MP norm with z-axis show noisier frequency spectra when the tremor amplitudes are small.</w:t>
            </w:r>
          </w:p>
        </w:tc>
      </w:tr>
    </w:tbl>
    <w:p w14:paraId="6915D8EB"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3E3A996C"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062F98E0" w14:textId="4A448FB1" w:rsidR="001500FC" w:rsidRDefault="001500FC">
            <w:pPr>
              <w:jc w:val="center"/>
            </w:pPr>
            <w:r>
              <w:rPr>
                <w:noProof/>
              </w:rPr>
              <w:lastRenderedPageBreak/>
              <w:drawing>
                <wp:inline distT="0" distB="0" distL="0" distR="0" wp14:anchorId="375BCE6A" wp14:editId="71382CAB">
                  <wp:extent cx="5334000" cy="5334000"/>
                  <wp:effectExtent l="0" t="0" r="0" b="0"/>
                  <wp:docPr id="12891205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34000" cy="5334000"/>
                          </a:xfrm>
                          <a:prstGeom prst="rect">
                            <a:avLst/>
                          </a:prstGeom>
                          <a:noFill/>
                          <a:ln>
                            <a:noFill/>
                          </a:ln>
                        </pic:spPr>
                      </pic:pic>
                    </a:graphicData>
                  </a:graphic>
                </wp:inline>
              </w:drawing>
            </w:r>
          </w:p>
          <w:p w14:paraId="6B087342" w14:textId="77777777" w:rsidR="001500FC" w:rsidRDefault="001500FC">
            <w:pPr>
              <w:pStyle w:val="ImageCaption"/>
              <w:spacing w:before="200"/>
            </w:pPr>
            <w:r>
              <w:t>Supplementary Figure 5. These scatterplots show the estimated amplitude of the CV frameworks against the OMC amplitude.</w:t>
            </w:r>
          </w:p>
        </w:tc>
      </w:tr>
    </w:tbl>
    <w:p w14:paraId="691C942E" w14:textId="77777777" w:rsidR="001500FC" w:rsidRDefault="001500FC" w:rsidP="001500FC">
      <w:pPr>
        <w:pStyle w:val="BodyText"/>
      </w:pPr>
      <w:r>
        <w:t xml:space="preserve"> </w:t>
      </w:r>
    </w:p>
    <w:p w14:paraId="086DA1A6" w14:textId="77777777" w:rsidR="001500FC" w:rsidRDefault="001500FC" w:rsidP="001500FC">
      <w:pPr>
        <w:pStyle w:val="TableCaption"/>
      </w:pPr>
      <w:r>
        <w:t>Supplementary Table 1: Absolute differences to OMC in mm of the estimated median amplitude</w:t>
      </w:r>
    </w:p>
    <w:tbl>
      <w:tblPr>
        <w:tblStyle w:val="Table"/>
        <w:tblW w:w="4747" w:type="pct"/>
        <w:tblInd w:w="0" w:type="dxa"/>
        <w:tblLook w:val="0020" w:firstRow="1" w:lastRow="0" w:firstColumn="0" w:lastColumn="0" w:noHBand="0" w:noVBand="0"/>
      </w:tblPr>
      <w:tblGrid>
        <w:gridCol w:w="2422"/>
        <w:gridCol w:w="1228"/>
        <w:gridCol w:w="1489"/>
        <w:gridCol w:w="1105"/>
        <w:gridCol w:w="1105"/>
        <w:gridCol w:w="1537"/>
      </w:tblGrid>
      <w:tr w:rsidR="001500FC" w14:paraId="601EB90F" w14:textId="77777777" w:rsidTr="001500FC">
        <w:trPr>
          <w:cnfStyle w:val="100000000000" w:firstRow="1" w:lastRow="0" w:firstColumn="0" w:lastColumn="0" w:oddVBand="0" w:evenVBand="0" w:oddHBand="0" w:evenHBand="0" w:firstRowFirstColumn="0" w:firstRowLastColumn="0" w:lastRowFirstColumn="0" w:lastRowLastColumn="0"/>
          <w:tblHeader/>
        </w:trPr>
        <w:tc>
          <w:tcPr>
            <w:tcW w:w="0" w:type="auto"/>
            <w:tcBorders>
              <w:top w:val="nil"/>
              <w:left w:val="nil"/>
              <w:right w:val="nil"/>
            </w:tcBorders>
          </w:tcPr>
          <w:p w14:paraId="70DF1739" w14:textId="77777777" w:rsidR="001500FC" w:rsidRDefault="001500FC">
            <w:pPr>
              <w:pStyle w:val="Compact"/>
            </w:pPr>
          </w:p>
        </w:tc>
        <w:tc>
          <w:tcPr>
            <w:tcW w:w="0" w:type="auto"/>
            <w:tcBorders>
              <w:top w:val="nil"/>
              <w:left w:val="nil"/>
              <w:right w:val="nil"/>
            </w:tcBorders>
            <w:hideMark/>
          </w:tcPr>
          <w:p w14:paraId="398ACF35" w14:textId="77777777" w:rsidR="001500FC" w:rsidRDefault="001500FC">
            <w:pPr>
              <w:pStyle w:val="Compact"/>
              <w:jc w:val="right"/>
            </w:pPr>
            <w:r>
              <w:t>Median</w:t>
            </w:r>
          </w:p>
        </w:tc>
        <w:tc>
          <w:tcPr>
            <w:tcW w:w="0" w:type="auto"/>
            <w:tcBorders>
              <w:top w:val="nil"/>
              <w:left w:val="nil"/>
              <w:right w:val="nil"/>
            </w:tcBorders>
            <w:hideMark/>
          </w:tcPr>
          <w:p w14:paraId="1D3BF481" w14:textId="77777777" w:rsidR="001500FC" w:rsidRDefault="001500FC">
            <w:pPr>
              <w:pStyle w:val="Compact"/>
              <w:jc w:val="right"/>
            </w:pPr>
            <w:r>
              <w:t>Minimum</w:t>
            </w:r>
          </w:p>
        </w:tc>
        <w:tc>
          <w:tcPr>
            <w:tcW w:w="0" w:type="auto"/>
            <w:tcBorders>
              <w:top w:val="nil"/>
              <w:left w:val="nil"/>
              <w:right w:val="nil"/>
            </w:tcBorders>
            <w:hideMark/>
          </w:tcPr>
          <w:p w14:paraId="201FC0F2" w14:textId="77777777" w:rsidR="001500FC" w:rsidRDefault="001500FC">
            <w:pPr>
              <w:pStyle w:val="Compact"/>
              <w:jc w:val="right"/>
            </w:pPr>
            <w:r>
              <w:t>IQR 25</w:t>
            </w:r>
          </w:p>
        </w:tc>
        <w:tc>
          <w:tcPr>
            <w:tcW w:w="0" w:type="auto"/>
            <w:tcBorders>
              <w:top w:val="nil"/>
              <w:left w:val="nil"/>
              <w:right w:val="nil"/>
            </w:tcBorders>
            <w:hideMark/>
          </w:tcPr>
          <w:p w14:paraId="7D39D3B6" w14:textId="77777777" w:rsidR="001500FC" w:rsidRDefault="001500FC">
            <w:pPr>
              <w:pStyle w:val="Compact"/>
              <w:jc w:val="right"/>
            </w:pPr>
            <w:r>
              <w:t>IQR 75</w:t>
            </w:r>
          </w:p>
        </w:tc>
        <w:tc>
          <w:tcPr>
            <w:tcW w:w="0" w:type="auto"/>
            <w:tcBorders>
              <w:top w:val="nil"/>
              <w:left w:val="nil"/>
              <w:right w:val="nil"/>
            </w:tcBorders>
            <w:hideMark/>
          </w:tcPr>
          <w:p w14:paraId="2E7BD81E" w14:textId="77777777" w:rsidR="001500FC" w:rsidRDefault="001500FC">
            <w:pPr>
              <w:pStyle w:val="Compact"/>
              <w:jc w:val="right"/>
            </w:pPr>
            <w:r>
              <w:t>Maximum</w:t>
            </w:r>
          </w:p>
        </w:tc>
      </w:tr>
      <w:tr w:rsidR="001500FC" w14:paraId="3B0DEC07" w14:textId="77777777" w:rsidTr="001500FC">
        <w:tc>
          <w:tcPr>
            <w:tcW w:w="0" w:type="auto"/>
            <w:hideMark/>
          </w:tcPr>
          <w:p w14:paraId="15AE5D34" w14:textId="77777777" w:rsidR="001500FC" w:rsidRDefault="001500FC">
            <w:pPr>
              <w:pStyle w:val="Compact"/>
            </w:pPr>
            <w:r>
              <w:t>MP world</w:t>
            </w:r>
          </w:p>
        </w:tc>
        <w:tc>
          <w:tcPr>
            <w:tcW w:w="0" w:type="auto"/>
            <w:hideMark/>
          </w:tcPr>
          <w:p w14:paraId="5D3A44D1" w14:textId="77777777" w:rsidR="001500FC" w:rsidRDefault="001500FC">
            <w:pPr>
              <w:pStyle w:val="Compact"/>
              <w:jc w:val="right"/>
            </w:pPr>
            <w:r>
              <w:t>11</w:t>
            </w:r>
          </w:p>
        </w:tc>
        <w:tc>
          <w:tcPr>
            <w:tcW w:w="0" w:type="auto"/>
            <w:hideMark/>
          </w:tcPr>
          <w:p w14:paraId="1F6EF738" w14:textId="77777777" w:rsidR="001500FC" w:rsidRDefault="001500FC">
            <w:pPr>
              <w:pStyle w:val="Compact"/>
              <w:jc w:val="right"/>
            </w:pPr>
            <w:r>
              <w:t>2</w:t>
            </w:r>
          </w:p>
        </w:tc>
        <w:tc>
          <w:tcPr>
            <w:tcW w:w="0" w:type="auto"/>
            <w:hideMark/>
          </w:tcPr>
          <w:p w14:paraId="7F0EEB64" w14:textId="77777777" w:rsidR="001500FC" w:rsidRDefault="001500FC">
            <w:pPr>
              <w:pStyle w:val="Compact"/>
              <w:jc w:val="right"/>
            </w:pPr>
            <w:r>
              <w:t>8</w:t>
            </w:r>
          </w:p>
        </w:tc>
        <w:tc>
          <w:tcPr>
            <w:tcW w:w="0" w:type="auto"/>
            <w:hideMark/>
          </w:tcPr>
          <w:p w14:paraId="7A69698A" w14:textId="77777777" w:rsidR="001500FC" w:rsidRDefault="001500FC">
            <w:pPr>
              <w:pStyle w:val="Compact"/>
              <w:jc w:val="right"/>
            </w:pPr>
            <w:r>
              <w:t>18</w:t>
            </w:r>
          </w:p>
        </w:tc>
        <w:tc>
          <w:tcPr>
            <w:tcW w:w="0" w:type="auto"/>
            <w:hideMark/>
          </w:tcPr>
          <w:p w14:paraId="3902CA0B" w14:textId="77777777" w:rsidR="001500FC" w:rsidRDefault="001500FC">
            <w:pPr>
              <w:pStyle w:val="Compact"/>
              <w:jc w:val="right"/>
            </w:pPr>
            <w:r>
              <w:t>133</w:t>
            </w:r>
          </w:p>
        </w:tc>
      </w:tr>
      <w:tr w:rsidR="001500FC" w14:paraId="0C189B82" w14:textId="77777777" w:rsidTr="001500FC">
        <w:tc>
          <w:tcPr>
            <w:tcW w:w="0" w:type="auto"/>
            <w:hideMark/>
          </w:tcPr>
          <w:p w14:paraId="20248ED4" w14:textId="77777777" w:rsidR="001500FC" w:rsidRDefault="001500FC">
            <w:pPr>
              <w:pStyle w:val="Compact"/>
            </w:pPr>
            <w:r>
              <w:t>MP world (z-axis)</w:t>
            </w:r>
          </w:p>
        </w:tc>
        <w:tc>
          <w:tcPr>
            <w:tcW w:w="0" w:type="auto"/>
            <w:hideMark/>
          </w:tcPr>
          <w:p w14:paraId="35881D07" w14:textId="77777777" w:rsidR="001500FC" w:rsidRDefault="001500FC">
            <w:pPr>
              <w:pStyle w:val="Compact"/>
              <w:jc w:val="right"/>
            </w:pPr>
            <w:r>
              <w:t>25</w:t>
            </w:r>
          </w:p>
        </w:tc>
        <w:tc>
          <w:tcPr>
            <w:tcW w:w="0" w:type="auto"/>
            <w:hideMark/>
          </w:tcPr>
          <w:p w14:paraId="41CE705B" w14:textId="77777777" w:rsidR="001500FC" w:rsidRDefault="001500FC">
            <w:pPr>
              <w:pStyle w:val="Compact"/>
              <w:jc w:val="right"/>
            </w:pPr>
            <w:r>
              <w:t>0</w:t>
            </w:r>
          </w:p>
        </w:tc>
        <w:tc>
          <w:tcPr>
            <w:tcW w:w="0" w:type="auto"/>
            <w:hideMark/>
          </w:tcPr>
          <w:p w14:paraId="27B93298" w14:textId="77777777" w:rsidR="001500FC" w:rsidRDefault="001500FC">
            <w:pPr>
              <w:pStyle w:val="Compact"/>
              <w:jc w:val="right"/>
            </w:pPr>
            <w:r>
              <w:t>13</w:t>
            </w:r>
          </w:p>
        </w:tc>
        <w:tc>
          <w:tcPr>
            <w:tcW w:w="0" w:type="auto"/>
            <w:hideMark/>
          </w:tcPr>
          <w:p w14:paraId="06D6BB67" w14:textId="77777777" w:rsidR="001500FC" w:rsidRDefault="001500FC">
            <w:pPr>
              <w:pStyle w:val="Compact"/>
              <w:jc w:val="right"/>
            </w:pPr>
            <w:r>
              <w:t>45</w:t>
            </w:r>
          </w:p>
        </w:tc>
        <w:tc>
          <w:tcPr>
            <w:tcW w:w="0" w:type="auto"/>
            <w:hideMark/>
          </w:tcPr>
          <w:p w14:paraId="76E00B26" w14:textId="77777777" w:rsidR="001500FC" w:rsidRDefault="001500FC">
            <w:pPr>
              <w:pStyle w:val="Compact"/>
              <w:jc w:val="right"/>
            </w:pPr>
            <w:r>
              <w:t>129</w:t>
            </w:r>
          </w:p>
        </w:tc>
      </w:tr>
      <w:tr w:rsidR="001500FC" w14:paraId="230373A4" w14:textId="77777777" w:rsidTr="001500FC">
        <w:tc>
          <w:tcPr>
            <w:tcW w:w="0" w:type="auto"/>
            <w:hideMark/>
          </w:tcPr>
          <w:p w14:paraId="27127084" w14:textId="77777777" w:rsidR="001500FC" w:rsidRDefault="001500FC">
            <w:pPr>
              <w:pStyle w:val="Compact"/>
            </w:pPr>
            <w:r>
              <w:t>MP norm</w:t>
            </w:r>
          </w:p>
        </w:tc>
        <w:tc>
          <w:tcPr>
            <w:tcW w:w="0" w:type="auto"/>
            <w:hideMark/>
          </w:tcPr>
          <w:p w14:paraId="09734AD4" w14:textId="77777777" w:rsidR="001500FC" w:rsidRDefault="001500FC">
            <w:pPr>
              <w:pStyle w:val="Compact"/>
              <w:jc w:val="right"/>
            </w:pPr>
            <w:r>
              <w:t>5</w:t>
            </w:r>
          </w:p>
        </w:tc>
        <w:tc>
          <w:tcPr>
            <w:tcW w:w="0" w:type="auto"/>
            <w:hideMark/>
          </w:tcPr>
          <w:p w14:paraId="270A5672" w14:textId="77777777" w:rsidR="001500FC" w:rsidRDefault="001500FC">
            <w:pPr>
              <w:pStyle w:val="Compact"/>
              <w:jc w:val="right"/>
            </w:pPr>
            <w:r>
              <w:t>0</w:t>
            </w:r>
          </w:p>
        </w:tc>
        <w:tc>
          <w:tcPr>
            <w:tcW w:w="0" w:type="auto"/>
            <w:hideMark/>
          </w:tcPr>
          <w:p w14:paraId="52A32C6E" w14:textId="77777777" w:rsidR="001500FC" w:rsidRDefault="001500FC">
            <w:pPr>
              <w:pStyle w:val="Compact"/>
              <w:jc w:val="right"/>
            </w:pPr>
            <w:r>
              <w:t>2</w:t>
            </w:r>
          </w:p>
        </w:tc>
        <w:tc>
          <w:tcPr>
            <w:tcW w:w="0" w:type="auto"/>
            <w:hideMark/>
          </w:tcPr>
          <w:p w14:paraId="58EC49B5" w14:textId="77777777" w:rsidR="001500FC" w:rsidRDefault="001500FC">
            <w:pPr>
              <w:pStyle w:val="Compact"/>
              <w:jc w:val="right"/>
            </w:pPr>
            <w:r>
              <w:t>22</w:t>
            </w:r>
          </w:p>
        </w:tc>
        <w:tc>
          <w:tcPr>
            <w:tcW w:w="0" w:type="auto"/>
            <w:hideMark/>
          </w:tcPr>
          <w:p w14:paraId="7BD4851C" w14:textId="77777777" w:rsidR="001500FC" w:rsidRDefault="001500FC">
            <w:pPr>
              <w:pStyle w:val="Compact"/>
              <w:jc w:val="right"/>
            </w:pPr>
            <w:r>
              <w:t>140</w:t>
            </w:r>
          </w:p>
        </w:tc>
      </w:tr>
      <w:tr w:rsidR="001500FC" w14:paraId="46FD7A95" w14:textId="77777777" w:rsidTr="001500FC">
        <w:tc>
          <w:tcPr>
            <w:tcW w:w="0" w:type="auto"/>
            <w:hideMark/>
          </w:tcPr>
          <w:p w14:paraId="567826C7" w14:textId="77777777" w:rsidR="001500FC" w:rsidRDefault="001500FC">
            <w:pPr>
              <w:pStyle w:val="Compact"/>
            </w:pPr>
            <w:r>
              <w:t>MP norm (z-axis)</w:t>
            </w:r>
          </w:p>
        </w:tc>
        <w:tc>
          <w:tcPr>
            <w:tcW w:w="0" w:type="auto"/>
            <w:hideMark/>
          </w:tcPr>
          <w:p w14:paraId="5A749614" w14:textId="77777777" w:rsidR="001500FC" w:rsidRDefault="001500FC">
            <w:pPr>
              <w:pStyle w:val="Compact"/>
              <w:jc w:val="right"/>
            </w:pPr>
            <w:r>
              <w:t>10</w:t>
            </w:r>
          </w:p>
        </w:tc>
        <w:tc>
          <w:tcPr>
            <w:tcW w:w="0" w:type="auto"/>
            <w:hideMark/>
          </w:tcPr>
          <w:p w14:paraId="45AE6BC9" w14:textId="77777777" w:rsidR="001500FC" w:rsidRDefault="001500FC">
            <w:pPr>
              <w:pStyle w:val="Compact"/>
              <w:jc w:val="right"/>
            </w:pPr>
            <w:r>
              <w:t>0</w:t>
            </w:r>
          </w:p>
        </w:tc>
        <w:tc>
          <w:tcPr>
            <w:tcW w:w="0" w:type="auto"/>
            <w:hideMark/>
          </w:tcPr>
          <w:p w14:paraId="4F69D4C9" w14:textId="77777777" w:rsidR="001500FC" w:rsidRDefault="001500FC">
            <w:pPr>
              <w:pStyle w:val="Compact"/>
              <w:jc w:val="right"/>
            </w:pPr>
            <w:r>
              <w:t>3</w:t>
            </w:r>
          </w:p>
        </w:tc>
        <w:tc>
          <w:tcPr>
            <w:tcW w:w="0" w:type="auto"/>
            <w:hideMark/>
          </w:tcPr>
          <w:p w14:paraId="2A1509E6" w14:textId="77777777" w:rsidR="001500FC" w:rsidRDefault="001500FC">
            <w:pPr>
              <w:pStyle w:val="Compact"/>
              <w:jc w:val="right"/>
            </w:pPr>
            <w:r>
              <w:t>18</w:t>
            </w:r>
          </w:p>
        </w:tc>
        <w:tc>
          <w:tcPr>
            <w:tcW w:w="0" w:type="auto"/>
            <w:hideMark/>
          </w:tcPr>
          <w:p w14:paraId="04297F18" w14:textId="77777777" w:rsidR="001500FC" w:rsidRDefault="001500FC">
            <w:pPr>
              <w:pStyle w:val="Compact"/>
              <w:jc w:val="right"/>
            </w:pPr>
            <w:r>
              <w:t>136</w:t>
            </w:r>
          </w:p>
        </w:tc>
      </w:tr>
      <w:tr w:rsidR="001500FC" w14:paraId="0E5966E6" w14:textId="77777777" w:rsidTr="001500FC">
        <w:tc>
          <w:tcPr>
            <w:tcW w:w="0" w:type="auto"/>
            <w:hideMark/>
          </w:tcPr>
          <w:p w14:paraId="05548F2F" w14:textId="77777777" w:rsidR="001500FC" w:rsidRDefault="001500FC">
            <w:pPr>
              <w:pStyle w:val="Compact"/>
            </w:pPr>
            <w:r>
              <w:t>VI</w:t>
            </w:r>
          </w:p>
        </w:tc>
        <w:tc>
          <w:tcPr>
            <w:tcW w:w="0" w:type="auto"/>
            <w:hideMark/>
          </w:tcPr>
          <w:p w14:paraId="1805A484" w14:textId="77777777" w:rsidR="001500FC" w:rsidRDefault="001500FC">
            <w:pPr>
              <w:pStyle w:val="Compact"/>
              <w:jc w:val="right"/>
            </w:pPr>
            <w:r>
              <w:t>7</w:t>
            </w:r>
          </w:p>
        </w:tc>
        <w:tc>
          <w:tcPr>
            <w:tcW w:w="0" w:type="auto"/>
            <w:hideMark/>
          </w:tcPr>
          <w:p w14:paraId="2B851666" w14:textId="77777777" w:rsidR="001500FC" w:rsidRDefault="001500FC">
            <w:pPr>
              <w:pStyle w:val="Compact"/>
              <w:jc w:val="right"/>
            </w:pPr>
            <w:r>
              <w:t>1</w:t>
            </w:r>
          </w:p>
        </w:tc>
        <w:tc>
          <w:tcPr>
            <w:tcW w:w="0" w:type="auto"/>
            <w:hideMark/>
          </w:tcPr>
          <w:p w14:paraId="2BB9149B" w14:textId="77777777" w:rsidR="001500FC" w:rsidRDefault="001500FC">
            <w:pPr>
              <w:pStyle w:val="Compact"/>
              <w:jc w:val="right"/>
            </w:pPr>
            <w:r>
              <w:t>5</w:t>
            </w:r>
          </w:p>
        </w:tc>
        <w:tc>
          <w:tcPr>
            <w:tcW w:w="0" w:type="auto"/>
            <w:hideMark/>
          </w:tcPr>
          <w:p w14:paraId="76585812" w14:textId="77777777" w:rsidR="001500FC" w:rsidRDefault="001500FC">
            <w:pPr>
              <w:pStyle w:val="Compact"/>
              <w:jc w:val="right"/>
            </w:pPr>
            <w:r>
              <w:t>20</w:t>
            </w:r>
          </w:p>
        </w:tc>
        <w:tc>
          <w:tcPr>
            <w:tcW w:w="0" w:type="auto"/>
            <w:hideMark/>
          </w:tcPr>
          <w:p w14:paraId="36379B9B" w14:textId="77777777" w:rsidR="001500FC" w:rsidRDefault="001500FC">
            <w:pPr>
              <w:pStyle w:val="Compact"/>
              <w:jc w:val="right"/>
            </w:pPr>
            <w:r>
              <w:t>103</w:t>
            </w:r>
          </w:p>
        </w:tc>
      </w:tr>
    </w:tbl>
    <w:p w14:paraId="16CD3403" w14:textId="77777777" w:rsidR="001500FC" w:rsidRDefault="001500FC" w:rsidP="001500FC">
      <w:pPr>
        <w:pStyle w:val="BodyText"/>
      </w:pPr>
      <w:r>
        <w:lastRenderedPageBreak/>
        <w:t xml:space="preserve"> </w:t>
      </w:r>
    </w:p>
    <w:p w14:paraId="5951223E" w14:textId="77777777" w:rsidR="001500FC" w:rsidRDefault="001500FC" w:rsidP="001500FC">
      <w:pPr>
        <w:pStyle w:val="TableCaption"/>
      </w:pPr>
      <w:r>
        <w:t>Supplementary Table 2: Relative differences to OMC in % OMC of the estimated median amplitude</w:t>
      </w:r>
    </w:p>
    <w:tbl>
      <w:tblPr>
        <w:tblStyle w:val="Table"/>
        <w:tblW w:w="4747" w:type="pct"/>
        <w:tblInd w:w="0" w:type="dxa"/>
        <w:tblLook w:val="0020" w:firstRow="1" w:lastRow="0" w:firstColumn="0" w:lastColumn="0" w:noHBand="0" w:noVBand="0"/>
      </w:tblPr>
      <w:tblGrid>
        <w:gridCol w:w="2422"/>
        <w:gridCol w:w="1228"/>
        <w:gridCol w:w="1489"/>
        <w:gridCol w:w="1105"/>
        <w:gridCol w:w="1105"/>
        <w:gridCol w:w="1537"/>
      </w:tblGrid>
      <w:tr w:rsidR="001500FC" w14:paraId="46F8A80B" w14:textId="77777777" w:rsidTr="001500FC">
        <w:trPr>
          <w:cnfStyle w:val="100000000000" w:firstRow="1" w:lastRow="0" w:firstColumn="0" w:lastColumn="0" w:oddVBand="0" w:evenVBand="0" w:oddHBand="0" w:evenHBand="0" w:firstRowFirstColumn="0" w:firstRowLastColumn="0" w:lastRowFirstColumn="0" w:lastRowLastColumn="0"/>
          <w:tblHeader/>
        </w:trPr>
        <w:tc>
          <w:tcPr>
            <w:tcW w:w="0" w:type="auto"/>
            <w:tcBorders>
              <w:top w:val="nil"/>
              <w:left w:val="nil"/>
              <w:right w:val="nil"/>
            </w:tcBorders>
          </w:tcPr>
          <w:p w14:paraId="189B857C" w14:textId="77777777" w:rsidR="001500FC" w:rsidRDefault="001500FC">
            <w:pPr>
              <w:pStyle w:val="Compact"/>
            </w:pPr>
          </w:p>
        </w:tc>
        <w:tc>
          <w:tcPr>
            <w:tcW w:w="0" w:type="auto"/>
            <w:tcBorders>
              <w:top w:val="nil"/>
              <w:left w:val="nil"/>
              <w:right w:val="nil"/>
            </w:tcBorders>
            <w:hideMark/>
          </w:tcPr>
          <w:p w14:paraId="215C9B2C" w14:textId="77777777" w:rsidR="001500FC" w:rsidRDefault="001500FC">
            <w:pPr>
              <w:pStyle w:val="Compact"/>
              <w:jc w:val="right"/>
            </w:pPr>
            <w:r>
              <w:t>Median</w:t>
            </w:r>
          </w:p>
        </w:tc>
        <w:tc>
          <w:tcPr>
            <w:tcW w:w="0" w:type="auto"/>
            <w:tcBorders>
              <w:top w:val="nil"/>
              <w:left w:val="nil"/>
              <w:right w:val="nil"/>
            </w:tcBorders>
            <w:hideMark/>
          </w:tcPr>
          <w:p w14:paraId="78B9B881" w14:textId="77777777" w:rsidR="001500FC" w:rsidRDefault="001500FC">
            <w:pPr>
              <w:pStyle w:val="Compact"/>
              <w:jc w:val="right"/>
            </w:pPr>
            <w:r>
              <w:t>Minimum</w:t>
            </w:r>
          </w:p>
        </w:tc>
        <w:tc>
          <w:tcPr>
            <w:tcW w:w="0" w:type="auto"/>
            <w:tcBorders>
              <w:top w:val="nil"/>
              <w:left w:val="nil"/>
              <w:right w:val="nil"/>
            </w:tcBorders>
            <w:hideMark/>
          </w:tcPr>
          <w:p w14:paraId="07E81EAF" w14:textId="77777777" w:rsidR="001500FC" w:rsidRDefault="001500FC">
            <w:pPr>
              <w:pStyle w:val="Compact"/>
              <w:jc w:val="right"/>
            </w:pPr>
            <w:r>
              <w:t>IQR 25</w:t>
            </w:r>
          </w:p>
        </w:tc>
        <w:tc>
          <w:tcPr>
            <w:tcW w:w="0" w:type="auto"/>
            <w:tcBorders>
              <w:top w:val="nil"/>
              <w:left w:val="nil"/>
              <w:right w:val="nil"/>
            </w:tcBorders>
            <w:hideMark/>
          </w:tcPr>
          <w:p w14:paraId="6EEDCFC0" w14:textId="77777777" w:rsidR="001500FC" w:rsidRDefault="001500FC">
            <w:pPr>
              <w:pStyle w:val="Compact"/>
              <w:jc w:val="right"/>
            </w:pPr>
            <w:r>
              <w:t>IQR 75</w:t>
            </w:r>
          </w:p>
        </w:tc>
        <w:tc>
          <w:tcPr>
            <w:tcW w:w="0" w:type="auto"/>
            <w:tcBorders>
              <w:top w:val="nil"/>
              <w:left w:val="nil"/>
              <w:right w:val="nil"/>
            </w:tcBorders>
            <w:hideMark/>
          </w:tcPr>
          <w:p w14:paraId="3447F116" w14:textId="77777777" w:rsidR="001500FC" w:rsidRDefault="001500FC">
            <w:pPr>
              <w:pStyle w:val="Compact"/>
              <w:jc w:val="right"/>
            </w:pPr>
            <w:r>
              <w:t>Maximum</w:t>
            </w:r>
          </w:p>
        </w:tc>
      </w:tr>
      <w:tr w:rsidR="001500FC" w14:paraId="3A354EF4" w14:textId="77777777" w:rsidTr="001500FC">
        <w:tc>
          <w:tcPr>
            <w:tcW w:w="0" w:type="auto"/>
            <w:hideMark/>
          </w:tcPr>
          <w:p w14:paraId="4C5379AC" w14:textId="77777777" w:rsidR="001500FC" w:rsidRDefault="001500FC">
            <w:pPr>
              <w:pStyle w:val="Compact"/>
            </w:pPr>
            <w:r>
              <w:t>MP world</w:t>
            </w:r>
          </w:p>
        </w:tc>
        <w:tc>
          <w:tcPr>
            <w:tcW w:w="0" w:type="auto"/>
            <w:hideMark/>
          </w:tcPr>
          <w:p w14:paraId="396FA6DB" w14:textId="77777777" w:rsidR="001500FC" w:rsidRDefault="001500FC">
            <w:pPr>
              <w:pStyle w:val="Compact"/>
              <w:jc w:val="right"/>
            </w:pPr>
            <w:r>
              <w:t>100</w:t>
            </w:r>
          </w:p>
        </w:tc>
        <w:tc>
          <w:tcPr>
            <w:tcW w:w="0" w:type="auto"/>
            <w:hideMark/>
          </w:tcPr>
          <w:p w14:paraId="0B610491" w14:textId="77777777" w:rsidR="001500FC" w:rsidRDefault="001500FC">
            <w:pPr>
              <w:pStyle w:val="Compact"/>
              <w:jc w:val="right"/>
            </w:pPr>
            <w:r>
              <w:t>9</w:t>
            </w:r>
          </w:p>
        </w:tc>
        <w:tc>
          <w:tcPr>
            <w:tcW w:w="0" w:type="auto"/>
            <w:hideMark/>
          </w:tcPr>
          <w:p w14:paraId="23F8DC76" w14:textId="77777777" w:rsidR="001500FC" w:rsidRDefault="001500FC">
            <w:pPr>
              <w:pStyle w:val="Compact"/>
              <w:jc w:val="right"/>
            </w:pPr>
            <w:r>
              <w:t>29</w:t>
            </w:r>
          </w:p>
        </w:tc>
        <w:tc>
          <w:tcPr>
            <w:tcW w:w="0" w:type="auto"/>
            <w:hideMark/>
          </w:tcPr>
          <w:p w14:paraId="1D2E4DAC" w14:textId="77777777" w:rsidR="001500FC" w:rsidRDefault="001500FC">
            <w:pPr>
              <w:pStyle w:val="Compact"/>
              <w:jc w:val="right"/>
            </w:pPr>
            <w:r>
              <w:t>359</w:t>
            </w:r>
          </w:p>
        </w:tc>
        <w:tc>
          <w:tcPr>
            <w:tcW w:w="0" w:type="auto"/>
            <w:hideMark/>
          </w:tcPr>
          <w:p w14:paraId="146678CF" w14:textId="77777777" w:rsidR="001500FC" w:rsidRDefault="001500FC">
            <w:pPr>
              <w:pStyle w:val="Compact"/>
              <w:jc w:val="right"/>
            </w:pPr>
            <w:r>
              <w:t>632</w:t>
            </w:r>
          </w:p>
        </w:tc>
      </w:tr>
      <w:tr w:rsidR="001500FC" w14:paraId="614CA55D" w14:textId="77777777" w:rsidTr="001500FC">
        <w:tc>
          <w:tcPr>
            <w:tcW w:w="0" w:type="auto"/>
            <w:hideMark/>
          </w:tcPr>
          <w:p w14:paraId="2A22B17F" w14:textId="77777777" w:rsidR="001500FC" w:rsidRDefault="001500FC">
            <w:pPr>
              <w:pStyle w:val="Compact"/>
            </w:pPr>
            <w:r>
              <w:t>MP world (z-axis)</w:t>
            </w:r>
          </w:p>
        </w:tc>
        <w:tc>
          <w:tcPr>
            <w:tcW w:w="0" w:type="auto"/>
            <w:hideMark/>
          </w:tcPr>
          <w:p w14:paraId="10001A39" w14:textId="77777777" w:rsidR="001500FC" w:rsidRDefault="001500FC">
            <w:pPr>
              <w:pStyle w:val="Compact"/>
              <w:jc w:val="right"/>
            </w:pPr>
            <w:r>
              <w:t>153</w:t>
            </w:r>
          </w:p>
        </w:tc>
        <w:tc>
          <w:tcPr>
            <w:tcW w:w="0" w:type="auto"/>
            <w:hideMark/>
          </w:tcPr>
          <w:p w14:paraId="6EFAC250" w14:textId="77777777" w:rsidR="001500FC" w:rsidRDefault="001500FC">
            <w:pPr>
              <w:pStyle w:val="Compact"/>
              <w:jc w:val="right"/>
            </w:pPr>
            <w:r>
              <w:t>3</w:t>
            </w:r>
          </w:p>
        </w:tc>
        <w:tc>
          <w:tcPr>
            <w:tcW w:w="0" w:type="auto"/>
            <w:hideMark/>
          </w:tcPr>
          <w:p w14:paraId="24FD6D74" w14:textId="77777777" w:rsidR="001500FC" w:rsidRDefault="001500FC">
            <w:pPr>
              <w:pStyle w:val="Compact"/>
              <w:jc w:val="right"/>
            </w:pPr>
            <w:r>
              <w:t>52</w:t>
            </w:r>
          </w:p>
        </w:tc>
        <w:tc>
          <w:tcPr>
            <w:tcW w:w="0" w:type="auto"/>
            <w:hideMark/>
          </w:tcPr>
          <w:p w14:paraId="295CAE52" w14:textId="77777777" w:rsidR="001500FC" w:rsidRDefault="001500FC">
            <w:pPr>
              <w:pStyle w:val="Compact"/>
              <w:jc w:val="right"/>
            </w:pPr>
            <w:r>
              <w:t>938</w:t>
            </w:r>
          </w:p>
        </w:tc>
        <w:tc>
          <w:tcPr>
            <w:tcW w:w="0" w:type="auto"/>
            <w:hideMark/>
          </w:tcPr>
          <w:p w14:paraId="63983596" w14:textId="77777777" w:rsidR="001500FC" w:rsidRDefault="001500FC">
            <w:pPr>
              <w:pStyle w:val="Compact"/>
              <w:jc w:val="right"/>
            </w:pPr>
            <w:r>
              <w:t>1375</w:t>
            </w:r>
          </w:p>
        </w:tc>
      </w:tr>
      <w:tr w:rsidR="001500FC" w14:paraId="7DE835EB" w14:textId="77777777" w:rsidTr="001500FC">
        <w:tc>
          <w:tcPr>
            <w:tcW w:w="0" w:type="auto"/>
            <w:hideMark/>
          </w:tcPr>
          <w:p w14:paraId="5470D3E0" w14:textId="77777777" w:rsidR="001500FC" w:rsidRDefault="001500FC">
            <w:pPr>
              <w:pStyle w:val="Compact"/>
            </w:pPr>
            <w:r>
              <w:t>MP norm</w:t>
            </w:r>
          </w:p>
        </w:tc>
        <w:tc>
          <w:tcPr>
            <w:tcW w:w="0" w:type="auto"/>
            <w:hideMark/>
          </w:tcPr>
          <w:p w14:paraId="077D1238" w14:textId="77777777" w:rsidR="001500FC" w:rsidRDefault="001500FC">
            <w:pPr>
              <w:pStyle w:val="Compact"/>
              <w:jc w:val="right"/>
            </w:pPr>
            <w:r>
              <w:t>53</w:t>
            </w:r>
          </w:p>
        </w:tc>
        <w:tc>
          <w:tcPr>
            <w:tcW w:w="0" w:type="auto"/>
            <w:hideMark/>
          </w:tcPr>
          <w:p w14:paraId="643099A7" w14:textId="77777777" w:rsidR="001500FC" w:rsidRDefault="001500FC">
            <w:pPr>
              <w:pStyle w:val="Compact"/>
              <w:jc w:val="right"/>
            </w:pPr>
            <w:r>
              <w:t>7</w:t>
            </w:r>
          </w:p>
        </w:tc>
        <w:tc>
          <w:tcPr>
            <w:tcW w:w="0" w:type="auto"/>
            <w:hideMark/>
          </w:tcPr>
          <w:p w14:paraId="3783750F" w14:textId="77777777" w:rsidR="001500FC" w:rsidRDefault="001500FC">
            <w:pPr>
              <w:pStyle w:val="Compact"/>
              <w:jc w:val="right"/>
            </w:pPr>
            <w:r>
              <w:t>34</w:t>
            </w:r>
          </w:p>
        </w:tc>
        <w:tc>
          <w:tcPr>
            <w:tcW w:w="0" w:type="auto"/>
            <w:hideMark/>
          </w:tcPr>
          <w:p w14:paraId="492E8EAD" w14:textId="77777777" w:rsidR="001500FC" w:rsidRDefault="001500FC">
            <w:pPr>
              <w:pStyle w:val="Compact"/>
              <w:jc w:val="right"/>
            </w:pPr>
            <w:r>
              <w:t>77</w:t>
            </w:r>
          </w:p>
        </w:tc>
        <w:tc>
          <w:tcPr>
            <w:tcW w:w="0" w:type="auto"/>
            <w:hideMark/>
          </w:tcPr>
          <w:p w14:paraId="1A244E9A" w14:textId="77777777" w:rsidR="001500FC" w:rsidRDefault="001500FC">
            <w:pPr>
              <w:pStyle w:val="Compact"/>
              <w:jc w:val="right"/>
            </w:pPr>
            <w:r>
              <w:t>206</w:t>
            </w:r>
          </w:p>
        </w:tc>
      </w:tr>
      <w:tr w:rsidR="001500FC" w14:paraId="7A7B1006" w14:textId="77777777" w:rsidTr="001500FC">
        <w:tc>
          <w:tcPr>
            <w:tcW w:w="0" w:type="auto"/>
            <w:hideMark/>
          </w:tcPr>
          <w:p w14:paraId="50697F9E" w14:textId="77777777" w:rsidR="001500FC" w:rsidRDefault="001500FC">
            <w:pPr>
              <w:pStyle w:val="Compact"/>
            </w:pPr>
            <w:r>
              <w:t>MP norm (z-axis)</w:t>
            </w:r>
          </w:p>
        </w:tc>
        <w:tc>
          <w:tcPr>
            <w:tcW w:w="0" w:type="auto"/>
            <w:hideMark/>
          </w:tcPr>
          <w:p w14:paraId="7A51A4FD" w14:textId="77777777" w:rsidR="001500FC" w:rsidRDefault="001500FC">
            <w:pPr>
              <w:pStyle w:val="Compact"/>
              <w:jc w:val="right"/>
            </w:pPr>
            <w:r>
              <w:t>64</w:t>
            </w:r>
          </w:p>
        </w:tc>
        <w:tc>
          <w:tcPr>
            <w:tcW w:w="0" w:type="auto"/>
            <w:hideMark/>
          </w:tcPr>
          <w:p w14:paraId="293380E3" w14:textId="77777777" w:rsidR="001500FC" w:rsidRDefault="001500FC">
            <w:pPr>
              <w:pStyle w:val="Compact"/>
              <w:jc w:val="right"/>
            </w:pPr>
            <w:r>
              <w:t>4</w:t>
            </w:r>
          </w:p>
        </w:tc>
        <w:tc>
          <w:tcPr>
            <w:tcW w:w="0" w:type="auto"/>
            <w:hideMark/>
          </w:tcPr>
          <w:p w14:paraId="37E44B6C" w14:textId="77777777" w:rsidR="001500FC" w:rsidRDefault="001500FC">
            <w:pPr>
              <w:pStyle w:val="Compact"/>
              <w:jc w:val="right"/>
            </w:pPr>
            <w:r>
              <w:t>38</w:t>
            </w:r>
          </w:p>
        </w:tc>
        <w:tc>
          <w:tcPr>
            <w:tcW w:w="0" w:type="auto"/>
            <w:hideMark/>
          </w:tcPr>
          <w:p w14:paraId="4C2E4899" w14:textId="77777777" w:rsidR="001500FC" w:rsidRDefault="001500FC">
            <w:pPr>
              <w:pStyle w:val="Compact"/>
              <w:jc w:val="right"/>
            </w:pPr>
            <w:r>
              <w:t>160</w:t>
            </w:r>
          </w:p>
        </w:tc>
        <w:tc>
          <w:tcPr>
            <w:tcW w:w="0" w:type="auto"/>
            <w:hideMark/>
          </w:tcPr>
          <w:p w14:paraId="26A3F1AC" w14:textId="77777777" w:rsidR="001500FC" w:rsidRDefault="001500FC">
            <w:pPr>
              <w:pStyle w:val="Compact"/>
              <w:jc w:val="right"/>
            </w:pPr>
            <w:r>
              <w:t>493</w:t>
            </w:r>
          </w:p>
        </w:tc>
      </w:tr>
      <w:tr w:rsidR="001500FC" w14:paraId="07954899" w14:textId="77777777" w:rsidTr="001500FC">
        <w:tc>
          <w:tcPr>
            <w:tcW w:w="0" w:type="auto"/>
            <w:hideMark/>
          </w:tcPr>
          <w:p w14:paraId="5E22AD64" w14:textId="77777777" w:rsidR="001500FC" w:rsidRDefault="001500FC">
            <w:pPr>
              <w:pStyle w:val="Compact"/>
            </w:pPr>
            <w:r>
              <w:t>VI</w:t>
            </w:r>
          </w:p>
        </w:tc>
        <w:tc>
          <w:tcPr>
            <w:tcW w:w="0" w:type="auto"/>
            <w:hideMark/>
          </w:tcPr>
          <w:p w14:paraId="7362AEDD" w14:textId="77777777" w:rsidR="001500FC" w:rsidRDefault="001500FC">
            <w:pPr>
              <w:pStyle w:val="Compact"/>
              <w:jc w:val="right"/>
            </w:pPr>
            <w:r>
              <w:t>68</w:t>
            </w:r>
          </w:p>
        </w:tc>
        <w:tc>
          <w:tcPr>
            <w:tcW w:w="0" w:type="auto"/>
            <w:hideMark/>
          </w:tcPr>
          <w:p w14:paraId="2BDB56D0" w14:textId="77777777" w:rsidR="001500FC" w:rsidRDefault="001500FC">
            <w:pPr>
              <w:pStyle w:val="Compact"/>
              <w:jc w:val="right"/>
            </w:pPr>
            <w:r>
              <w:t>12</w:t>
            </w:r>
          </w:p>
        </w:tc>
        <w:tc>
          <w:tcPr>
            <w:tcW w:w="0" w:type="auto"/>
            <w:hideMark/>
          </w:tcPr>
          <w:p w14:paraId="189E2D3A" w14:textId="77777777" w:rsidR="001500FC" w:rsidRDefault="001500FC">
            <w:pPr>
              <w:pStyle w:val="Compact"/>
              <w:jc w:val="right"/>
            </w:pPr>
            <w:r>
              <w:t>43</w:t>
            </w:r>
          </w:p>
        </w:tc>
        <w:tc>
          <w:tcPr>
            <w:tcW w:w="0" w:type="auto"/>
            <w:hideMark/>
          </w:tcPr>
          <w:p w14:paraId="0739BE60" w14:textId="77777777" w:rsidR="001500FC" w:rsidRDefault="001500FC">
            <w:pPr>
              <w:pStyle w:val="Compact"/>
              <w:jc w:val="right"/>
            </w:pPr>
            <w:r>
              <w:t>169</w:t>
            </w:r>
          </w:p>
        </w:tc>
        <w:tc>
          <w:tcPr>
            <w:tcW w:w="0" w:type="auto"/>
            <w:hideMark/>
          </w:tcPr>
          <w:p w14:paraId="4D49141C" w14:textId="77777777" w:rsidR="001500FC" w:rsidRDefault="001500FC">
            <w:pPr>
              <w:pStyle w:val="Compact"/>
              <w:jc w:val="right"/>
            </w:pPr>
            <w:r>
              <w:t>321</w:t>
            </w:r>
          </w:p>
        </w:tc>
      </w:tr>
    </w:tbl>
    <w:p w14:paraId="050EC192"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1E188C9E"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2224A30E" w14:textId="347393CA" w:rsidR="001500FC" w:rsidRDefault="001500FC">
            <w:pPr>
              <w:jc w:val="center"/>
            </w:pPr>
            <w:r>
              <w:rPr>
                <w:noProof/>
              </w:rPr>
              <w:drawing>
                <wp:inline distT="0" distB="0" distL="0" distR="0" wp14:anchorId="580A945E" wp14:editId="3F8A372D">
                  <wp:extent cx="5334000" cy="4029075"/>
                  <wp:effectExtent l="0" t="0" r="0" b="9525"/>
                  <wp:docPr id="667623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0" cy="4029075"/>
                          </a:xfrm>
                          <a:prstGeom prst="rect">
                            <a:avLst/>
                          </a:prstGeom>
                          <a:noFill/>
                          <a:ln>
                            <a:noFill/>
                          </a:ln>
                        </pic:spPr>
                      </pic:pic>
                    </a:graphicData>
                  </a:graphic>
                </wp:inline>
              </w:drawing>
            </w:r>
          </w:p>
          <w:p w14:paraId="72901F95" w14:textId="77777777" w:rsidR="001500FC" w:rsidRDefault="001500FC">
            <w:pPr>
              <w:pStyle w:val="ImageCaption"/>
              <w:spacing w:before="200"/>
            </w:pPr>
            <w:r>
              <w:t>Supplementary Figure 6. The frequency estimation by OMC and IMU using the RAW pipeline showed only slight deviation between the identified peak frequency.</w:t>
            </w:r>
          </w:p>
        </w:tc>
      </w:tr>
    </w:tbl>
    <w:p w14:paraId="2ED75C0C" w14:textId="77777777" w:rsidR="001500FC" w:rsidRDefault="001500FC" w:rsidP="001500FC">
      <w:pPr>
        <w:pStyle w:val="BodyText"/>
      </w:pPr>
      <w:r>
        <w:t xml:space="preserve"> </w:t>
      </w:r>
    </w:p>
    <w:p w14:paraId="16F2F940" w14:textId="77777777" w:rsidR="001500FC" w:rsidRDefault="001500FC" w:rsidP="001500FC">
      <w:pPr>
        <w:pStyle w:val="TableCaption"/>
      </w:pPr>
      <w:r>
        <w:lastRenderedPageBreak/>
        <w:t>Supplementary Table 3: Absolute differences in Hz of detected peak frequencies.</w:t>
      </w:r>
    </w:p>
    <w:tbl>
      <w:tblPr>
        <w:tblStyle w:val="Table"/>
        <w:tblW w:w="0" w:type="auto"/>
        <w:tblInd w:w="0" w:type="dxa"/>
        <w:tblLook w:val="0020" w:firstRow="1" w:lastRow="0" w:firstColumn="0" w:lastColumn="0" w:noHBand="0" w:noVBand="0"/>
      </w:tblPr>
      <w:tblGrid>
        <w:gridCol w:w="1349"/>
        <w:gridCol w:w="963"/>
        <w:gridCol w:w="1167"/>
        <w:gridCol w:w="866"/>
        <w:gridCol w:w="866"/>
        <w:gridCol w:w="1205"/>
      </w:tblGrid>
      <w:tr w:rsidR="001500FC" w14:paraId="541EA772" w14:textId="77777777" w:rsidTr="001500FC">
        <w:trPr>
          <w:cnfStyle w:val="100000000000" w:firstRow="1" w:lastRow="0" w:firstColumn="0" w:lastColumn="0" w:oddVBand="0" w:evenVBand="0" w:oddHBand="0" w:evenHBand="0" w:firstRowFirstColumn="0" w:firstRowLastColumn="0" w:lastRowFirstColumn="0" w:lastRowLastColumn="0"/>
          <w:tblHeader/>
        </w:trPr>
        <w:tc>
          <w:tcPr>
            <w:tcW w:w="0" w:type="auto"/>
            <w:tcBorders>
              <w:top w:val="nil"/>
              <w:left w:val="nil"/>
              <w:right w:val="nil"/>
            </w:tcBorders>
          </w:tcPr>
          <w:p w14:paraId="0250CB45" w14:textId="77777777" w:rsidR="001500FC" w:rsidRDefault="001500FC">
            <w:pPr>
              <w:pStyle w:val="Compact"/>
            </w:pPr>
          </w:p>
        </w:tc>
        <w:tc>
          <w:tcPr>
            <w:tcW w:w="0" w:type="auto"/>
            <w:tcBorders>
              <w:top w:val="nil"/>
              <w:left w:val="nil"/>
              <w:right w:val="nil"/>
            </w:tcBorders>
            <w:hideMark/>
          </w:tcPr>
          <w:p w14:paraId="7092C053" w14:textId="77777777" w:rsidR="001500FC" w:rsidRDefault="001500FC">
            <w:pPr>
              <w:pStyle w:val="Compact"/>
              <w:jc w:val="right"/>
            </w:pPr>
            <w:r>
              <w:t>Median</w:t>
            </w:r>
          </w:p>
        </w:tc>
        <w:tc>
          <w:tcPr>
            <w:tcW w:w="0" w:type="auto"/>
            <w:tcBorders>
              <w:top w:val="nil"/>
              <w:left w:val="nil"/>
              <w:right w:val="nil"/>
            </w:tcBorders>
            <w:hideMark/>
          </w:tcPr>
          <w:p w14:paraId="48E91B14" w14:textId="77777777" w:rsidR="001500FC" w:rsidRDefault="001500FC">
            <w:pPr>
              <w:pStyle w:val="Compact"/>
              <w:jc w:val="right"/>
            </w:pPr>
            <w:r>
              <w:t>Minimum</w:t>
            </w:r>
          </w:p>
        </w:tc>
        <w:tc>
          <w:tcPr>
            <w:tcW w:w="0" w:type="auto"/>
            <w:tcBorders>
              <w:top w:val="nil"/>
              <w:left w:val="nil"/>
              <w:right w:val="nil"/>
            </w:tcBorders>
            <w:hideMark/>
          </w:tcPr>
          <w:p w14:paraId="31C0A077" w14:textId="77777777" w:rsidR="001500FC" w:rsidRDefault="001500FC">
            <w:pPr>
              <w:pStyle w:val="Compact"/>
              <w:jc w:val="right"/>
            </w:pPr>
            <w:r>
              <w:t>IQR 25</w:t>
            </w:r>
          </w:p>
        </w:tc>
        <w:tc>
          <w:tcPr>
            <w:tcW w:w="0" w:type="auto"/>
            <w:tcBorders>
              <w:top w:val="nil"/>
              <w:left w:val="nil"/>
              <w:right w:val="nil"/>
            </w:tcBorders>
            <w:hideMark/>
          </w:tcPr>
          <w:p w14:paraId="45D8B2AC" w14:textId="77777777" w:rsidR="001500FC" w:rsidRDefault="001500FC">
            <w:pPr>
              <w:pStyle w:val="Compact"/>
              <w:jc w:val="right"/>
            </w:pPr>
            <w:r>
              <w:t>IQR 75</w:t>
            </w:r>
          </w:p>
        </w:tc>
        <w:tc>
          <w:tcPr>
            <w:tcW w:w="0" w:type="auto"/>
            <w:tcBorders>
              <w:top w:val="nil"/>
              <w:left w:val="nil"/>
              <w:right w:val="nil"/>
            </w:tcBorders>
            <w:hideMark/>
          </w:tcPr>
          <w:p w14:paraId="254B483A" w14:textId="77777777" w:rsidR="001500FC" w:rsidRDefault="001500FC">
            <w:pPr>
              <w:pStyle w:val="Compact"/>
              <w:jc w:val="right"/>
            </w:pPr>
            <w:r>
              <w:t>Maximum</w:t>
            </w:r>
          </w:p>
        </w:tc>
      </w:tr>
      <w:tr w:rsidR="001500FC" w14:paraId="22CC6849" w14:textId="77777777" w:rsidTr="001500FC">
        <w:tc>
          <w:tcPr>
            <w:tcW w:w="0" w:type="auto"/>
            <w:hideMark/>
          </w:tcPr>
          <w:p w14:paraId="370A9A1B" w14:textId="77777777" w:rsidR="001500FC" w:rsidRDefault="001500FC">
            <w:pPr>
              <w:pStyle w:val="Compact"/>
            </w:pPr>
            <w:r>
              <w:t>MP vs OMC</w:t>
            </w:r>
          </w:p>
        </w:tc>
        <w:tc>
          <w:tcPr>
            <w:tcW w:w="0" w:type="auto"/>
            <w:hideMark/>
          </w:tcPr>
          <w:p w14:paraId="2CC6C18C" w14:textId="77777777" w:rsidR="001500FC" w:rsidRDefault="001500FC">
            <w:pPr>
              <w:pStyle w:val="Compact"/>
              <w:jc w:val="right"/>
            </w:pPr>
            <w:r>
              <w:t>0.1</w:t>
            </w:r>
          </w:p>
        </w:tc>
        <w:tc>
          <w:tcPr>
            <w:tcW w:w="0" w:type="auto"/>
            <w:hideMark/>
          </w:tcPr>
          <w:p w14:paraId="5FFBD320" w14:textId="77777777" w:rsidR="001500FC" w:rsidRDefault="001500FC">
            <w:pPr>
              <w:pStyle w:val="Compact"/>
              <w:jc w:val="right"/>
            </w:pPr>
            <w:r>
              <w:t>0</w:t>
            </w:r>
          </w:p>
        </w:tc>
        <w:tc>
          <w:tcPr>
            <w:tcW w:w="0" w:type="auto"/>
            <w:hideMark/>
          </w:tcPr>
          <w:p w14:paraId="5ADF6676" w14:textId="77777777" w:rsidR="001500FC" w:rsidRDefault="001500FC">
            <w:pPr>
              <w:pStyle w:val="Compact"/>
              <w:jc w:val="right"/>
            </w:pPr>
            <w:r>
              <w:t>0</w:t>
            </w:r>
          </w:p>
        </w:tc>
        <w:tc>
          <w:tcPr>
            <w:tcW w:w="0" w:type="auto"/>
            <w:hideMark/>
          </w:tcPr>
          <w:p w14:paraId="476AB607" w14:textId="77777777" w:rsidR="001500FC" w:rsidRDefault="001500FC">
            <w:pPr>
              <w:pStyle w:val="Compact"/>
              <w:jc w:val="right"/>
            </w:pPr>
            <w:r>
              <w:t>0.375</w:t>
            </w:r>
          </w:p>
        </w:tc>
        <w:tc>
          <w:tcPr>
            <w:tcW w:w="0" w:type="auto"/>
            <w:hideMark/>
          </w:tcPr>
          <w:p w14:paraId="63D5F95E" w14:textId="77777777" w:rsidR="001500FC" w:rsidRDefault="001500FC">
            <w:pPr>
              <w:pStyle w:val="Compact"/>
              <w:jc w:val="right"/>
            </w:pPr>
            <w:r>
              <w:t>2.9</w:t>
            </w:r>
          </w:p>
        </w:tc>
      </w:tr>
      <w:tr w:rsidR="001500FC" w14:paraId="321041C7" w14:textId="77777777" w:rsidTr="001500FC">
        <w:tc>
          <w:tcPr>
            <w:tcW w:w="0" w:type="auto"/>
            <w:hideMark/>
          </w:tcPr>
          <w:p w14:paraId="16C989E5" w14:textId="77777777" w:rsidR="001500FC" w:rsidRDefault="001500FC">
            <w:pPr>
              <w:pStyle w:val="Compact"/>
            </w:pPr>
            <w:r>
              <w:t>MP vs IMU</w:t>
            </w:r>
          </w:p>
        </w:tc>
        <w:tc>
          <w:tcPr>
            <w:tcW w:w="0" w:type="auto"/>
            <w:hideMark/>
          </w:tcPr>
          <w:p w14:paraId="4CBBD3B5" w14:textId="77777777" w:rsidR="001500FC" w:rsidRDefault="001500FC">
            <w:pPr>
              <w:pStyle w:val="Compact"/>
              <w:jc w:val="right"/>
            </w:pPr>
            <w:r>
              <w:t>0.15</w:t>
            </w:r>
          </w:p>
        </w:tc>
        <w:tc>
          <w:tcPr>
            <w:tcW w:w="0" w:type="auto"/>
            <w:hideMark/>
          </w:tcPr>
          <w:p w14:paraId="5CB5A576" w14:textId="77777777" w:rsidR="001500FC" w:rsidRDefault="001500FC">
            <w:pPr>
              <w:pStyle w:val="Compact"/>
              <w:jc w:val="right"/>
            </w:pPr>
            <w:r>
              <w:t>0</w:t>
            </w:r>
          </w:p>
        </w:tc>
        <w:tc>
          <w:tcPr>
            <w:tcW w:w="0" w:type="auto"/>
            <w:hideMark/>
          </w:tcPr>
          <w:p w14:paraId="3F99907C" w14:textId="77777777" w:rsidR="001500FC" w:rsidRDefault="001500FC">
            <w:pPr>
              <w:pStyle w:val="Compact"/>
              <w:jc w:val="right"/>
            </w:pPr>
            <w:r>
              <w:t>0</w:t>
            </w:r>
          </w:p>
        </w:tc>
        <w:tc>
          <w:tcPr>
            <w:tcW w:w="0" w:type="auto"/>
            <w:hideMark/>
          </w:tcPr>
          <w:p w14:paraId="0148BF1D" w14:textId="77777777" w:rsidR="001500FC" w:rsidRDefault="001500FC">
            <w:pPr>
              <w:pStyle w:val="Compact"/>
              <w:jc w:val="right"/>
            </w:pPr>
            <w:r>
              <w:t>0.55</w:t>
            </w:r>
          </w:p>
        </w:tc>
        <w:tc>
          <w:tcPr>
            <w:tcW w:w="0" w:type="auto"/>
            <w:hideMark/>
          </w:tcPr>
          <w:p w14:paraId="5ED87BBF" w14:textId="77777777" w:rsidR="001500FC" w:rsidRDefault="001500FC">
            <w:pPr>
              <w:pStyle w:val="Compact"/>
              <w:jc w:val="right"/>
            </w:pPr>
            <w:r>
              <w:t>3.3</w:t>
            </w:r>
          </w:p>
        </w:tc>
      </w:tr>
      <w:tr w:rsidR="001500FC" w14:paraId="63F58E92" w14:textId="77777777" w:rsidTr="001500FC">
        <w:tc>
          <w:tcPr>
            <w:tcW w:w="0" w:type="auto"/>
            <w:hideMark/>
          </w:tcPr>
          <w:p w14:paraId="34B84A1B" w14:textId="77777777" w:rsidR="001500FC" w:rsidRDefault="001500FC">
            <w:pPr>
              <w:pStyle w:val="Compact"/>
            </w:pPr>
            <w:r>
              <w:t>VI vs OMC</w:t>
            </w:r>
          </w:p>
        </w:tc>
        <w:tc>
          <w:tcPr>
            <w:tcW w:w="0" w:type="auto"/>
            <w:hideMark/>
          </w:tcPr>
          <w:p w14:paraId="1CFFCD58" w14:textId="77777777" w:rsidR="001500FC" w:rsidRDefault="001500FC">
            <w:pPr>
              <w:pStyle w:val="Compact"/>
              <w:jc w:val="right"/>
            </w:pPr>
            <w:r>
              <w:t>0.05</w:t>
            </w:r>
          </w:p>
        </w:tc>
        <w:tc>
          <w:tcPr>
            <w:tcW w:w="0" w:type="auto"/>
            <w:hideMark/>
          </w:tcPr>
          <w:p w14:paraId="1C757326" w14:textId="77777777" w:rsidR="001500FC" w:rsidRDefault="001500FC">
            <w:pPr>
              <w:pStyle w:val="Compact"/>
              <w:jc w:val="right"/>
            </w:pPr>
            <w:r>
              <w:t>0</w:t>
            </w:r>
          </w:p>
        </w:tc>
        <w:tc>
          <w:tcPr>
            <w:tcW w:w="0" w:type="auto"/>
            <w:hideMark/>
          </w:tcPr>
          <w:p w14:paraId="60CF4BE6" w14:textId="77777777" w:rsidR="001500FC" w:rsidRDefault="001500FC">
            <w:pPr>
              <w:pStyle w:val="Compact"/>
              <w:jc w:val="right"/>
            </w:pPr>
            <w:r>
              <w:t>0</w:t>
            </w:r>
          </w:p>
        </w:tc>
        <w:tc>
          <w:tcPr>
            <w:tcW w:w="0" w:type="auto"/>
            <w:hideMark/>
          </w:tcPr>
          <w:p w14:paraId="0B9FA142" w14:textId="77777777" w:rsidR="001500FC" w:rsidRDefault="001500FC">
            <w:pPr>
              <w:pStyle w:val="Compact"/>
              <w:jc w:val="right"/>
            </w:pPr>
            <w:r>
              <w:t>0.2</w:t>
            </w:r>
          </w:p>
        </w:tc>
        <w:tc>
          <w:tcPr>
            <w:tcW w:w="0" w:type="auto"/>
            <w:hideMark/>
          </w:tcPr>
          <w:p w14:paraId="05FA0745" w14:textId="77777777" w:rsidR="001500FC" w:rsidRDefault="001500FC">
            <w:pPr>
              <w:pStyle w:val="Compact"/>
              <w:jc w:val="right"/>
            </w:pPr>
            <w:r>
              <w:t>3.7</w:t>
            </w:r>
          </w:p>
        </w:tc>
      </w:tr>
      <w:tr w:rsidR="001500FC" w14:paraId="1A0984F6" w14:textId="77777777" w:rsidTr="001500FC">
        <w:tc>
          <w:tcPr>
            <w:tcW w:w="0" w:type="auto"/>
            <w:hideMark/>
          </w:tcPr>
          <w:p w14:paraId="5E6B7332" w14:textId="77777777" w:rsidR="001500FC" w:rsidRDefault="001500FC">
            <w:pPr>
              <w:pStyle w:val="Compact"/>
            </w:pPr>
            <w:r>
              <w:t>VI vs IMU</w:t>
            </w:r>
          </w:p>
        </w:tc>
        <w:tc>
          <w:tcPr>
            <w:tcW w:w="0" w:type="auto"/>
            <w:hideMark/>
          </w:tcPr>
          <w:p w14:paraId="5B2F1E2D" w14:textId="77777777" w:rsidR="001500FC" w:rsidRDefault="001500FC">
            <w:pPr>
              <w:pStyle w:val="Compact"/>
              <w:jc w:val="right"/>
            </w:pPr>
            <w:r>
              <w:t>0.1</w:t>
            </w:r>
          </w:p>
        </w:tc>
        <w:tc>
          <w:tcPr>
            <w:tcW w:w="0" w:type="auto"/>
            <w:hideMark/>
          </w:tcPr>
          <w:p w14:paraId="39A59C75" w14:textId="77777777" w:rsidR="001500FC" w:rsidRDefault="001500FC">
            <w:pPr>
              <w:pStyle w:val="Compact"/>
              <w:jc w:val="right"/>
            </w:pPr>
            <w:r>
              <w:t>0</w:t>
            </w:r>
          </w:p>
        </w:tc>
        <w:tc>
          <w:tcPr>
            <w:tcW w:w="0" w:type="auto"/>
            <w:hideMark/>
          </w:tcPr>
          <w:p w14:paraId="217014DD" w14:textId="77777777" w:rsidR="001500FC" w:rsidRDefault="001500FC">
            <w:pPr>
              <w:pStyle w:val="Compact"/>
              <w:jc w:val="right"/>
            </w:pPr>
            <w:r>
              <w:t>0</w:t>
            </w:r>
          </w:p>
        </w:tc>
        <w:tc>
          <w:tcPr>
            <w:tcW w:w="0" w:type="auto"/>
            <w:hideMark/>
          </w:tcPr>
          <w:p w14:paraId="63DD2C63" w14:textId="77777777" w:rsidR="001500FC" w:rsidRDefault="001500FC">
            <w:pPr>
              <w:pStyle w:val="Compact"/>
              <w:jc w:val="right"/>
            </w:pPr>
            <w:r>
              <w:t>0.325</w:t>
            </w:r>
          </w:p>
        </w:tc>
        <w:tc>
          <w:tcPr>
            <w:tcW w:w="0" w:type="auto"/>
            <w:hideMark/>
          </w:tcPr>
          <w:p w14:paraId="36FCC475" w14:textId="77777777" w:rsidR="001500FC" w:rsidRDefault="001500FC">
            <w:pPr>
              <w:pStyle w:val="Compact"/>
              <w:jc w:val="right"/>
            </w:pPr>
            <w:r>
              <w:t>4.1</w:t>
            </w:r>
          </w:p>
        </w:tc>
      </w:tr>
    </w:tbl>
    <w:p w14:paraId="7A3E9DA4" w14:textId="77777777" w:rsidR="001500FC" w:rsidRDefault="001500FC" w:rsidP="001500FC">
      <w:pPr>
        <w:pStyle w:val="BodyText"/>
      </w:pPr>
      <w:r>
        <w:t xml:space="preserve"> </w:t>
      </w:r>
    </w:p>
    <w:tbl>
      <w:tblPr>
        <w:tblStyle w:val="Table"/>
        <w:tblW w:w="5000" w:type="pct"/>
        <w:tblInd w:w="0" w:type="dxa"/>
        <w:tblLook w:val="04A0" w:firstRow="1" w:lastRow="0" w:firstColumn="1" w:lastColumn="0" w:noHBand="0" w:noVBand="1"/>
      </w:tblPr>
      <w:tblGrid>
        <w:gridCol w:w="9360"/>
      </w:tblGrid>
      <w:tr w:rsidR="001500FC" w14:paraId="72E526CD" w14:textId="77777777" w:rsidTr="001500FC">
        <w:trPr>
          <w:cnfStyle w:val="100000000000" w:firstRow="1" w:lastRow="0" w:firstColumn="0" w:lastColumn="0" w:oddVBand="0" w:evenVBand="0" w:oddHBand="0" w:evenHBand="0" w:firstRowFirstColumn="0" w:firstRowLastColumn="0" w:lastRowFirstColumn="0" w:lastRowLastColumn="0"/>
        </w:trPr>
        <w:tc>
          <w:tcPr>
            <w:tcW w:w="0" w:type="auto"/>
            <w:hideMark/>
          </w:tcPr>
          <w:p w14:paraId="4F329955" w14:textId="1BAF57CD" w:rsidR="001500FC" w:rsidRDefault="001500FC">
            <w:pPr>
              <w:jc w:val="center"/>
            </w:pPr>
            <w:r>
              <w:rPr>
                <w:noProof/>
              </w:rPr>
              <w:drawing>
                <wp:inline distT="0" distB="0" distL="0" distR="0" wp14:anchorId="28EACE84" wp14:editId="429535A7">
                  <wp:extent cx="5334000" cy="5334000"/>
                  <wp:effectExtent l="0" t="0" r="0" b="0"/>
                  <wp:docPr id="675107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4000" cy="5334000"/>
                          </a:xfrm>
                          <a:prstGeom prst="rect">
                            <a:avLst/>
                          </a:prstGeom>
                          <a:noFill/>
                          <a:ln>
                            <a:noFill/>
                          </a:ln>
                        </pic:spPr>
                      </pic:pic>
                    </a:graphicData>
                  </a:graphic>
                </wp:inline>
              </w:drawing>
            </w:r>
          </w:p>
          <w:p w14:paraId="63313C5A" w14:textId="77777777" w:rsidR="001500FC" w:rsidRDefault="001500FC">
            <w:pPr>
              <w:pStyle w:val="ImageCaption"/>
              <w:spacing w:before="200"/>
            </w:pPr>
            <w:r>
              <w:t>Supplementary Figure 7. These scatterplots show the logarithm of the OMC Amplitude in vs the frequency estimation error in Hz of MP and VI compared to the frequency detected by OMC.</w:t>
            </w:r>
          </w:p>
        </w:tc>
      </w:tr>
    </w:tbl>
    <w:p w14:paraId="5C0E8C12" w14:textId="77777777" w:rsidR="001500FC" w:rsidRDefault="001500FC" w:rsidP="001500FC">
      <w:pPr>
        <w:pStyle w:val="Heading1"/>
      </w:pPr>
      <w:bookmarkStart w:id="0" w:name="supplementary-material"/>
      <w:bookmarkEnd w:id="0"/>
    </w:p>
    <w:p w14:paraId="04C7B7E2" w14:textId="55D11955"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0FC"/>
    <w:rsid w:val="001500FC"/>
    <w:rsid w:val="005374D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B3A6A"/>
  <w15:chartTrackingRefBased/>
  <w15:docId w15:val="{1B623E87-E10D-4268-ABF9-B62A5BB32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0FC"/>
    <w:pPr>
      <w:spacing w:after="200" w:line="240" w:lineRule="auto"/>
    </w:pPr>
    <w:rPr>
      <w:kern w:val="0"/>
      <w:sz w:val="24"/>
      <w:szCs w:val="24"/>
      <w14:ligatures w14:val="none"/>
    </w:rPr>
  </w:style>
  <w:style w:type="paragraph" w:styleId="Heading1">
    <w:name w:val="heading 1"/>
    <w:basedOn w:val="Normal"/>
    <w:next w:val="BodyText"/>
    <w:link w:val="Heading1Char"/>
    <w:uiPriority w:val="9"/>
    <w:qFormat/>
    <w:rsid w:val="001500FC"/>
    <w:pPr>
      <w:keepNext/>
      <w:keepLines/>
      <w:spacing w:before="480" w:after="0"/>
      <w:outlineLvl w:val="0"/>
    </w:pPr>
    <w:rPr>
      <w:rFonts w:asciiTheme="majorHAnsi" w:eastAsiaTheme="majorEastAsia" w:hAnsiTheme="majorHAnsi" w:cstheme="majorBidi"/>
      <w:b/>
      <w:bCs/>
      <w:color w:val="4472C4" w:themeColor="accen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0FC"/>
    <w:rPr>
      <w:rFonts w:asciiTheme="majorHAnsi" w:eastAsiaTheme="majorEastAsia" w:hAnsiTheme="majorHAnsi" w:cstheme="majorBidi"/>
      <w:b/>
      <w:bCs/>
      <w:color w:val="4472C4" w:themeColor="accent1"/>
      <w:kern w:val="0"/>
      <w:sz w:val="32"/>
      <w:szCs w:val="32"/>
      <w14:ligatures w14:val="none"/>
    </w:rPr>
  </w:style>
  <w:style w:type="paragraph" w:styleId="BodyText">
    <w:name w:val="Body Text"/>
    <w:basedOn w:val="Normal"/>
    <w:link w:val="BodyTextChar"/>
    <w:semiHidden/>
    <w:unhideWhenUsed/>
    <w:qFormat/>
    <w:rsid w:val="001500FC"/>
    <w:pPr>
      <w:spacing w:before="180" w:after="180"/>
    </w:pPr>
  </w:style>
  <w:style w:type="character" w:customStyle="1" w:styleId="BodyTextChar">
    <w:name w:val="Body Text Char"/>
    <w:basedOn w:val="DefaultParagraphFont"/>
    <w:link w:val="BodyText"/>
    <w:semiHidden/>
    <w:rsid w:val="001500FC"/>
    <w:rPr>
      <w:kern w:val="0"/>
      <w:sz w:val="24"/>
      <w:szCs w:val="24"/>
      <w14:ligatures w14:val="none"/>
    </w:rPr>
  </w:style>
  <w:style w:type="paragraph" w:customStyle="1" w:styleId="Compact">
    <w:name w:val="Compact"/>
    <w:basedOn w:val="BodyText"/>
    <w:qFormat/>
    <w:rsid w:val="001500FC"/>
    <w:pPr>
      <w:spacing w:before="36" w:after="36"/>
    </w:pPr>
  </w:style>
  <w:style w:type="paragraph" w:customStyle="1" w:styleId="TableCaption">
    <w:name w:val="Table Caption"/>
    <w:basedOn w:val="Caption"/>
    <w:rsid w:val="001500FC"/>
    <w:pPr>
      <w:keepNext/>
      <w:spacing w:after="120"/>
    </w:pPr>
    <w:rPr>
      <w:iCs w:val="0"/>
      <w:color w:val="auto"/>
      <w:sz w:val="24"/>
      <w:szCs w:val="24"/>
    </w:rPr>
  </w:style>
  <w:style w:type="paragraph" w:customStyle="1" w:styleId="ImageCaption">
    <w:name w:val="Image Caption"/>
    <w:basedOn w:val="Caption"/>
    <w:rsid w:val="001500FC"/>
    <w:pPr>
      <w:spacing w:after="120"/>
    </w:pPr>
    <w:rPr>
      <w:iCs w:val="0"/>
      <w:color w:val="auto"/>
      <w:sz w:val="24"/>
      <w:szCs w:val="24"/>
    </w:rPr>
  </w:style>
  <w:style w:type="table" w:customStyle="1" w:styleId="Table">
    <w:name w:val="Table"/>
    <w:semiHidden/>
    <w:qFormat/>
    <w:rsid w:val="001500FC"/>
    <w:pPr>
      <w:spacing w:after="200" w:line="240" w:lineRule="auto"/>
    </w:pPr>
    <w:rPr>
      <w:kern w:val="0"/>
      <w:sz w:val="24"/>
      <w:szCs w:val="24"/>
      <w14:ligatures w14:val="none"/>
    </w:rPr>
    <w:tblPr>
      <w:tblCellMar>
        <w:top w:w="0" w:type="dxa"/>
        <w:left w:w="108" w:type="dxa"/>
        <w:bottom w:w="0" w:type="dxa"/>
        <w:right w:w="108" w:type="dxa"/>
      </w:tblCellMar>
    </w:tblPr>
    <w:tblStylePr w:type="firstRow">
      <w:tblPr/>
      <w:tcPr>
        <w:tcBorders>
          <w:bottom w:val="single" w:sz="2" w:space="0" w:color="auto"/>
        </w:tcBorders>
        <w:vAlign w:val="bottom"/>
      </w:tcPr>
    </w:tblStylePr>
  </w:style>
  <w:style w:type="paragraph" w:styleId="Caption">
    <w:name w:val="caption"/>
    <w:basedOn w:val="Normal"/>
    <w:next w:val="Normal"/>
    <w:uiPriority w:val="35"/>
    <w:semiHidden/>
    <w:unhideWhenUsed/>
    <w:qFormat/>
    <w:rsid w:val="001500FC"/>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409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336</Words>
  <Characters>1918</Characters>
  <Application>Microsoft Office Word</Application>
  <DocSecurity>0</DocSecurity>
  <Lines>15</Lines>
  <Paragraphs>4</Paragraphs>
  <ScaleCrop>false</ScaleCrop>
  <Company>Springer Nature</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2024-04-18T11:28:00Z</dcterms:created>
  <dcterms:modified xsi:type="dcterms:W3CDTF">2024-04-18T11:28:00Z</dcterms:modified>
</cp:coreProperties>
</file>