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73D4D4" w14:textId="77777777" w:rsidR="005D0F1B" w:rsidRPr="00924447" w:rsidRDefault="005D0F1B" w:rsidP="005D0F1B">
      <w:pPr>
        <w:keepNext/>
        <w:rPr>
          <w:rFonts w:ascii="Arial" w:hAnsi="Arial" w:cs="Arial"/>
          <w:color w:val="000000" w:themeColor="text1"/>
          <w:sz w:val="18"/>
          <w:szCs w:val="18"/>
        </w:rPr>
      </w:pPr>
      <w:r w:rsidRPr="00924447">
        <w:rPr>
          <w:rFonts w:ascii="Arial" w:hAnsi="Arial" w:cs="Arial"/>
          <w:noProof/>
          <w:color w:val="000000" w:themeColor="text1"/>
          <w:sz w:val="18"/>
          <w:szCs w:val="18"/>
        </w:rPr>
        <w:drawing>
          <wp:inline distT="0" distB="0" distL="0" distR="0" wp14:anchorId="7C1D678A" wp14:editId="7584F628">
            <wp:extent cx="5943600" cy="1762760"/>
            <wp:effectExtent l="0" t="0" r="0" b="2540"/>
            <wp:docPr id="20" name="Picture 19">
              <a:extLst xmlns:a="http://schemas.openxmlformats.org/drawingml/2006/main">
                <a:ext uri="{FF2B5EF4-FFF2-40B4-BE49-F238E27FC236}">
                  <a16:creationId xmlns:a16="http://schemas.microsoft.com/office/drawing/2014/main" id="{C8041914-EB47-2BA1-222E-3DA1CDDE801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a:extLst>
                        <a:ext uri="{FF2B5EF4-FFF2-40B4-BE49-F238E27FC236}">
                          <a16:creationId xmlns:a16="http://schemas.microsoft.com/office/drawing/2014/main" id="{C8041914-EB47-2BA1-222E-3DA1CDDE801E}"/>
                        </a:ext>
                      </a:extLst>
                    </pic:cNvPr>
                    <pic:cNvPicPr>
                      <a:picLocks noChangeAspect="1"/>
                    </pic:cNvPicPr>
                  </pic:nvPicPr>
                  <pic:blipFill>
                    <a:blip r:embed="rId5"/>
                    <a:stretch>
                      <a:fillRect/>
                    </a:stretch>
                  </pic:blipFill>
                  <pic:spPr>
                    <a:xfrm>
                      <a:off x="0" y="0"/>
                      <a:ext cx="5943600" cy="1762760"/>
                    </a:xfrm>
                    <a:prstGeom prst="rect">
                      <a:avLst/>
                    </a:prstGeom>
                  </pic:spPr>
                </pic:pic>
              </a:graphicData>
            </a:graphic>
          </wp:inline>
        </w:drawing>
      </w:r>
    </w:p>
    <w:p w14:paraId="1153B461" w14:textId="77777777" w:rsidR="008A0123" w:rsidRDefault="008A0123" w:rsidP="00E505CD">
      <w:pPr>
        <w:pStyle w:val="Caption"/>
        <w:jc w:val="center"/>
        <w:rPr>
          <w:rFonts w:ascii="Arial" w:hAnsi="Arial" w:cs="Arial"/>
          <w:color w:val="000000" w:themeColor="text1"/>
        </w:rPr>
      </w:pPr>
    </w:p>
    <w:p w14:paraId="5F9C45B5" w14:textId="71602AB7" w:rsidR="002A5EF2" w:rsidRPr="00924447" w:rsidRDefault="00EE0FB2" w:rsidP="00E505CD">
      <w:pPr>
        <w:pStyle w:val="Caption"/>
        <w:jc w:val="center"/>
        <w:rPr>
          <w:rFonts w:ascii="Arial" w:hAnsi="Arial" w:cs="Arial"/>
          <w:color w:val="000000" w:themeColor="text1"/>
        </w:rPr>
      </w:pPr>
      <w:r>
        <w:rPr>
          <w:rFonts w:ascii="Arial" w:hAnsi="Arial" w:cs="Arial"/>
          <w:color w:val="000000" w:themeColor="text1"/>
        </w:rPr>
        <w:t>Figure S1</w:t>
      </w:r>
      <w:r w:rsidR="00314B0A">
        <w:rPr>
          <w:rFonts w:ascii="Arial" w:hAnsi="Arial" w:cs="Arial"/>
          <w:color w:val="000000" w:themeColor="text1"/>
        </w:rPr>
        <w:t>.</w:t>
      </w:r>
      <w:r>
        <w:rPr>
          <w:rFonts w:ascii="Arial" w:hAnsi="Arial" w:cs="Arial"/>
          <w:color w:val="000000" w:themeColor="text1"/>
        </w:rPr>
        <w:t xml:space="preserve"> </w:t>
      </w:r>
      <w:r w:rsidR="00BA02DB" w:rsidRPr="00924447">
        <w:rPr>
          <w:rFonts w:ascii="Arial" w:hAnsi="Arial" w:cs="Arial"/>
          <w:color w:val="000000" w:themeColor="text1"/>
        </w:rPr>
        <w:t>Specific binding of FAPI to both overexpressing and endogenous cells.</w:t>
      </w:r>
    </w:p>
    <w:p w14:paraId="11D240A7" w14:textId="77777777" w:rsidR="00BA02DB" w:rsidRPr="00924447" w:rsidRDefault="00BA02DB" w:rsidP="00BA02DB">
      <w:pPr>
        <w:rPr>
          <w:rFonts w:ascii="Arial" w:hAnsi="Arial" w:cs="Arial"/>
          <w:color w:val="000000" w:themeColor="text1"/>
          <w:sz w:val="18"/>
          <w:szCs w:val="18"/>
        </w:rPr>
      </w:pPr>
    </w:p>
    <w:p w14:paraId="0BE4AA84" w14:textId="77777777" w:rsidR="00BA02DB" w:rsidRDefault="00BA02DB" w:rsidP="00BA02DB">
      <w:pPr>
        <w:rPr>
          <w:rFonts w:ascii="Arial" w:hAnsi="Arial" w:cs="Arial"/>
          <w:color w:val="000000" w:themeColor="text1"/>
          <w:sz w:val="18"/>
          <w:szCs w:val="18"/>
        </w:rPr>
      </w:pPr>
    </w:p>
    <w:p w14:paraId="24E7F01F" w14:textId="77777777" w:rsidR="0012606C" w:rsidRDefault="0012606C" w:rsidP="00BA02DB">
      <w:pPr>
        <w:rPr>
          <w:rFonts w:ascii="Arial" w:hAnsi="Arial" w:cs="Arial"/>
          <w:color w:val="000000" w:themeColor="text1"/>
          <w:sz w:val="18"/>
          <w:szCs w:val="18"/>
        </w:rPr>
      </w:pPr>
    </w:p>
    <w:p w14:paraId="4F1E4F4A" w14:textId="77777777" w:rsidR="0012606C" w:rsidRDefault="0012606C" w:rsidP="00BA02DB">
      <w:pPr>
        <w:rPr>
          <w:rFonts w:ascii="Arial" w:hAnsi="Arial" w:cs="Arial"/>
          <w:color w:val="000000" w:themeColor="text1"/>
          <w:sz w:val="18"/>
          <w:szCs w:val="18"/>
        </w:rPr>
      </w:pPr>
    </w:p>
    <w:p w14:paraId="723D6EFF" w14:textId="77777777" w:rsidR="0012606C" w:rsidRPr="00924447" w:rsidRDefault="0012606C" w:rsidP="00BA02DB">
      <w:pPr>
        <w:rPr>
          <w:rFonts w:ascii="Arial" w:hAnsi="Arial" w:cs="Arial"/>
          <w:color w:val="000000" w:themeColor="text1"/>
          <w:sz w:val="18"/>
          <w:szCs w:val="18"/>
        </w:rPr>
      </w:pPr>
    </w:p>
    <w:p w14:paraId="55F2BB11" w14:textId="77777777" w:rsidR="00BA02DB" w:rsidRPr="00924447" w:rsidRDefault="00BA02DB" w:rsidP="00BA02DB">
      <w:pPr>
        <w:keepNext/>
        <w:rPr>
          <w:rFonts w:ascii="Arial" w:hAnsi="Arial" w:cs="Arial"/>
          <w:color w:val="000000" w:themeColor="text1"/>
          <w:sz w:val="18"/>
          <w:szCs w:val="18"/>
        </w:rPr>
      </w:pPr>
      <w:r w:rsidRPr="00924447">
        <w:rPr>
          <w:rFonts w:ascii="Arial" w:hAnsi="Arial" w:cs="Arial"/>
          <w:noProof/>
          <w:color w:val="000000" w:themeColor="text1"/>
          <w:sz w:val="18"/>
          <w:szCs w:val="18"/>
        </w:rPr>
        <w:drawing>
          <wp:inline distT="0" distB="0" distL="0" distR="0" wp14:anchorId="2394A6FA" wp14:editId="743FB953">
            <wp:extent cx="5943600" cy="3227705"/>
            <wp:effectExtent l="0" t="0" r="0" b="0"/>
            <wp:docPr id="4" name="Picture 3">
              <a:extLst xmlns:a="http://schemas.openxmlformats.org/drawingml/2006/main">
                <a:ext uri="{FF2B5EF4-FFF2-40B4-BE49-F238E27FC236}">
                  <a16:creationId xmlns:a16="http://schemas.microsoft.com/office/drawing/2014/main" id="{6FA54A23-30EF-94AA-C085-F2A6DB65A8A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6FA54A23-30EF-94AA-C085-F2A6DB65A8AC}"/>
                        </a:ext>
                      </a:extLst>
                    </pic:cNvPr>
                    <pic:cNvPicPr>
                      <a:picLocks noChangeAspect="1"/>
                    </pic:cNvPicPr>
                  </pic:nvPicPr>
                  <pic:blipFill>
                    <a:blip r:embed="rId6"/>
                    <a:stretch>
                      <a:fillRect/>
                    </a:stretch>
                  </pic:blipFill>
                  <pic:spPr>
                    <a:xfrm>
                      <a:off x="0" y="0"/>
                      <a:ext cx="5943600" cy="3227705"/>
                    </a:xfrm>
                    <a:prstGeom prst="rect">
                      <a:avLst/>
                    </a:prstGeom>
                  </pic:spPr>
                </pic:pic>
              </a:graphicData>
            </a:graphic>
          </wp:inline>
        </w:drawing>
      </w:r>
    </w:p>
    <w:p w14:paraId="7C9EC107" w14:textId="77777777" w:rsidR="008A0123" w:rsidRDefault="008A0123" w:rsidP="00E505CD">
      <w:pPr>
        <w:pStyle w:val="Caption"/>
        <w:jc w:val="center"/>
        <w:rPr>
          <w:rFonts w:ascii="Arial" w:hAnsi="Arial" w:cs="Arial"/>
          <w:color w:val="000000" w:themeColor="text1"/>
        </w:rPr>
      </w:pPr>
    </w:p>
    <w:p w14:paraId="4998AFB5" w14:textId="2C4560C9" w:rsidR="00BA02DB" w:rsidRPr="00924447" w:rsidRDefault="00EE0FB2" w:rsidP="00E505CD">
      <w:pPr>
        <w:pStyle w:val="Caption"/>
        <w:jc w:val="center"/>
        <w:rPr>
          <w:rFonts w:ascii="Arial" w:hAnsi="Arial" w:cs="Arial"/>
          <w:color w:val="000000" w:themeColor="text1"/>
        </w:rPr>
      </w:pPr>
      <w:r>
        <w:rPr>
          <w:rFonts w:ascii="Arial" w:hAnsi="Arial" w:cs="Arial"/>
          <w:color w:val="000000" w:themeColor="text1"/>
        </w:rPr>
        <w:t>Figure S2</w:t>
      </w:r>
      <w:r w:rsidR="00314B0A">
        <w:rPr>
          <w:rFonts w:ascii="Arial" w:hAnsi="Arial" w:cs="Arial"/>
          <w:color w:val="000000" w:themeColor="text1"/>
        </w:rPr>
        <w:t>.</w:t>
      </w:r>
      <w:r>
        <w:rPr>
          <w:rFonts w:ascii="Arial" w:hAnsi="Arial" w:cs="Arial"/>
          <w:color w:val="000000" w:themeColor="text1"/>
        </w:rPr>
        <w:t xml:space="preserve"> </w:t>
      </w:r>
      <w:r w:rsidR="00E505CD" w:rsidRPr="00924447">
        <w:rPr>
          <w:rFonts w:ascii="Arial" w:hAnsi="Arial" w:cs="Arial"/>
          <w:color w:val="000000" w:themeColor="text1"/>
        </w:rPr>
        <w:t>Time-lapse cell imaging of HEK293-hFAP cells labeled with FAPI-AF647 (red) which co-localizes with lysosomes (green) visualized by yellow punctures.</w:t>
      </w:r>
    </w:p>
    <w:p w14:paraId="23D22E11" w14:textId="77777777" w:rsidR="00BA02DB" w:rsidRPr="00924447" w:rsidRDefault="00BA02DB" w:rsidP="00BA02DB">
      <w:pPr>
        <w:rPr>
          <w:rFonts w:ascii="Arial" w:hAnsi="Arial" w:cs="Arial"/>
          <w:color w:val="000000" w:themeColor="text1"/>
          <w:sz w:val="18"/>
          <w:szCs w:val="18"/>
        </w:rPr>
      </w:pPr>
    </w:p>
    <w:p w14:paraId="523C4B5F" w14:textId="77777777" w:rsidR="00BA02DB" w:rsidRPr="00924447" w:rsidRDefault="00BA02DB" w:rsidP="00BA02DB">
      <w:pPr>
        <w:rPr>
          <w:rFonts w:ascii="Arial" w:hAnsi="Arial" w:cs="Arial"/>
          <w:color w:val="000000" w:themeColor="text1"/>
          <w:sz w:val="18"/>
          <w:szCs w:val="18"/>
        </w:rPr>
      </w:pPr>
    </w:p>
    <w:p w14:paraId="78FEA5F0" w14:textId="77777777" w:rsidR="00BA02DB" w:rsidRPr="00924447" w:rsidRDefault="00390387" w:rsidP="00E505CD">
      <w:pPr>
        <w:keepNext/>
        <w:jc w:val="center"/>
        <w:rPr>
          <w:rFonts w:ascii="Arial" w:hAnsi="Arial" w:cs="Arial"/>
          <w:color w:val="000000" w:themeColor="text1"/>
          <w:sz w:val="18"/>
          <w:szCs w:val="18"/>
        </w:rPr>
      </w:pPr>
      <w:r w:rsidRPr="00924447">
        <w:rPr>
          <w:rFonts w:ascii="Arial" w:hAnsi="Arial" w:cs="Arial"/>
          <w:noProof/>
          <w:color w:val="000000" w:themeColor="text1"/>
          <w:sz w:val="18"/>
          <w:szCs w:val="18"/>
        </w:rPr>
      </w:r>
      <w:r w:rsidR="00390387" w:rsidRPr="00924447">
        <w:rPr>
          <w:rFonts w:ascii="Arial" w:hAnsi="Arial" w:cs="Arial"/>
          <w:noProof/>
          <w:color w:val="000000" w:themeColor="text1"/>
          <w:sz w:val="18"/>
          <w:szCs w:val="18"/>
        </w:rPr>
        <w:object w:dxaOrig="7920" w:dyaOrig="7200" w14:anchorId="03EFF1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04.9pt;height:186.75pt;mso-width-percent:0;mso-height-percent:0;mso-width-percent:0;mso-height-percent:0" o:ole="">
            <v:imagedata r:id="rId7" o:title=""/>
          </v:shape>
          <o:OLEObject Type="Embed" ProgID="Unknown" ShapeID="_x0000_i1025" DrawAspect="Content" ObjectID="_1766576371" r:id="rId8"/>
        </w:object>
      </w:r>
    </w:p>
    <w:p w14:paraId="052455C4" w14:textId="2CAACFE7" w:rsidR="00BA02DB" w:rsidRPr="00924447" w:rsidRDefault="00EE0FB2" w:rsidP="00E505CD">
      <w:pPr>
        <w:pStyle w:val="Caption"/>
        <w:jc w:val="center"/>
        <w:rPr>
          <w:rFonts w:ascii="Arial" w:hAnsi="Arial" w:cs="Arial"/>
          <w:color w:val="000000" w:themeColor="text1"/>
        </w:rPr>
      </w:pPr>
      <w:r>
        <w:rPr>
          <w:rFonts w:ascii="Arial" w:hAnsi="Arial" w:cs="Arial"/>
          <w:color w:val="000000" w:themeColor="text1"/>
        </w:rPr>
        <w:t>Figure S3</w:t>
      </w:r>
      <w:r w:rsidR="00314B0A">
        <w:rPr>
          <w:rFonts w:ascii="Arial" w:hAnsi="Arial" w:cs="Arial"/>
          <w:color w:val="000000" w:themeColor="text1"/>
        </w:rPr>
        <w:t>.</w:t>
      </w:r>
      <w:r>
        <w:rPr>
          <w:rFonts w:ascii="Arial" w:hAnsi="Arial" w:cs="Arial"/>
          <w:color w:val="000000" w:themeColor="text1"/>
        </w:rPr>
        <w:t xml:space="preserve"> </w:t>
      </w:r>
      <w:r w:rsidR="001E2D9D" w:rsidRPr="00924447">
        <w:rPr>
          <w:rFonts w:ascii="Arial" w:hAnsi="Arial" w:cs="Arial"/>
          <w:color w:val="000000" w:themeColor="text1"/>
        </w:rPr>
        <w:t>Constant surface expression of FAP on HEK293 overexpressing cells over time.</w:t>
      </w:r>
    </w:p>
    <w:p w14:paraId="39C51BC9" w14:textId="77777777" w:rsidR="00BA02DB" w:rsidRDefault="00BA02DB" w:rsidP="00BA02DB">
      <w:pPr>
        <w:rPr>
          <w:rFonts w:ascii="Arial" w:hAnsi="Arial" w:cs="Arial"/>
          <w:color w:val="000000" w:themeColor="text1"/>
          <w:sz w:val="18"/>
          <w:szCs w:val="18"/>
        </w:rPr>
      </w:pPr>
    </w:p>
    <w:p w14:paraId="11374D0C" w14:textId="77777777" w:rsidR="00924447" w:rsidRDefault="00924447" w:rsidP="00BA02DB">
      <w:pPr>
        <w:rPr>
          <w:rFonts w:ascii="Arial" w:hAnsi="Arial" w:cs="Arial"/>
          <w:color w:val="000000" w:themeColor="text1"/>
          <w:sz w:val="18"/>
          <w:szCs w:val="18"/>
        </w:rPr>
      </w:pPr>
    </w:p>
    <w:p w14:paraId="5B62822A" w14:textId="77777777" w:rsidR="0012606C" w:rsidRDefault="0012606C" w:rsidP="00BA02DB">
      <w:pPr>
        <w:rPr>
          <w:rFonts w:ascii="Arial" w:hAnsi="Arial" w:cs="Arial"/>
          <w:color w:val="000000" w:themeColor="text1"/>
          <w:sz w:val="18"/>
          <w:szCs w:val="18"/>
        </w:rPr>
      </w:pPr>
    </w:p>
    <w:p w14:paraId="41C688E4" w14:textId="77777777" w:rsidR="0012606C" w:rsidRPr="00924447" w:rsidRDefault="0012606C" w:rsidP="00BA02DB">
      <w:pPr>
        <w:rPr>
          <w:rFonts w:ascii="Arial" w:hAnsi="Arial" w:cs="Arial"/>
          <w:color w:val="000000" w:themeColor="text1"/>
          <w:sz w:val="18"/>
          <w:szCs w:val="18"/>
        </w:rPr>
      </w:pPr>
    </w:p>
    <w:p w14:paraId="5EE6A4A1" w14:textId="77777777" w:rsidR="00BA02DB" w:rsidRPr="00924447" w:rsidRDefault="00BA02DB" w:rsidP="00BA02DB">
      <w:pPr>
        <w:rPr>
          <w:rFonts w:ascii="Arial" w:hAnsi="Arial" w:cs="Arial"/>
          <w:color w:val="000000" w:themeColor="text1"/>
          <w:sz w:val="18"/>
          <w:szCs w:val="18"/>
        </w:rPr>
      </w:pPr>
    </w:p>
    <w:p w14:paraId="32C881F5" w14:textId="77777777" w:rsidR="009465CA" w:rsidRPr="00924447" w:rsidRDefault="009465CA" w:rsidP="009465CA">
      <w:pPr>
        <w:keepNext/>
        <w:rPr>
          <w:rFonts w:ascii="Arial" w:hAnsi="Arial" w:cs="Arial"/>
          <w:color w:val="000000" w:themeColor="text1"/>
          <w:sz w:val="18"/>
          <w:szCs w:val="18"/>
        </w:rPr>
      </w:pPr>
      <w:r w:rsidRPr="00924447">
        <w:rPr>
          <w:rFonts w:ascii="Arial" w:hAnsi="Arial" w:cs="Arial"/>
          <w:noProof/>
          <w:color w:val="000000" w:themeColor="text1"/>
          <w:sz w:val="18"/>
          <w:szCs w:val="18"/>
        </w:rPr>
        <w:drawing>
          <wp:inline distT="0" distB="0" distL="0" distR="0" wp14:anchorId="0B88CA00" wp14:editId="2284BF14">
            <wp:extent cx="5943600" cy="2179320"/>
            <wp:effectExtent l="0" t="0" r="0" b="0"/>
            <wp:docPr id="7" name="Picture 6">
              <a:extLst xmlns:a="http://schemas.openxmlformats.org/drawingml/2006/main">
                <a:ext uri="{FF2B5EF4-FFF2-40B4-BE49-F238E27FC236}">
                  <a16:creationId xmlns:a16="http://schemas.microsoft.com/office/drawing/2014/main" id="{5B64D29A-BC1A-7476-D6E2-E114DE60D7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5B64D29A-BC1A-7476-D6E2-E114DE60D7B5}"/>
                        </a:ext>
                      </a:extLst>
                    </pic:cNvPr>
                    <pic:cNvPicPr>
                      <a:picLocks noChangeAspect="1"/>
                    </pic:cNvPicPr>
                  </pic:nvPicPr>
                  <pic:blipFill>
                    <a:blip r:embed="rId9"/>
                    <a:stretch>
                      <a:fillRect/>
                    </a:stretch>
                  </pic:blipFill>
                  <pic:spPr>
                    <a:xfrm>
                      <a:off x="0" y="0"/>
                      <a:ext cx="5943600" cy="2179320"/>
                    </a:xfrm>
                    <a:prstGeom prst="rect">
                      <a:avLst/>
                    </a:prstGeom>
                  </pic:spPr>
                </pic:pic>
              </a:graphicData>
            </a:graphic>
          </wp:inline>
        </w:drawing>
      </w:r>
    </w:p>
    <w:p w14:paraId="34FB36D7" w14:textId="77777777" w:rsidR="008A0123" w:rsidRDefault="008A0123" w:rsidP="00924447">
      <w:pPr>
        <w:pStyle w:val="Caption"/>
        <w:jc w:val="center"/>
        <w:rPr>
          <w:rFonts w:ascii="Arial" w:hAnsi="Arial" w:cs="Arial"/>
          <w:color w:val="000000" w:themeColor="text1"/>
        </w:rPr>
      </w:pPr>
    </w:p>
    <w:p w14:paraId="22235427" w14:textId="533BB77E" w:rsidR="009465CA" w:rsidRPr="00924447" w:rsidRDefault="00EE0FB2" w:rsidP="00924447">
      <w:pPr>
        <w:pStyle w:val="Caption"/>
        <w:jc w:val="center"/>
        <w:rPr>
          <w:rFonts w:ascii="Arial" w:hAnsi="Arial" w:cs="Arial"/>
          <w:color w:val="000000" w:themeColor="text1"/>
        </w:rPr>
      </w:pPr>
      <w:r>
        <w:rPr>
          <w:rFonts w:ascii="Arial" w:hAnsi="Arial" w:cs="Arial"/>
          <w:color w:val="000000" w:themeColor="text1"/>
        </w:rPr>
        <w:t>Figure S4</w:t>
      </w:r>
      <w:r w:rsidR="00314B0A">
        <w:rPr>
          <w:rFonts w:ascii="Arial" w:hAnsi="Arial" w:cs="Arial"/>
          <w:color w:val="000000" w:themeColor="text1"/>
        </w:rPr>
        <w:t>.</w:t>
      </w:r>
      <w:r>
        <w:rPr>
          <w:rFonts w:ascii="Arial" w:hAnsi="Arial" w:cs="Arial"/>
          <w:color w:val="000000" w:themeColor="text1"/>
        </w:rPr>
        <w:t xml:space="preserve"> </w:t>
      </w:r>
      <w:r w:rsidR="00EC51AB" w:rsidRPr="00924447">
        <w:rPr>
          <w:rFonts w:ascii="Arial" w:hAnsi="Arial" w:cs="Arial"/>
          <w:color w:val="000000" w:themeColor="text1"/>
        </w:rPr>
        <w:t>RAFLS internalization kinetics from a donor with higher non-specific uptake relative to that observed for a different donor shown in Figure 3.</w:t>
      </w:r>
    </w:p>
    <w:p w14:paraId="41A0CEF7" w14:textId="77777777" w:rsidR="009465CA" w:rsidRPr="00924447" w:rsidRDefault="009465CA" w:rsidP="009465CA">
      <w:pPr>
        <w:rPr>
          <w:rFonts w:ascii="Arial" w:hAnsi="Arial" w:cs="Arial"/>
          <w:color w:val="000000" w:themeColor="text1"/>
          <w:sz w:val="18"/>
          <w:szCs w:val="18"/>
        </w:rPr>
      </w:pPr>
    </w:p>
    <w:p w14:paraId="54575A5B" w14:textId="77777777" w:rsidR="009465CA" w:rsidRPr="00924447" w:rsidRDefault="009465CA" w:rsidP="009465CA">
      <w:pPr>
        <w:rPr>
          <w:rFonts w:ascii="Arial" w:hAnsi="Arial" w:cs="Arial"/>
          <w:color w:val="000000" w:themeColor="text1"/>
          <w:sz w:val="18"/>
          <w:szCs w:val="18"/>
        </w:rPr>
      </w:pPr>
    </w:p>
    <w:p w14:paraId="2099F20A" w14:textId="77777777" w:rsidR="009465CA" w:rsidRPr="00924447" w:rsidRDefault="009465CA" w:rsidP="009465CA">
      <w:pPr>
        <w:rPr>
          <w:rFonts w:ascii="Arial" w:hAnsi="Arial" w:cs="Arial"/>
          <w:color w:val="000000" w:themeColor="text1"/>
          <w:sz w:val="18"/>
          <w:szCs w:val="18"/>
        </w:rPr>
      </w:pPr>
    </w:p>
    <w:p w14:paraId="59126FD1" w14:textId="77777777" w:rsidR="009465CA" w:rsidRPr="00924447" w:rsidRDefault="009465CA" w:rsidP="009465CA">
      <w:pPr>
        <w:rPr>
          <w:rFonts w:ascii="Arial" w:hAnsi="Arial" w:cs="Arial"/>
          <w:color w:val="000000" w:themeColor="text1"/>
          <w:sz w:val="18"/>
          <w:szCs w:val="18"/>
        </w:rPr>
      </w:pPr>
    </w:p>
    <w:p w14:paraId="67A7787B" w14:textId="77777777" w:rsidR="009465CA" w:rsidRPr="00924447" w:rsidRDefault="009465CA" w:rsidP="009465CA">
      <w:pPr>
        <w:rPr>
          <w:rFonts w:ascii="Arial" w:hAnsi="Arial" w:cs="Arial"/>
          <w:color w:val="000000" w:themeColor="text1"/>
          <w:sz w:val="18"/>
          <w:szCs w:val="18"/>
        </w:rPr>
      </w:pPr>
    </w:p>
    <w:p w14:paraId="2C8A7514" w14:textId="77777777" w:rsidR="009465CA" w:rsidRPr="00924447" w:rsidRDefault="009465CA" w:rsidP="009465CA">
      <w:pPr>
        <w:rPr>
          <w:rFonts w:ascii="Arial" w:hAnsi="Arial" w:cs="Arial"/>
          <w:color w:val="000000" w:themeColor="text1"/>
          <w:sz w:val="18"/>
          <w:szCs w:val="18"/>
        </w:rPr>
      </w:pPr>
    </w:p>
    <w:p w14:paraId="4678AB79" w14:textId="77777777" w:rsidR="009465CA" w:rsidRPr="00924447" w:rsidRDefault="009465CA" w:rsidP="009465CA">
      <w:pPr>
        <w:rPr>
          <w:rFonts w:ascii="Arial" w:hAnsi="Arial" w:cs="Arial"/>
          <w:color w:val="000000" w:themeColor="text1"/>
          <w:sz w:val="18"/>
          <w:szCs w:val="18"/>
        </w:rPr>
      </w:pPr>
    </w:p>
    <w:p w14:paraId="7431D92F" w14:textId="77777777" w:rsidR="00267F9A" w:rsidRPr="00924447" w:rsidRDefault="00267F9A" w:rsidP="00267F9A">
      <w:pPr>
        <w:keepNext/>
        <w:rPr>
          <w:rFonts w:ascii="Arial" w:hAnsi="Arial" w:cs="Arial"/>
          <w:color w:val="000000" w:themeColor="text1"/>
          <w:sz w:val="18"/>
          <w:szCs w:val="18"/>
        </w:rPr>
      </w:pPr>
      <w:r w:rsidRPr="00924447">
        <w:rPr>
          <w:rFonts w:ascii="Arial" w:hAnsi="Arial" w:cs="Arial"/>
          <w:noProof/>
          <w:color w:val="000000" w:themeColor="text1"/>
          <w:sz w:val="18"/>
          <w:szCs w:val="18"/>
        </w:rPr>
        <w:lastRenderedPageBreak/>
        <w:drawing>
          <wp:inline distT="0" distB="0" distL="0" distR="0" wp14:anchorId="6EA83CC7" wp14:editId="2D5C8925">
            <wp:extent cx="5896796" cy="3863975"/>
            <wp:effectExtent l="0" t="0" r="0" b="0"/>
            <wp:docPr id="31" name="Picture 30">
              <a:extLst xmlns:a="http://schemas.openxmlformats.org/drawingml/2006/main">
                <a:ext uri="{FF2B5EF4-FFF2-40B4-BE49-F238E27FC236}">
                  <a16:creationId xmlns:a16="http://schemas.microsoft.com/office/drawing/2014/main" id="{5A7A79DC-04BF-5BC1-C7F3-1AD7694560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0">
                      <a:extLst>
                        <a:ext uri="{FF2B5EF4-FFF2-40B4-BE49-F238E27FC236}">
                          <a16:creationId xmlns:a16="http://schemas.microsoft.com/office/drawing/2014/main" id="{5A7A79DC-04BF-5BC1-C7F3-1AD769456044}"/>
                        </a:ext>
                      </a:extLst>
                    </pic:cNvPr>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896796" cy="3863975"/>
                    </a:xfrm>
                    <a:prstGeom prst="rect">
                      <a:avLst/>
                    </a:prstGeom>
                  </pic:spPr>
                </pic:pic>
              </a:graphicData>
            </a:graphic>
          </wp:inline>
        </w:drawing>
      </w:r>
    </w:p>
    <w:p w14:paraId="015A94D2" w14:textId="77777777" w:rsidR="008A0123" w:rsidRDefault="008A0123" w:rsidP="00924447">
      <w:pPr>
        <w:pStyle w:val="Caption"/>
        <w:jc w:val="center"/>
        <w:rPr>
          <w:rFonts w:ascii="Arial" w:hAnsi="Arial" w:cs="Arial"/>
          <w:color w:val="000000" w:themeColor="text1"/>
        </w:rPr>
      </w:pPr>
    </w:p>
    <w:p w14:paraId="0CB4CC6B" w14:textId="24739652" w:rsidR="009465CA" w:rsidRDefault="00EE0FB2" w:rsidP="00924447">
      <w:pPr>
        <w:pStyle w:val="Caption"/>
        <w:jc w:val="center"/>
        <w:rPr>
          <w:rFonts w:ascii="Arial" w:hAnsi="Arial" w:cs="Arial"/>
          <w:color w:val="000000" w:themeColor="text1"/>
        </w:rPr>
      </w:pPr>
      <w:r>
        <w:rPr>
          <w:rFonts w:ascii="Arial" w:hAnsi="Arial" w:cs="Arial"/>
          <w:color w:val="000000" w:themeColor="text1"/>
        </w:rPr>
        <w:t>Figure S5</w:t>
      </w:r>
      <w:r w:rsidR="00314B0A">
        <w:rPr>
          <w:rFonts w:ascii="Arial" w:hAnsi="Arial" w:cs="Arial"/>
          <w:color w:val="000000" w:themeColor="text1"/>
        </w:rPr>
        <w:t>.</w:t>
      </w:r>
      <w:r>
        <w:rPr>
          <w:rFonts w:ascii="Arial" w:hAnsi="Arial" w:cs="Arial"/>
          <w:color w:val="000000" w:themeColor="text1"/>
        </w:rPr>
        <w:t xml:space="preserve"> </w:t>
      </w:r>
      <w:r w:rsidR="00924447" w:rsidRPr="00924447">
        <w:rPr>
          <w:rFonts w:ascii="Arial" w:hAnsi="Arial" w:cs="Arial"/>
          <w:color w:val="000000" w:themeColor="text1"/>
        </w:rPr>
        <w:t>(A) Representative images illustrating longitudinal imaging of the slower clearing FAPI-ALB-800CW disposition in inflamed paws of the same CIA mouse up to 72 h post-dosing. The middle and bottom image panels demonstrate the temporal impact on the uptake with blocking with 50 nmol excess of FAPI-ALB-AF647 (hydrophilic) and FAPI-ABP (lipophilic), respectively. (B) Ex vivo biodistribution in mice dosed with FAPI-800CW (left) and FAPI-ALB-800CW (right). The organ image panels, and the corresponding graphs below demonstrate limited uptake in all non-target organs, except kidney. The kidney uptake is related to the excretion of the labeled peptide. The uptake levels in the diseased paws are higher for both FAP reagents, consistent with images shown in (A) and in Figure 5. (C) Whole organ homogenate data are shown for FAPI-800CW at 24 h post-IV dose. The organs from this group were weighed, homogenized, and scanned with digest standards to quantify normalized uptake as described previously</w:t>
      </w:r>
      <w:r w:rsidR="00F93ED2" w:rsidRPr="00F93ED2">
        <w:rPr>
          <w:rFonts w:ascii="Arial" w:hAnsi="Arial" w:cs="Arial"/>
          <w:color w:val="000000" w:themeColor="text1"/>
          <w:vertAlign w:val="superscript"/>
        </w:rPr>
        <w:t>1</w:t>
      </w:r>
      <w:r w:rsidR="00924447" w:rsidRPr="00924447">
        <w:rPr>
          <w:rFonts w:ascii="Arial" w:hAnsi="Arial" w:cs="Arial"/>
          <w:color w:val="000000" w:themeColor="text1"/>
        </w:rPr>
        <w:t>. Aside from the high uptake in kidneys, consistent with the organ panel data in (B), the increased uptake observed in the liver may be due to a combination of increased negative charge density due to fluorophore conjugation and the residualizing nature of the fluorophore.</w:t>
      </w:r>
    </w:p>
    <w:p w14:paraId="2CB20D46" w14:textId="77777777" w:rsidR="00F93ED2" w:rsidRDefault="00F93ED2" w:rsidP="00F93ED2"/>
    <w:p w14:paraId="27C9F9C6" w14:textId="77777777" w:rsidR="00F93ED2" w:rsidRPr="00F93ED2" w:rsidRDefault="00F93ED2" w:rsidP="00F93ED2"/>
    <w:p w14:paraId="28A4540A" w14:textId="1114C325" w:rsidR="00267F9A" w:rsidRPr="00F93ED2" w:rsidRDefault="00F93ED2" w:rsidP="00F93ED2">
      <w:pPr>
        <w:pStyle w:val="ListParagraph"/>
        <w:numPr>
          <w:ilvl w:val="0"/>
          <w:numId w:val="1"/>
        </w:numPr>
        <w:rPr>
          <w:rFonts w:ascii="Arial" w:hAnsi="Arial" w:cs="Arial"/>
          <w:color w:val="000000" w:themeColor="text1"/>
          <w:sz w:val="18"/>
          <w:szCs w:val="18"/>
        </w:rPr>
      </w:pPr>
      <w:r w:rsidRPr="00FE7DBC">
        <w:t xml:space="preserve">Zhang, L.; Wang, Y.; Homan, K. T.; </w:t>
      </w:r>
      <w:proofErr w:type="spellStart"/>
      <w:r w:rsidRPr="00FE7DBC">
        <w:t>Gaudette</w:t>
      </w:r>
      <w:proofErr w:type="spellEnd"/>
      <w:r w:rsidRPr="00FE7DBC">
        <w:t xml:space="preserve">, S. M.; McCluskey, A. J.; Chan, Y.; Murphy, J.; Abdalla, M.; Nelson, C. M.; Sun, V. Z.; Erickson, J. E.; Knight, H. L.; Clabbers, A.; </w:t>
      </w:r>
      <w:proofErr w:type="spellStart"/>
      <w:r w:rsidRPr="00FE7DBC">
        <w:t>Sterman</w:t>
      </w:r>
      <w:proofErr w:type="spellEnd"/>
      <w:r w:rsidRPr="00FE7DBC">
        <w:t xml:space="preserve">, A. J. S.; Mitra, S. Imaging the Alternatively Spliced D Domain of Tenascin C in a Preclinical Model of Inflammatory Bowel Disease. </w:t>
      </w:r>
      <w:r w:rsidRPr="00F93ED2">
        <w:rPr>
          <w:i/>
          <w:iCs/>
        </w:rPr>
        <w:t>Mol Imaging Biol</w:t>
      </w:r>
      <w:r w:rsidRPr="00FE7DBC">
        <w:t xml:space="preserve"> </w:t>
      </w:r>
      <w:r w:rsidRPr="00F93ED2">
        <w:rPr>
          <w:b/>
          <w:bCs/>
        </w:rPr>
        <w:t>2022</w:t>
      </w:r>
      <w:r w:rsidRPr="00FE7DBC">
        <w:t>. https://doi.org/10.1007/s11307-022-01758-6.</w:t>
      </w:r>
    </w:p>
    <w:sectPr w:rsidR="00267F9A" w:rsidRPr="00F93E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8E5F5F"/>
    <w:multiLevelType w:val="hybridMultilevel"/>
    <w:tmpl w:val="96E8C264"/>
    <w:lvl w:ilvl="0" w:tplc="C6CC3A8C">
      <w:start w:val="1"/>
      <w:numFmt w:val="decimal"/>
      <w:lvlText w:val="(%1)"/>
      <w:lvlJc w:val="left"/>
      <w:pPr>
        <w:ind w:left="720" w:hanging="360"/>
      </w:pPr>
      <w:rPr>
        <w:rFonts w:ascii="Times New Roman" w:hAnsi="Times New Roman" w:cs="Times New Roman" w:hint="default"/>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277463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BB1"/>
    <w:rsid w:val="000210CC"/>
    <w:rsid w:val="0012606C"/>
    <w:rsid w:val="001C6F77"/>
    <w:rsid w:val="001E2D9D"/>
    <w:rsid w:val="00267F9A"/>
    <w:rsid w:val="002A5EF2"/>
    <w:rsid w:val="00314B0A"/>
    <w:rsid w:val="00390387"/>
    <w:rsid w:val="00460BB1"/>
    <w:rsid w:val="00470DD3"/>
    <w:rsid w:val="005D0F1B"/>
    <w:rsid w:val="008A0123"/>
    <w:rsid w:val="00924447"/>
    <w:rsid w:val="009465CA"/>
    <w:rsid w:val="00A90F76"/>
    <w:rsid w:val="00BA02DB"/>
    <w:rsid w:val="00BD2EF4"/>
    <w:rsid w:val="00DC2DD2"/>
    <w:rsid w:val="00E505CD"/>
    <w:rsid w:val="00EC51AB"/>
    <w:rsid w:val="00EE0FB2"/>
    <w:rsid w:val="00F93E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8278281"/>
  <w15:chartTrackingRefBased/>
  <w15:docId w15:val="{760D0506-75D9-3143-82F3-996CF732F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5D0F1B"/>
    <w:pPr>
      <w:spacing w:after="200"/>
    </w:pPr>
    <w:rPr>
      <w:i/>
      <w:iCs/>
      <w:color w:val="44546A" w:themeColor="text2"/>
      <w:sz w:val="18"/>
      <w:szCs w:val="18"/>
    </w:rPr>
  </w:style>
  <w:style w:type="paragraph" w:styleId="ListParagraph">
    <w:name w:val="List Paragraph"/>
    <w:basedOn w:val="Normal"/>
    <w:uiPriority w:val="34"/>
    <w:qFormat/>
    <w:rsid w:val="00F93E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image" Target="media/image5.emf"/><Relationship Id="rId4" Type="http://schemas.openxmlformats.org/officeDocument/2006/relationships/webSettings" Target="webSettings.xml"/><Relationship Id="rId9"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328</Words>
  <Characters>1876</Characters>
  <Application>Microsoft Office Word</Application>
  <DocSecurity>0</DocSecurity>
  <Lines>15</Lines>
  <Paragraphs>4</Paragraphs>
  <ScaleCrop>false</ScaleCrop>
  <Company/>
  <LinksUpToDate>false</LinksUpToDate>
  <CharactersWithSpaces>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Nessler, Ian</dc:creator>
  <cp:keywords/>
  <dc:description/>
  <cp:lastModifiedBy>Nessler, Ian</cp:lastModifiedBy>
  <cp:revision>2</cp:revision>
  <dcterms:created xsi:type="dcterms:W3CDTF">2024-01-12T20:53:00Z</dcterms:created>
  <dcterms:modified xsi:type="dcterms:W3CDTF">2024-01-12T20:53:00Z</dcterms:modified>
</cp:coreProperties>
</file>