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1A3EB" w14:textId="77777777" w:rsidR="00A7557D" w:rsidRPr="00A43C0A" w:rsidRDefault="00A7557D" w:rsidP="00A7557D">
      <w:pPr>
        <w:pStyle w:val="Caption"/>
        <w:keepNext/>
        <w:jc w:val="center"/>
        <w:rPr>
          <w:rFonts w:ascii="Arial" w:hAnsi="Arial" w:cs="Arial"/>
          <w:color w:val="000000" w:themeColor="text1"/>
        </w:rPr>
      </w:pPr>
      <w:r w:rsidRPr="00A43C0A">
        <w:rPr>
          <w:rFonts w:ascii="Arial" w:hAnsi="Arial" w:cs="Arial"/>
          <w:color w:val="000000" w:themeColor="text1"/>
        </w:rPr>
        <w:t xml:space="preserve">Table </w:t>
      </w:r>
      <w:r w:rsidRPr="00A43C0A">
        <w:rPr>
          <w:rFonts w:ascii="Arial" w:hAnsi="Arial" w:cs="Arial"/>
          <w:color w:val="000000" w:themeColor="text1"/>
        </w:rPr>
        <w:fldChar w:fldCharType="begin"/>
      </w:r>
      <w:r w:rsidRPr="00A43C0A">
        <w:rPr>
          <w:rFonts w:ascii="Arial" w:hAnsi="Arial" w:cs="Arial"/>
          <w:color w:val="000000" w:themeColor="text1"/>
        </w:rPr>
        <w:instrText xml:space="preserve"> SEQ Table \* ARABIC </w:instrText>
      </w:r>
      <w:r w:rsidRPr="00A43C0A">
        <w:rPr>
          <w:rFonts w:ascii="Arial" w:hAnsi="Arial" w:cs="Arial"/>
          <w:color w:val="000000" w:themeColor="text1"/>
        </w:rPr>
        <w:fldChar w:fldCharType="separate"/>
      </w:r>
      <w:r>
        <w:rPr>
          <w:rFonts w:ascii="Arial" w:hAnsi="Arial" w:cs="Arial"/>
          <w:noProof/>
          <w:color w:val="000000" w:themeColor="text1"/>
        </w:rPr>
        <w:t>1</w:t>
      </w:r>
      <w:r w:rsidRPr="00A43C0A">
        <w:rPr>
          <w:rFonts w:ascii="Arial" w:hAnsi="Arial" w:cs="Arial"/>
          <w:color w:val="000000" w:themeColor="text1"/>
        </w:rPr>
        <w:fldChar w:fldCharType="end"/>
      </w:r>
      <w:r w:rsidRPr="00A43C0A">
        <w:rPr>
          <w:rFonts w:ascii="Arial" w:hAnsi="Arial" w:cs="Arial"/>
          <w:color w:val="000000" w:themeColor="text1"/>
        </w:rPr>
        <w:t xml:space="preserve">. </w:t>
      </w:r>
      <w:r w:rsidRPr="00BE4BFC">
        <w:rPr>
          <w:rFonts w:ascii="Arial" w:hAnsi="Arial" w:cs="Arial"/>
          <w:color w:val="000000" w:themeColor="text1"/>
        </w:rPr>
        <w:t>Physicochemical parameters for FAPI conjugates, including MW, cLogP and plasma protein binding. Addition of sulfonated dyes alone increases hydrophilicity. Addition of the albumin-binding small molecule significantly increases plasma protein binding.</w:t>
      </w:r>
    </w:p>
    <w:p w14:paraId="524A34F4" w14:textId="77777777" w:rsidR="00A7557D" w:rsidRPr="00D541E7" w:rsidRDefault="00A7557D" w:rsidP="00A7557D">
      <w:pPr>
        <w:spacing w:after="120" w:line="240" w:lineRule="auto"/>
        <w:jc w:val="center"/>
        <w:rPr>
          <w:rFonts w:ascii="Arial" w:hAnsi="Arial" w:cs="Arial"/>
          <w:color w:val="000000" w:themeColor="text1"/>
        </w:rPr>
      </w:pPr>
      <w:r w:rsidRPr="00953EEA">
        <w:rPr>
          <w:rFonts w:ascii="Arial" w:hAnsi="Arial" w:cs="Arial"/>
          <w:noProof/>
          <w:color w:val="000000" w:themeColor="text1"/>
        </w:rPr>
        <w:drawing>
          <wp:inline distT="0" distB="0" distL="0" distR="0" wp14:anchorId="0310CF60" wp14:editId="36F0508B">
            <wp:extent cx="3495626" cy="1024425"/>
            <wp:effectExtent l="0" t="0" r="0" b="0"/>
            <wp:docPr id="202314665" name="Picture 202314665">
              <a:extLst xmlns:a="http://schemas.openxmlformats.org/drawingml/2006/main">
                <a:ext uri="{FF2B5EF4-FFF2-40B4-BE49-F238E27FC236}">
                  <a16:creationId xmlns:a16="http://schemas.microsoft.com/office/drawing/2014/main" id="{A4983D33-16F0-D296-5FEA-7138CDC712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14665" name="Picture 202314665">
                      <a:extLst>
                        <a:ext uri="{FF2B5EF4-FFF2-40B4-BE49-F238E27FC236}">
                          <a16:creationId xmlns:a16="http://schemas.microsoft.com/office/drawing/2014/main" id="{A4983D33-16F0-D296-5FEA-7138CDC712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26" cy="10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F7209" w14:textId="77777777" w:rsidR="00A7557D" w:rsidRDefault="00A7557D" w:rsidP="00A7557D">
      <w:pPr>
        <w:rPr>
          <w:rFonts w:ascii="Arial" w:hAnsi="Arial" w:cs="Arial"/>
          <w:color w:val="000000" w:themeColor="text1"/>
        </w:rPr>
      </w:pPr>
    </w:p>
    <w:p w14:paraId="17C95731" w14:textId="77777777" w:rsidR="00A7557D" w:rsidRDefault="00A7557D" w:rsidP="00A7557D">
      <w:pPr>
        <w:rPr>
          <w:rFonts w:ascii="Arial" w:hAnsi="Arial" w:cs="Arial"/>
          <w:color w:val="000000" w:themeColor="text1"/>
        </w:rPr>
      </w:pPr>
    </w:p>
    <w:p w14:paraId="48EAC346" w14:textId="77777777" w:rsidR="00A7557D" w:rsidRDefault="00A7557D" w:rsidP="00A7557D">
      <w:pPr>
        <w:rPr>
          <w:rFonts w:ascii="Arial" w:hAnsi="Arial" w:cs="Arial"/>
          <w:color w:val="000000" w:themeColor="text1"/>
        </w:rPr>
      </w:pPr>
    </w:p>
    <w:p w14:paraId="777F1802" w14:textId="77777777" w:rsidR="00A7557D" w:rsidRPr="00A43C0A" w:rsidRDefault="00A7557D" w:rsidP="00A7557D">
      <w:pPr>
        <w:pStyle w:val="Caption"/>
        <w:keepNext/>
        <w:jc w:val="center"/>
        <w:rPr>
          <w:rFonts w:ascii="Arial" w:hAnsi="Arial" w:cs="Arial"/>
          <w:color w:val="000000" w:themeColor="text1"/>
        </w:rPr>
      </w:pPr>
      <w:r w:rsidRPr="00A43C0A">
        <w:rPr>
          <w:rFonts w:ascii="Arial" w:hAnsi="Arial" w:cs="Arial"/>
          <w:color w:val="000000" w:themeColor="text1"/>
        </w:rPr>
        <w:t xml:space="preserve">Table </w:t>
      </w:r>
      <w:r w:rsidRPr="00A43C0A">
        <w:rPr>
          <w:rFonts w:ascii="Arial" w:hAnsi="Arial" w:cs="Arial"/>
          <w:color w:val="000000" w:themeColor="text1"/>
        </w:rPr>
        <w:fldChar w:fldCharType="begin"/>
      </w:r>
      <w:r w:rsidRPr="00A43C0A">
        <w:rPr>
          <w:rFonts w:ascii="Arial" w:hAnsi="Arial" w:cs="Arial"/>
          <w:color w:val="000000" w:themeColor="text1"/>
        </w:rPr>
        <w:instrText xml:space="preserve"> SEQ Table \* ARABIC </w:instrText>
      </w:r>
      <w:r w:rsidRPr="00A43C0A">
        <w:rPr>
          <w:rFonts w:ascii="Arial" w:hAnsi="Arial" w:cs="Arial"/>
          <w:color w:val="000000" w:themeColor="text1"/>
        </w:rPr>
        <w:fldChar w:fldCharType="separate"/>
      </w:r>
      <w:r>
        <w:rPr>
          <w:rFonts w:ascii="Arial" w:hAnsi="Arial" w:cs="Arial"/>
          <w:noProof/>
          <w:color w:val="000000" w:themeColor="text1"/>
        </w:rPr>
        <w:t>2</w:t>
      </w:r>
      <w:r w:rsidRPr="00A43C0A">
        <w:rPr>
          <w:rFonts w:ascii="Arial" w:hAnsi="Arial" w:cs="Arial"/>
          <w:color w:val="000000" w:themeColor="text1"/>
        </w:rPr>
        <w:fldChar w:fldCharType="end"/>
      </w:r>
      <w:r w:rsidRPr="00A43C0A">
        <w:rPr>
          <w:rFonts w:ascii="Arial" w:hAnsi="Arial" w:cs="Arial"/>
          <w:color w:val="000000" w:themeColor="text1"/>
        </w:rPr>
        <w:t xml:space="preserve">. </w:t>
      </w:r>
      <w:r w:rsidRPr="00F42219">
        <w:rPr>
          <w:rFonts w:ascii="Arial" w:hAnsi="Arial" w:cs="Arial"/>
          <w:color w:val="000000" w:themeColor="text1"/>
        </w:rPr>
        <w:t>(A) Cell surface determined binding affinities (K</w:t>
      </w:r>
      <w:r w:rsidRPr="00F42219">
        <w:rPr>
          <w:rFonts w:ascii="Arial" w:hAnsi="Arial" w:cs="Arial"/>
          <w:color w:val="000000" w:themeColor="text1"/>
          <w:vertAlign w:val="subscript"/>
        </w:rPr>
        <w:t>D</w:t>
      </w:r>
      <w:r w:rsidRPr="00F42219">
        <w:rPr>
          <w:rFonts w:ascii="Arial" w:hAnsi="Arial" w:cs="Arial"/>
          <w:color w:val="000000" w:themeColor="text1"/>
        </w:rPr>
        <w:t>)</w:t>
      </w:r>
      <w:r w:rsidRPr="00F42219">
        <w:rPr>
          <w:rFonts w:ascii="Arial" w:hAnsi="Arial" w:cs="Arial"/>
          <w:color w:val="000000" w:themeColor="text1"/>
          <w:vertAlign w:val="subscript"/>
        </w:rPr>
        <w:t xml:space="preserve"> </w:t>
      </w:r>
      <w:r w:rsidRPr="00F42219">
        <w:rPr>
          <w:rFonts w:ascii="Arial" w:hAnsi="Arial" w:cs="Arial"/>
          <w:color w:val="000000" w:themeColor="text1"/>
        </w:rPr>
        <w:t>for directly measured and indirectly* calculated FAP conjugates. (B) Flow cytometry using saturating concentrations of FAPI-AF488 and MESF beads to quantify surface expression in overexpressing and endogenous cells.</w:t>
      </w:r>
    </w:p>
    <w:p w14:paraId="61C90ED1" w14:textId="77777777" w:rsidR="00A7557D" w:rsidRDefault="00A7557D" w:rsidP="00A7557D">
      <w:pPr>
        <w:spacing w:after="120" w:line="240" w:lineRule="auto"/>
        <w:jc w:val="center"/>
        <w:rPr>
          <w:rFonts w:ascii="Arial" w:hAnsi="Arial" w:cs="Arial"/>
          <w:color w:val="000000" w:themeColor="text1"/>
        </w:rPr>
      </w:pPr>
      <w:r w:rsidRPr="00CA40F4">
        <w:rPr>
          <w:rFonts w:ascii="Arial" w:hAnsi="Arial" w:cs="Arial"/>
          <w:noProof/>
          <w:color w:val="000000" w:themeColor="text1"/>
        </w:rPr>
        <w:drawing>
          <wp:inline distT="0" distB="0" distL="0" distR="0" wp14:anchorId="35309B2E" wp14:editId="24BE090E">
            <wp:extent cx="5636115" cy="1927929"/>
            <wp:effectExtent l="0" t="0" r="3175" b="2540"/>
            <wp:docPr id="1540271535" name="Picture 1540271535">
              <a:extLst xmlns:a="http://schemas.openxmlformats.org/drawingml/2006/main">
                <a:ext uri="{FF2B5EF4-FFF2-40B4-BE49-F238E27FC236}">
                  <a16:creationId xmlns:a16="http://schemas.microsoft.com/office/drawing/2014/main" id="{BA5C3446-B190-851B-0809-243C4F4C73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328220" name="Picture 763328220">
                      <a:extLst>
                        <a:ext uri="{FF2B5EF4-FFF2-40B4-BE49-F238E27FC236}">
                          <a16:creationId xmlns:a16="http://schemas.microsoft.com/office/drawing/2014/main" id="{BA5C3446-B190-851B-0809-243C4F4C73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6115" cy="1927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F5C26" w14:textId="3FB2224C" w:rsidR="00A7557D" w:rsidRDefault="00A7557D" w:rsidP="00A7557D">
      <w:pPr>
        <w:rPr>
          <w:rFonts w:ascii="Arial" w:hAnsi="Arial" w:cs="Arial"/>
          <w:color w:val="000000" w:themeColor="text1"/>
        </w:rPr>
      </w:pPr>
    </w:p>
    <w:p w14:paraId="78424619" w14:textId="77777777" w:rsidR="00A7557D" w:rsidRDefault="00A7557D" w:rsidP="00A7557D">
      <w:pPr>
        <w:rPr>
          <w:rFonts w:ascii="Arial" w:hAnsi="Arial" w:cs="Arial"/>
          <w:color w:val="000000" w:themeColor="text1"/>
        </w:rPr>
      </w:pPr>
    </w:p>
    <w:p w14:paraId="21320178" w14:textId="77777777" w:rsidR="00A7557D" w:rsidRDefault="00A7557D" w:rsidP="00A7557D">
      <w:pPr>
        <w:rPr>
          <w:rFonts w:ascii="Arial" w:hAnsi="Arial" w:cs="Arial"/>
          <w:color w:val="000000" w:themeColor="text1"/>
        </w:rPr>
      </w:pPr>
    </w:p>
    <w:p w14:paraId="14A2B08E" w14:textId="77777777" w:rsidR="00A7557D" w:rsidRPr="00A43C0A" w:rsidRDefault="00A7557D" w:rsidP="00A7557D">
      <w:pPr>
        <w:pStyle w:val="Caption"/>
        <w:keepNext/>
        <w:jc w:val="center"/>
        <w:rPr>
          <w:rFonts w:ascii="Arial" w:hAnsi="Arial" w:cs="Arial"/>
          <w:color w:val="000000" w:themeColor="text1"/>
        </w:rPr>
      </w:pPr>
      <w:r w:rsidRPr="00A43C0A">
        <w:rPr>
          <w:rFonts w:ascii="Arial" w:hAnsi="Arial" w:cs="Arial"/>
          <w:color w:val="000000" w:themeColor="text1"/>
        </w:rPr>
        <w:t xml:space="preserve">Table </w:t>
      </w:r>
      <w:r w:rsidRPr="00A43C0A">
        <w:rPr>
          <w:rFonts w:ascii="Arial" w:hAnsi="Arial" w:cs="Arial"/>
          <w:color w:val="000000" w:themeColor="text1"/>
        </w:rPr>
        <w:fldChar w:fldCharType="begin"/>
      </w:r>
      <w:r w:rsidRPr="00A43C0A">
        <w:rPr>
          <w:rFonts w:ascii="Arial" w:hAnsi="Arial" w:cs="Arial"/>
          <w:color w:val="000000" w:themeColor="text1"/>
        </w:rPr>
        <w:instrText xml:space="preserve"> SEQ Table \* ARABIC </w:instrText>
      </w:r>
      <w:r w:rsidRPr="00A43C0A">
        <w:rPr>
          <w:rFonts w:ascii="Arial" w:hAnsi="Arial" w:cs="Arial"/>
          <w:color w:val="000000" w:themeColor="text1"/>
        </w:rPr>
        <w:fldChar w:fldCharType="separate"/>
      </w:r>
      <w:r>
        <w:rPr>
          <w:rFonts w:ascii="Arial" w:hAnsi="Arial" w:cs="Arial"/>
          <w:noProof/>
          <w:color w:val="000000" w:themeColor="text1"/>
        </w:rPr>
        <w:t>3</w:t>
      </w:r>
      <w:r w:rsidRPr="00A43C0A">
        <w:rPr>
          <w:rFonts w:ascii="Arial" w:hAnsi="Arial" w:cs="Arial"/>
          <w:color w:val="000000" w:themeColor="text1"/>
        </w:rPr>
        <w:fldChar w:fldCharType="end"/>
      </w:r>
      <w:r w:rsidRPr="00A43C0A">
        <w:rPr>
          <w:rFonts w:ascii="Arial" w:hAnsi="Arial" w:cs="Arial"/>
          <w:color w:val="000000" w:themeColor="text1"/>
        </w:rPr>
        <w:t>.</w:t>
      </w:r>
      <w:r w:rsidRPr="00B652C4">
        <w:rPr>
          <w:rFonts w:ascii="Arial" w:hAnsi="Arial" w:cs="Arial"/>
          <w:color w:val="000000" w:themeColor="text1"/>
        </w:rPr>
        <w:t xml:space="preserve"> Summary of PK parameters derived from non-compartmental analysis</w:t>
      </w:r>
      <w:r>
        <w:rPr>
          <w:rFonts w:ascii="Arial" w:hAnsi="Arial" w:cs="Arial"/>
          <w:color w:val="000000" w:themeColor="text1"/>
        </w:rPr>
        <w:t xml:space="preserve"> (Mean </w:t>
      </w:r>
      <w:r w:rsidRPr="004B2777">
        <w:rPr>
          <w:rFonts w:ascii="Arial" w:hAnsi="Arial" w:cs="Arial"/>
          <w:color w:val="000000" w:themeColor="text1"/>
        </w:rPr>
        <w:t>± SEM</w:t>
      </w:r>
      <w:r>
        <w:rPr>
          <w:rFonts w:ascii="Arial" w:hAnsi="Arial" w:cs="Arial"/>
          <w:b/>
          <w:bCs/>
          <w:color w:val="000000" w:themeColor="text1"/>
        </w:rPr>
        <w:t>)</w:t>
      </w:r>
      <w:r w:rsidRPr="00B652C4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</w:t>
      </w:r>
      <w:r w:rsidRPr="00A73304">
        <w:rPr>
          <w:rFonts w:ascii="Arial" w:hAnsi="Arial" w:cs="Arial"/>
          <w:color w:val="000000" w:themeColor="text1"/>
          <w:vertAlign w:val="superscript"/>
        </w:rPr>
        <w:t>†</w:t>
      </w:r>
      <w:r w:rsidRPr="00A73304">
        <w:rPr>
          <w:rFonts w:ascii="Arial" w:hAnsi="Arial" w:cs="Arial"/>
          <w:color w:val="000000" w:themeColor="text1"/>
        </w:rPr>
        <w:t xml:space="preserve">FAPI was delivered at a higher dose than other conjugates to maintain concentration above LLOQ during sampling. Concentration data for this probe has been </w:t>
      </w:r>
      <w:r>
        <w:rPr>
          <w:rFonts w:ascii="Arial" w:hAnsi="Arial" w:cs="Arial"/>
          <w:color w:val="000000" w:themeColor="text1"/>
        </w:rPr>
        <w:t xml:space="preserve">linearly </w:t>
      </w:r>
      <w:r w:rsidRPr="00A73304">
        <w:rPr>
          <w:rFonts w:ascii="Arial" w:hAnsi="Arial" w:cs="Arial"/>
          <w:color w:val="000000" w:themeColor="text1"/>
        </w:rPr>
        <w:t xml:space="preserve">dose normalized to </w:t>
      </w:r>
      <w:r>
        <w:rPr>
          <w:rFonts w:ascii="Arial" w:hAnsi="Arial" w:cs="Arial"/>
          <w:color w:val="000000" w:themeColor="text1"/>
        </w:rPr>
        <w:t xml:space="preserve">2 nmol for consistency to </w:t>
      </w:r>
      <w:r w:rsidRPr="00A73304">
        <w:rPr>
          <w:rFonts w:ascii="Arial" w:hAnsi="Arial" w:cs="Arial"/>
          <w:color w:val="000000" w:themeColor="text1"/>
        </w:rPr>
        <w:t>other probes.</w:t>
      </w:r>
    </w:p>
    <w:p w14:paraId="405BE6DB" w14:textId="77777777" w:rsidR="00A7557D" w:rsidRPr="00502D4D" w:rsidRDefault="00A7557D" w:rsidP="00A7557D">
      <w:pPr>
        <w:spacing w:after="120" w:line="240" w:lineRule="auto"/>
        <w:jc w:val="center"/>
        <w:rPr>
          <w:rFonts w:ascii="Arial" w:hAnsi="Arial" w:cs="Arial"/>
          <w:color w:val="000000" w:themeColor="text1"/>
        </w:rPr>
      </w:pPr>
      <w:r w:rsidRPr="000A2E0A">
        <w:rPr>
          <w:rFonts w:ascii="Arial" w:hAnsi="Arial" w:cs="Arial"/>
          <w:noProof/>
          <w:color w:val="000000" w:themeColor="text1"/>
        </w:rPr>
        <w:drawing>
          <wp:inline distT="0" distB="0" distL="0" distR="0" wp14:anchorId="3E4B5158" wp14:editId="6A7C7AB4">
            <wp:extent cx="5041688" cy="1608667"/>
            <wp:effectExtent l="0" t="0" r="635" b="4445"/>
            <wp:docPr id="299022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888213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957" cy="161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A8D12" w14:textId="2FDA9FD7" w:rsidR="00A7557D" w:rsidRDefault="00A7557D" w:rsidP="00A7557D"/>
    <w:sectPr w:rsidR="00A75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57D"/>
    <w:rsid w:val="00110104"/>
    <w:rsid w:val="0021090F"/>
    <w:rsid w:val="00220E4E"/>
    <w:rsid w:val="003A76DF"/>
    <w:rsid w:val="00A7557D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A78F0"/>
  <w15:chartTrackingRefBased/>
  <w15:docId w15:val="{EEABB3EF-1183-453C-969D-A7F6A0E5A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57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7557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795</Characters>
  <Application>Microsoft Office Word</Application>
  <DocSecurity>0</DocSecurity>
  <Lines>6</Lines>
  <Paragraphs>1</Paragraphs>
  <ScaleCrop>false</ScaleCrop>
  <Company>Springer Nature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2024-04-05T17:42:00Z</dcterms:created>
  <dcterms:modified xsi:type="dcterms:W3CDTF">2024-04-05T17:44:00Z</dcterms:modified>
</cp:coreProperties>
</file>