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EFC1A" w14:textId="3CADEA16" w:rsidR="002F0FC9" w:rsidRPr="00DA2435" w:rsidRDefault="000D5030" w:rsidP="00F34627">
      <w:pPr>
        <w:spacing w:line="360" w:lineRule="auto"/>
        <w:rPr>
          <w:rFonts w:ascii="Open Sans" w:hAnsi="Open Sans" w:cs="Open Sans"/>
          <w:b/>
          <w:sz w:val="20"/>
          <w:szCs w:val="20"/>
          <w:lang w:val="en-US"/>
        </w:rPr>
      </w:pPr>
      <w:r w:rsidRPr="00DA2435">
        <w:rPr>
          <w:rFonts w:ascii="Open Sans" w:hAnsi="Open Sans" w:cs="Open Sans"/>
          <w:b/>
          <w:sz w:val="20"/>
          <w:szCs w:val="20"/>
          <w:lang w:val="en-US"/>
        </w:rPr>
        <w:t>SUPPLEMENTARY MATERIAL</w:t>
      </w:r>
    </w:p>
    <w:p w14:paraId="5588C797" w14:textId="77777777" w:rsidR="000D5030" w:rsidRPr="00DA2435" w:rsidRDefault="000D5030" w:rsidP="00F34627">
      <w:pPr>
        <w:spacing w:line="360" w:lineRule="auto"/>
        <w:rPr>
          <w:rFonts w:ascii="Open Sans" w:hAnsi="Open Sans" w:cs="Open Sans"/>
          <w:sz w:val="20"/>
          <w:szCs w:val="20"/>
          <w:u w:val="single"/>
          <w:lang w:val="en-US"/>
        </w:rPr>
      </w:pPr>
    </w:p>
    <w:p w14:paraId="117303A4" w14:textId="05FCFD29" w:rsidR="00826929" w:rsidRPr="00DA2435" w:rsidRDefault="00826929" w:rsidP="00F34627">
      <w:pPr>
        <w:spacing w:line="360" w:lineRule="auto"/>
        <w:rPr>
          <w:rFonts w:ascii="Open Sans" w:hAnsi="Open Sans" w:cs="Open Sans"/>
          <w:b/>
          <w:bCs/>
          <w:sz w:val="20"/>
          <w:szCs w:val="20"/>
          <w:u w:val="single"/>
          <w:lang w:val="en-US"/>
        </w:rPr>
      </w:pPr>
      <w:r w:rsidRPr="00DA2435">
        <w:rPr>
          <w:rFonts w:ascii="Open Sans" w:hAnsi="Open Sans" w:cs="Open Sans"/>
          <w:b/>
          <w:bCs/>
          <w:sz w:val="20"/>
          <w:szCs w:val="20"/>
          <w:u w:val="single"/>
          <w:lang w:val="en-US"/>
        </w:rPr>
        <w:t>A. Methods</w:t>
      </w:r>
    </w:p>
    <w:p w14:paraId="6386ACC6" w14:textId="77777777" w:rsidR="000D5030" w:rsidRPr="00DA2435" w:rsidRDefault="000D5030" w:rsidP="00F34627">
      <w:pPr>
        <w:spacing w:line="360" w:lineRule="auto"/>
        <w:rPr>
          <w:rFonts w:ascii="Open Sans" w:hAnsi="Open Sans" w:cs="Open Sans"/>
          <w:b/>
          <w:bCs/>
          <w:sz w:val="20"/>
          <w:szCs w:val="20"/>
          <w:u w:val="single"/>
          <w:lang w:val="en-US"/>
        </w:rPr>
      </w:pPr>
    </w:p>
    <w:p w14:paraId="045F5FC8" w14:textId="4AC5F6AE" w:rsidR="00826929" w:rsidRPr="00DA2435" w:rsidRDefault="00826929" w:rsidP="00F34627">
      <w:pPr>
        <w:spacing w:line="360" w:lineRule="auto"/>
        <w:rPr>
          <w:rFonts w:ascii="Open Sans" w:hAnsi="Open Sans" w:cs="Open Sans"/>
          <w:b/>
          <w:bCs/>
          <w:sz w:val="20"/>
          <w:szCs w:val="20"/>
          <w:u w:val="single"/>
          <w:lang w:val="en-US"/>
        </w:rPr>
      </w:pPr>
      <w:r w:rsidRPr="00DA2435">
        <w:rPr>
          <w:rFonts w:ascii="Open Sans" w:hAnsi="Open Sans" w:cs="Open Sans"/>
          <w:b/>
          <w:bCs/>
          <w:sz w:val="20"/>
          <w:szCs w:val="20"/>
          <w:u w:val="single"/>
          <w:lang w:val="en-US"/>
        </w:rPr>
        <w:t>1</w:t>
      </w:r>
      <w:r w:rsidR="000D5030" w:rsidRPr="00DA2435">
        <w:rPr>
          <w:rFonts w:ascii="Open Sans" w:hAnsi="Open Sans" w:cs="Open Sans"/>
          <w:b/>
          <w:bCs/>
          <w:sz w:val="20"/>
          <w:szCs w:val="20"/>
          <w:u w:val="single"/>
          <w:lang w:val="en-US"/>
        </w:rPr>
        <w:t>.</w:t>
      </w:r>
      <w:r w:rsidRPr="00DA2435">
        <w:rPr>
          <w:rFonts w:ascii="Open Sans" w:hAnsi="Open Sans" w:cs="Open Sans"/>
          <w:b/>
          <w:bCs/>
          <w:sz w:val="20"/>
          <w:szCs w:val="20"/>
          <w:u w:val="single"/>
          <w:lang w:val="en-US"/>
        </w:rPr>
        <w:t xml:space="preserve"> Clinical protocol</w:t>
      </w:r>
    </w:p>
    <w:p w14:paraId="6BB7FE20" w14:textId="38F460D4" w:rsidR="00996496" w:rsidRPr="00DA2435" w:rsidRDefault="00996496"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Demographic information</w:t>
      </w:r>
      <w:r w:rsidRPr="00DA2435">
        <w:rPr>
          <w:rFonts w:ascii="Open Sans" w:hAnsi="Open Sans" w:cs="Open Sans"/>
          <w:sz w:val="20"/>
          <w:szCs w:val="20"/>
          <w:lang w:val="en-US"/>
        </w:rPr>
        <w:t xml:space="preserve">: Sex, date of birth, age of symptom onset, age at first observation, age at diagnosis, place of birth, family history, and history of </w:t>
      </w:r>
      <w:r w:rsidR="006343A3" w:rsidRPr="00DA2435">
        <w:rPr>
          <w:rFonts w:ascii="Open Sans" w:hAnsi="Open Sans" w:cs="Open Sans"/>
          <w:sz w:val="20"/>
          <w:szCs w:val="20"/>
          <w:lang w:val="en-US"/>
        </w:rPr>
        <w:t>consanguinity</w:t>
      </w:r>
      <w:r w:rsidRPr="00DA2435">
        <w:rPr>
          <w:rFonts w:ascii="Open Sans" w:hAnsi="Open Sans" w:cs="Open Sans"/>
          <w:sz w:val="20"/>
          <w:szCs w:val="20"/>
          <w:lang w:val="en-US"/>
        </w:rPr>
        <w:t>.</w:t>
      </w:r>
    </w:p>
    <w:p w14:paraId="0C9CF210" w14:textId="77777777" w:rsidR="00996496" w:rsidRPr="00DA2435" w:rsidRDefault="00996496"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Genetic information</w:t>
      </w:r>
      <w:r w:rsidRPr="00DA2435">
        <w:rPr>
          <w:rFonts w:ascii="Open Sans" w:hAnsi="Open Sans" w:cs="Open Sans"/>
          <w:sz w:val="20"/>
          <w:szCs w:val="20"/>
          <w:lang w:val="en-US"/>
        </w:rPr>
        <w:t>: Pathogenic variants, mode of transmission, and genetic test used.</w:t>
      </w:r>
    </w:p>
    <w:p w14:paraId="019DA179" w14:textId="7F43FF17" w:rsidR="00CB0C6F" w:rsidRPr="00DA2435" w:rsidRDefault="00996496" w:rsidP="00F34627">
      <w:pPr>
        <w:spacing w:before="120" w:after="120" w:line="360" w:lineRule="auto"/>
        <w:rPr>
          <w:rFonts w:ascii="Open Sans" w:hAnsi="Open Sans" w:cs="Open Sans"/>
          <w:sz w:val="20"/>
          <w:szCs w:val="20"/>
          <w:lang w:val="en-GB"/>
        </w:rPr>
      </w:pPr>
      <w:r w:rsidRPr="00DA2435">
        <w:rPr>
          <w:rFonts w:ascii="Open Sans" w:hAnsi="Open Sans" w:cs="Open Sans"/>
          <w:i/>
          <w:iCs/>
          <w:sz w:val="20"/>
          <w:szCs w:val="20"/>
          <w:lang w:val="en-US"/>
        </w:rPr>
        <w:t>Neurological symptoms/ signs and age of appearance of each:</w:t>
      </w:r>
      <w:r w:rsidRPr="00DA2435">
        <w:rPr>
          <w:rFonts w:ascii="Open Sans" w:hAnsi="Open Sans" w:cs="Open Sans"/>
          <w:sz w:val="20"/>
          <w:szCs w:val="20"/>
          <w:lang w:val="en-US"/>
        </w:rPr>
        <w:t xml:space="preserve"> nystagmus, dysarthria, dysphagia, diplopia, hyper</w:t>
      </w:r>
      <w:r w:rsidR="00482174" w:rsidRPr="00DA2435">
        <w:rPr>
          <w:rFonts w:ascii="Open Sans" w:hAnsi="Open Sans" w:cs="Open Sans"/>
          <w:sz w:val="20"/>
          <w:szCs w:val="20"/>
          <w:lang w:val="en-US"/>
        </w:rPr>
        <w:t>/</w:t>
      </w:r>
      <w:r w:rsidRPr="00DA2435">
        <w:rPr>
          <w:rFonts w:ascii="Open Sans" w:hAnsi="Open Sans" w:cs="Open Sans"/>
          <w:sz w:val="20"/>
          <w:szCs w:val="20"/>
          <w:lang w:val="en-US"/>
        </w:rPr>
        <w:t xml:space="preserve"> hypometric saccades, </w:t>
      </w:r>
      <w:r w:rsidR="00CB0C6F" w:rsidRPr="00DA2435">
        <w:rPr>
          <w:rFonts w:ascii="Open Sans" w:hAnsi="Open Sans" w:cs="Open Sans"/>
          <w:sz w:val="20"/>
          <w:szCs w:val="20"/>
          <w:lang w:val="en-US"/>
        </w:rPr>
        <w:t>dysmetria, gait ataxia</w:t>
      </w:r>
      <w:r w:rsidR="00BB777B" w:rsidRPr="00DA2435">
        <w:rPr>
          <w:rFonts w:ascii="Open Sans" w:hAnsi="Open Sans" w:cs="Open Sans"/>
          <w:sz w:val="20"/>
          <w:szCs w:val="20"/>
          <w:lang w:val="en-US"/>
        </w:rPr>
        <w:t>,</w:t>
      </w:r>
      <w:r w:rsidR="00CB0C6F" w:rsidRPr="00DA2435">
        <w:rPr>
          <w:rFonts w:ascii="Open Sans" w:hAnsi="Open Sans" w:cs="Open Sans"/>
          <w:sz w:val="20"/>
          <w:szCs w:val="20"/>
          <w:lang w:val="en-US"/>
        </w:rPr>
        <w:t xml:space="preserve"> </w:t>
      </w:r>
      <w:r w:rsidR="00BB777B" w:rsidRPr="00DA2435">
        <w:rPr>
          <w:rFonts w:ascii="Open Sans" w:hAnsi="Open Sans" w:cs="Open Sans"/>
          <w:sz w:val="20"/>
          <w:szCs w:val="20"/>
          <w:lang w:val="en-US"/>
        </w:rPr>
        <w:t>ophthalmoparesis</w:t>
      </w:r>
      <w:r w:rsidRPr="00DA2435">
        <w:rPr>
          <w:rFonts w:ascii="Open Sans" w:hAnsi="Open Sans" w:cs="Open Sans"/>
          <w:sz w:val="20"/>
          <w:szCs w:val="20"/>
          <w:lang w:val="en-US"/>
        </w:rPr>
        <w:t>, oculomotor apraxia, pyramidal signs (</w:t>
      </w:r>
      <w:r w:rsidRPr="00DA2435">
        <w:rPr>
          <w:rFonts w:ascii="Open Sans" w:hAnsi="Open Sans" w:cs="Open Sans"/>
          <w:sz w:val="20"/>
          <w:szCs w:val="20"/>
          <w:lang w:val="en-GB"/>
        </w:rPr>
        <w:t>hyperreflexia in four limbs</w:t>
      </w:r>
      <w:r w:rsidR="00482174" w:rsidRPr="00DA2435">
        <w:rPr>
          <w:rFonts w:ascii="Open Sans" w:hAnsi="Open Sans" w:cs="Open Sans"/>
          <w:sz w:val="20"/>
          <w:szCs w:val="20"/>
          <w:lang w:val="en-GB"/>
        </w:rPr>
        <w:t>,</w:t>
      </w:r>
      <w:r w:rsidRPr="00DA2435">
        <w:rPr>
          <w:rFonts w:ascii="Open Sans" w:hAnsi="Open Sans" w:cs="Open Sans"/>
          <w:sz w:val="20"/>
          <w:szCs w:val="20"/>
          <w:lang w:val="en-GB"/>
        </w:rPr>
        <w:t xml:space="preserve"> spasticity, Babinski and/ or Hoffman signs</w:t>
      </w:r>
      <w:r w:rsidRPr="00DA2435">
        <w:rPr>
          <w:rFonts w:ascii="Open Sans" w:hAnsi="Open Sans" w:cs="Open Sans"/>
          <w:sz w:val="20"/>
          <w:szCs w:val="20"/>
          <w:lang w:val="en-US"/>
        </w:rPr>
        <w:t xml:space="preserve">), dystonia, tremor (rest, postural or kinetic), </w:t>
      </w:r>
      <w:r w:rsidR="00CB0C6F" w:rsidRPr="00DA2435">
        <w:rPr>
          <w:rFonts w:ascii="Open Sans" w:hAnsi="Open Sans" w:cs="Open Sans"/>
          <w:sz w:val="20"/>
          <w:szCs w:val="20"/>
          <w:lang w:val="en-US"/>
        </w:rPr>
        <w:t>P</w:t>
      </w:r>
      <w:r w:rsidRPr="00DA2435">
        <w:rPr>
          <w:rFonts w:ascii="Open Sans" w:hAnsi="Open Sans" w:cs="Open Sans"/>
          <w:sz w:val="20"/>
          <w:szCs w:val="20"/>
          <w:lang w:val="en-US"/>
        </w:rPr>
        <w:t xml:space="preserve">arkinsonism, chorea, myoclonus, epilepsy, anxiety, depression, cognitive or motor delay, and hypotonia. </w:t>
      </w:r>
      <w:r w:rsidR="00CB0C6F" w:rsidRPr="00DA2435">
        <w:rPr>
          <w:rFonts w:ascii="Open Sans" w:hAnsi="Open Sans" w:cs="Open Sans"/>
          <w:sz w:val="20"/>
          <w:szCs w:val="20"/>
          <w:lang w:val="en-GB"/>
        </w:rPr>
        <w:t>Hemiplegic migraine was considered when in presence of migraine with aura</w:t>
      </w:r>
      <w:r w:rsidR="00482174" w:rsidRPr="00DA2435">
        <w:rPr>
          <w:rFonts w:ascii="Open Sans" w:hAnsi="Open Sans" w:cs="Open Sans"/>
          <w:sz w:val="20"/>
          <w:szCs w:val="20"/>
          <w:lang w:val="en-GB"/>
        </w:rPr>
        <w:t>,</w:t>
      </w:r>
      <w:r w:rsidR="00CB0C6F" w:rsidRPr="00DA2435">
        <w:rPr>
          <w:rFonts w:ascii="Open Sans" w:hAnsi="Open Sans" w:cs="Open Sans"/>
          <w:sz w:val="20"/>
          <w:szCs w:val="20"/>
          <w:lang w:val="en-GB"/>
        </w:rPr>
        <w:t xml:space="preserve"> </w:t>
      </w:r>
      <w:r w:rsidR="00482174" w:rsidRPr="00DA2435">
        <w:rPr>
          <w:rFonts w:ascii="Open Sans" w:hAnsi="Open Sans" w:cs="Open Sans"/>
          <w:sz w:val="20"/>
          <w:szCs w:val="20"/>
          <w:lang w:val="en-GB"/>
        </w:rPr>
        <w:t xml:space="preserve">and </w:t>
      </w:r>
      <w:r w:rsidR="00CB0C6F" w:rsidRPr="00DA2435">
        <w:rPr>
          <w:rFonts w:ascii="Open Sans" w:hAnsi="Open Sans" w:cs="Open Sans"/>
          <w:sz w:val="20"/>
          <w:szCs w:val="20"/>
          <w:lang w:val="en-GB"/>
        </w:rPr>
        <w:t>fully reversible motor weakness</w:t>
      </w:r>
      <w:r w:rsidR="00CB0C6F" w:rsidRPr="00DA2435">
        <w:rPr>
          <w:rFonts w:ascii="Open Sans" w:hAnsi="Open Sans" w:cs="Open Sans"/>
          <w:sz w:val="20"/>
          <w:szCs w:val="20"/>
          <w:vertAlign w:val="superscript"/>
          <w:lang w:val="en-GB"/>
        </w:rPr>
        <w:t xml:space="preserve"> </w:t>
      </w:r>
      <w:r w:rsidR="00CB0C6F" w:rsidRPr="00DA2435">
        <w:rPr>
          <w:rFonts w:ascii="Open Sans" w:hAnsi="Open Sans" w:cs="Open Sans"/>
          <w:sz w:val="20"/>
          <w:szCs w:val="20"/>
          <w:lang w:val="en-GB"/>
        </w:rPr>
        <w:t>and</w:t>
      </w:r>
      <w:r w:rsidR="00482174" w:rsidRPr="00DA2435">
        <w:rPr>
          <w:rFonts w:ascii="Open Sans" w:hAnsi="Open Sans" w:cs="Open Sans"/>
          <w:sz w:val="20"/>
          <w:szCs w:val="20"/>
          <w:lang w:val="en-GB"/>
        </w:rPr>
        <w:t>/or</w:t>
      </w:r>
      <w:r w:rsidR="00CB0C6F" w:rsidRPr="00DA2435">
        <w:rPr>
          <w:rFonts w:ascii="Open Sans" w:hAnsi="Open Sans" w:cs="Open Sans"/>
          <w:sz w:val="20"/>
          <w:szCs w:val="20"/>
          <w:lang w:val="en-GB"/>
        </w:rPr>
        <w:t xml:space="preserve"> visual, sensory and/ or speech/ language symptoms.</w:t>
      </w:r>
    </w:p>
    <w:p w14:paraId="7BFEFA98" w14:textId="2499E463" w:rsidR="00996496" w:rsidRPr="00DA2435" w:rsidRDefault="000877E3"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P</w:t>
      </w:r>
      <w:r w:rsidR="00996496" w:rsidRPr="00DA2435">
        <w:rPr>
          <w:rFonts w:ascii="Open Sans" w:hAnsi="Open Sans" w:cs="Open Sans"/>
          <w:i/>
          <w:iCs/>
          <w:sz w:val="20"/>
          <w:szCs w:val="20"/>
          <w:lang w:val="en-US"/>
        </w:rPr>
        <w:t>resenting neurological symptom</w:t>
      </w:r>
      <w:r w:rsidR="00996496" w:rsidRPr="00DA2435">
        <w:rPr>
          <w:rFonts w:ascii="Open Sans" w:hAnsi="Open Sans" w:cs="Open Sans"/>
          <w:sz w:val="20"/>
          <w:szCs w:val="20"/>
          <w:lang w:val="en-US"/>
        </w:rPr>
        <w:t xml:space="preserve"> was recorded and also if there was any </w:t>
      </w:r>
      <w:r w:rsidR="0074553F" w:rsidRPr="00DA2435">
        <w:rPr>
          <w:rStyle w:val="cf01"/>
          <w:rFonts w:ascii="Open Sans" w:hAnsi="Open Sans" w:cs="Open Sans"/>
          <w:sz w:val="20"/>
          <w:szCs w:val="20"/>
          <w:lang w:val="en-US"/>
        </w:rPr>
        <w:t xml:space="preserve">comorbidities and events </w:t>
      </w:r>
      <w:r w:rsidR="00996496" w:rsidRPr="00DA2435">
        <w:rPr>
          <w:rFonts w:ascii="Open Sans" w:hAnsi="Open Sans" w:cs="Open Sans"/>
          <w:sz w:val="20"/>
          <w:szCs w:val="20"/>
          <w:lang w:val="en-US"/>
        </w:rPr>
        <w:t xml:space="preserve">that </w:t>
      </w:r>
      <w:r w:rsidR="00FE5DB7" w:rsidRPr="00DA2435">
        <w:rPr>
          <w:rFonts w:ascii="Open Sans" w:hAnsi="Open Sans" w:cs="Open Sans"/>
          <w:sz w:val="20"/>
          <w:szCs w:val="20"/>
          <w:lang w:val="en-US"/>
        </w:rPr>
        <w:t xml:space="preserve">may have acted as a </w:t>
      </w:r>
      <w:r w:rsidR="00996496" w:rsidRPr="00DA2435">
        <w:rPr>
          <w:rFonts w:ascii="Open Sans" w:hAnsi="Open Sans" w:cs="Open Sans"/>
          <w:i/>
          <w:iCs/>
          <w:sz w:val="20"/>
          <w:szCs w:val="20"/>
          <w:lang w:val="en-US"/>
        </w:rPr>
        <w:t>precipitat</w:t>
      </w:r>
      <w:r w:rsidR="00FE5DB7" w:rsidRPr="00DA2435">
        <w:rPr>
          <w:rFonts w:ascii="Open Sans" w:hAnsi="Open Sans" w:cs="Open Sans"/>
          <w:i/>
          <w:iCs/>
          <w:sz w:val="20"/>
          <w:szCs w:val="20"/>
          <w:lang w:val="en-US"/>
        </w:rPr>
        <w:t>ing factor</w:t>
      </w:r>
      <w:r w:rsidR="00996496" w:rsidRPr="00DA2435">
        <w:rPr>
          <w:rFonts w:ascii="Open Sans" w:hAnsi="Open Sans" w:cs="Open Sans"/>
          <w:sz w:val="20"/>
          <w:szCs w:val="20"/>
          <w:lang w:val="en-US"/>
        </w:rPr>
        <w:t xml:space="preserve"> </w:t>
      </w:r>
      <w:r w:rsidR="00FE5DB7" w:rsidRPr="00DA2435">
        <w:rPr>
          <w:rFonts w:ascii="Open Sans" w:hAnsi="Open Sans" w:cs="Open Sans"/>
          <w:sz w:val="20"/>
          <w:szCs w:val="20"/>
          <w:lang w:val="en-US"/>
        </w:rPr>
        <w:t>of</w:t>
      </w:r>
      <w:r w:rsidR="00996496" w:rsidRPr="00DA2435">
        <w:rPr>
          <w:rFonts w:ascii="Open Sans" w:hAnsi="Open Sans" w:cs="Open Sans"/>
          <w:sz w:val="20"/>
          <w:szCs w:val="20"/>
          <w:lang w:val="en-US"/>
        </w:rPr>
        <w:t xml:space="preserve"> disease onset.</w:t>
      </w:r>
    </w:p>
    <w:p w14:paraId="72DE2A19" w14:textId="29ADDA28" w:rsidR="00CB0C6F" w:rsidRPr="00DA2435" w:rsidRDefault="00CB0C6F"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Motor delay</w:t>
      </w:r>
      <w:r w:rsidRPr="00DA2435">
        <w:rPr>
          <w:rFonts w:ascii="Open Sans" w:hAnsi="Open Sans" w:cs="Open Sans"/>
          <w:sz w:val="20"/>
          <w:szCs w:val="20"/>
          <w:lang w:val="en-US"/>
        </w:rPr>
        <w:t xml:space="preserve">: when </w:t>
      </w:r>
      <w:bookmarkStart w:id="0" w:name="_Hlk152948552"/>
      <w:r w:rsidRPr="00DA2435">
        <w:rPr>
          <w:rFonts w:ascii="Open Sans" w:hAnsi="Open Sans" w:cs="Open Sans"/>
          <w:sz w:val="20"/>
          <w:szCs w:val="20"/>
          <w:lang w:val="en-US"/>
        </w:rPr>
        <w:t>motor milestones occurr</w:t>
      </w:r>
      <w:r w:rsidR="00C9703E" w:rsidRPr="00DA2435">
        <w:rPr>
          <w:rFonts w:ascii="Open Sans" w:hAnsi="Open Sans" w:cs="Open Sans"/>
          <w:sz w:val="20"/>
          <w:szCs w:val="20"/>
          <w:lang w:val="en-US"/>
        </w:rPr>
        <w:t>ed</w:t>
      </w:r>
      <w:r w:rsidRPr="00DA2435">
        <w:rPr>
          <w:rFonts w:ascii="Open Sans" w:hAnsi="Open Sans" w:cs="Open Sans"/>
          <w:sz w:val="20"/>
          <w:szCs w:val="20"/>
          <w:lang w:val="en-US"/>
        </w:rPr>
        <w:t xml:space="preserve"> outside the 95% confidence interval</w:t>
      </w:r>
      <w:r w:rsidR="00C9703E" w:rsidRPr="00DA2435">
        <w:rPr>
          <w:rFonts w:ascii="Open Sans" w:hAnsi="Open Sans" w:cs="Open Sans"/>
          <w:sz w:val="20"/>
          <w:szCs w:val="20"/>
          <w:lang w:val="en-US"/>
        </w:rPr>
        <w:t>,</w:t>
      </w:r>
      <w:r w:rsidRPr="00DA2435">
        <w:rPr>
          <w:rFonts w:ascii="Open Sans" w:hAnsi="Open Sans" w:cs="Open Sans"/>
          <w:sz w:val="20"/>
          <w:szCs w:val="20"/>
          <w:lang w:val="en-US"/>
        </w:rPr>
        <w:t xml:space="preserve"> according to WHO</w:t>
      </w:r>
      <w:bookmarkEnd w:id="0"/>
      <w:r w:rsidR="004842C4" w:rsidRPr="00DA2435">
        <w:rPr>
          <w:rFonts w:ascii="Open Sans" w:hAnsi="Open Sans" w:cs="Open Sans"/>
          <w:sz w:val="20"/>
          <w:szCs w:val="20"/>
          <w:lang w:val="en-US"/>
        </w:rPr>
        <w:t>.</w:t>
      </w:r>
      <w:hyperlink w:anchor="_ENREF_1" w:tooltip="Group, 2006 #61" w:history="1">
        <w:r w:rsidR="005C5846" w:rsidRPr="00DA2435">
          <w:rPr>
            <w:rFonts w:ascii="Open Sans" w:hAnsi="Open Sans" w:cs="Open Sans"/>
            <w:sz w:val="20"/>
            <w:szCs w:val="20"/>
            <w:lang w:val="en-US"/>
          </w:rPr>
          <w:fldChar w:fldCharType="begin"/>
        </w:r>
        <w:r w:rsidR="005C5846" w:rsidRPr="00DA2435">
          <w:rPr>
            <w:rFonts w:ascii="Open Sans" w:hAnsi="Open Sans" w:cs="Open Sans"/>
            <w:sz w:val="20"/>
            <w:szCs w:val="20"/>
            <w:lang w:val="en-US"/>
          </w:rPr>
          <w:instrText xml:space="preserve"> ADDIN EN.CITE &lt;EndNote&gt;&lt;Cite&gt;&lt;Author&gt;Group&lt;/Author&gt;&lt;Year&gt;2006&lt;/Year&gt;&lt;RecNum&gt;61&lt;/RecNum&gt;&lt;DisplayText&gt;&lt;style face="superscript"&gt;1&lt;/style&gt;&lt;/DisplayText&gt;&lt;record&gt;&lt;rec-number&gt;61&lt;/rec-number&gt;&lt;foreign-keys&gt;&lt;key app="EN" db-id="wszd2edzmertvzedx0mp0s9wtpd9sd90pv2w" timestamp="1704387784"&gt;61&lt;/key&gt;&lt;/foreign-keys&gt;&lt;ref-type name="Journal Article"&gt;17&lt;/ref-type&gt;&lt;contributors&gt;&lt;authors&gt;&lt;author&gt;W. H. O. Multicentre Growth Reference Study Group&lt;/author&gt;&lt;/authors&gt;&lt;/contributors&gt;&lt;titles&gt;&lt;title&gt;WHO Motor Development Study: windows of achievement for six gross motor development milestones&lt;/title&gt;&lt;secondary-title&gt;Acta Paediatr Suppl&lt;/secondary-title&gt;&lt;/titles&gt;&lt;periodical&gt;&lt;full-title&gt;Acta Paediatr Suppl&lt;/full-title&gt;&lt;/periodical&gt;&lt;pages&gt;86-95&lt;/pages&gt;&lt;volume&gt;450&lt;/volume&gt;&lt;keywords&gt;&lt;keyword&gt;Child Development&lt;/keyword&gt;&lt;keyword&gt;Child, Preschool&lt;/keyword&gt;&lt;keyword&gt;Female&lt;/keyword&gt;&lt;keyword&gt;Humans&lt;/keyword&gt;&lt;keyword&gt;Infant&lt;/keyword&gt;&lt;keyword&gt;Infant, Newborn&lt;/keyword&gt;&lt;keyword&gt;Longitudinal Studies&lt;/keyword&gt;&lt;keyword&gt;Male&lt;/keyword&gt;&lt;keyword&gt;Models, Statistical&lt;/keyword&gt;&lt;keyword&gt;*Motor Skills&lt;/keyword&gt;&lt;keyword&gt;Multicenter Studies as Topic&lt;/keyword&gt;&lt;keyword&gt;Walking&lt;/keyword&gt;&lt;keyword&gt;World Health Organization&lt;/keyword&gt;&lt;/keywords&gt;&lt;dates&gt;&lt;year&gt;2006&lt;/year&gt;&lt;pub-dates&gt;&lt;date&gt;Apr&lt;/date&gt;&lt;/pub-dates&gt;&lt;/dates&gt;&lt;isbn&gt;0803-5326 (Print)&amp;#xD;0803-5326 (Linking)&lt;/isbn&gt;&lt;accession-num&gt;16817682&lt;/accession-num&gt;&lt;urls&gt;&lt;related-urls&gt;&lt;url&gt;https://www.ncbi.nlm.nih.gov/pubmed/16817682&lt;/url&gt;&lt;/related-urls&gt;&lt;/urls&gt;&lt;electronic-resource-num&gt;10.1111/j.1651-2227.2006.tb02379.x&lt;/electronic-resource-num&gt;&lt;remote-database-name&gt;Medline&lt;/remote-database-name&gt;&lt;remote-database-provider&gt;NLM&lt;/remote-database-provider&gt;&lt;/record&gt;&lt;/Cite&gt;&lt;/EndNote&gt;</w:instrText>
        </w:r>
        <w:r w:rsidR="005C5846" w:rsidRPr="00DA2435">
          <w:rPr>
            <w:rFonts w:ascii="Open Sans" w:hAnsi="Open Sans" w:cs="Open Sans"/>
            <w:sz w:val="20"/>
            <w:szCs w:val="20"/>
            <w:lang w:val="en-US"/>
          </w:rPr>
          <w:fldChar w:fldCharType="separate"/>
        </w:r>
        <w:r w:rsidR="005C5846" w:rsidRPr="00DA2435">
          <w:rPr>
            <w:rFonts w:ascii="Open Sans" w:hAnsi="Open Sans" w:cs="Open Sans"/>
            <w:noProof/>
            <w:sz w:val="20"/>
            <w:szCs w:val="20"/>
            <w:vertAlign w:val="superscript"/>
            <w:lang w:val="en-US"/>
          </w:rPr>
          <w:t>1</w:t>
        </w:r>
        <w:r w:rsidR="005C5846" w:rsidRPr="00DA2435">
          <w:rPr>
            <w:rFonts w:ascii="Open Sans" w:hAnsi="Open Sans" w:cs="Open Sans"/>
            <w:sz w:val="20"/>
            <w:szCs w:val="20"/>
            <w:lang w:val="en-US"/>
          </w:rPr>
          <w:fldChar w:fldCharType="end"/>
        </w:r>
      </w:hyperlink>
    </w:p>
    <w:p w14:paraId="3BB7DBCF" w14:textId="47666A68" w:rsidR="000877E3" w:rsidRPr="00DA2435" w:rsidRDefault="000877E3"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Intellectual disability:</w:t>
      </w:r>
      <w:r w:rsidRPr="00DA2435">
        <w:rPr>
          <w:rFonts w:ascii="Open Sans" w:hAnsi="Open Sans" w:cs="Open Sans"/>
          <w:sz w:val="20"/>
          <w:szCs w:val="20"/>
          <w:lang w:val="en-US"/>
        </w:rPr>
        <w:t xml:space="preserve"> </w:t>
      </w:r>
      <w:r w:rsidRPr="00DA2435">
        <w:rPr>
          <w:rFonts w:ascii="Open Sans" w:eastAsia="Calibri" w:hAnsi="Open Sans" w:cs="Open Sans"/>
          <w:sz w:val="20"/>
          <w:szCs w:val="20"/>
          <w:lang w:val="en-US"/>
        </w:rPr>
        <w:t>intellectual difficulties</w:t>
      </w:r>
      <w:r w:rsidR="004842C4" w:rsidRPr="00DA2435">
        <w:rPr>
          <w:rFonts w:ascii="Open Sans" w:eastAsia="Calibri" w:hAnsi="Open Sans" w:cs="Open Sans"/>
          <w:sz w:val="20"/>
          <w:szCs w:val="20"/>
          <w:lang w:val="en-US"/>
        </w:rPr>
        <w:t>,</w:t>
      </w:r>
      <w:r w:rsidRPr="00DA2435">
        <w:rPr>
          <w:rFonts w:ascii="Open Sans" w:eastAsia="Calibri" w:hAnsi="Open Sans" w:cs="Open Sans"/>
          <w:sz w:val="20"/>
          <w:szCs w:val="20"/>
          <w:lang w:val="en-US"/>
        </w:rPr>
        <w:t xml:space="preserve"> as well as difficulties in conceptual, social, and practical areas of living.</w:t>
      </w:r>
      <w:hyperlink w:anchor="_ENREF_2" w:tooltip=",  #52" w:history="1">
        <w:r w:rsidR="005C5846" w:rsidRPr="00DA2435">
          <w:rPr>
            <w:rFonts w:ascii="Open Sans" w:eastAsia="Calibri" w:hAnsi="Open Sans" w:cs="Open Sans"/>
            <w:sz w:val="20"/>
            <w:szCs w:val="20"/>
            <w:lang w:val="en-US"/>
          </w:rPr>
          <w:fldChar w:fldCharType="begin"/>
        </w:r>
        <w:r w:rsidR="005C5846" w:rsidRPr="00DA2435">
          <w:rPr>
            <w:rFonts w:ascii="Open Sans" w:eastAsia="Calibri" w:hAnsi="Open Sans" w:cs="Open Sans"/>
            <w:sz w:val="20"/>
            <w:szCs w:val="20"/>
            <w:lang w:val="en-US"/>
          </w:rPr>
          <w:instrText xml:space="preserve"> ADDIN EN.CITE &lt;EndNote&gt;&lt;Cite&gt;&lt;RecNum&gt;52&lt;/RecNum&gt;&lt;DisplayText&gt;&lt;style face="superscript"&gt;2&lt;/style&gt;&lt;/DisplayText&gt;&lt;record&gt;&lt;rec-number&gt;52&lt;/rec-number&gt;&lt;foreign-keys&gt;&lt;key app="EN" db-id="wszd2edzmertvzedx0mp0s9wtpd9sd90pv2w" timestamp="1702056704"&gt;52&lt;/key&gt;&lt;/foreign-keys&gt;&lt;ref-type name="Journal Article"&gt;17&lt;/ref-type&gt;&lt;contributors&gt;&lt;/contributors&gt;&lt;titles&gt;&lt;title&gt;American Psychiatric Association. (2013). Diagnostic and statistical manual of mental disorders (5th ed.). https://doi.org/10.1176/appi.books.9780890425596&lt;/title&gt;&lt;/titles&gt;&lt;dates&gt;&lt;/dates&gt;&lt;urls&gt;&lt;/urls&gt;&lt;/record&gt;&lt;/Cite&gt;&lt;/EndNote&gt;</w:instrText>
        </w:r>
        <w:r w:rsidR="005C5846" w:rsidRPr="00DA2435">
          <w:rPr>
            <w:rFonts w:ascii="Open Sans" w:eastAsia="Calibri" w:hAnsi="Open Sans" w:cs="Open Sans"/>
            <w:sz w:val="20"/>
            <w:szCs w:val="20"/>
            <w:lang w:val="en-US"/>
          </w:rPr>
          <w:fldChar w:fldCharType="separate"/>
        </w:r>
        <w:r w:rsidR="005C5846" w:rsidRPr="00DA2435">
          <w:rPr>
            <w:rFonts w:ascii="Open Sans" w:eastAsia="Calibri" w:hAnsi="Open Sans" w:cs="Open Sans"/>
            <w:noProof/>
            <w:sz w:val="20"/>
            <w:szCs w:val="20"/>
            <w:vertAlign w:val="superscript"/>
            <w:lang w:val="en-US"/>
          </w:rPr>
          <w:t>2</w:t>
        </w:r>
        <w:r w:rsidR="005C5846" w:rsidRPr="00DA2435">
          <w:rPr>
            <w:rFonts w:ascii="Open Sans" w:eastAsia="Calibri" w:hAnsi="Open Sans" w:cs="Open Sans"/>
            <w:sz w:val="20"/>
            <w:szCs w:val="20"/>
            <w:lang w:val="en-US"/>
          </w:rPr>
          <w:fldChar w:fldCharType="end"/>
        </w:r>
      </w:hyperlink>
    </w:p>
    <w:p w14:paraId="7FE08E8E" w14:textId="542294F1" w:rsidR="00996496" w:rsidRPr="00DA2435" w:rsidRDefault="00996496"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Disability milestones:</w:t>
      </w:r>
      <w:r w:rsidRPr="00DA2435">
        <w:rPr>
          <w:rFonts w:ascii="Open Sans" w:hAnsi="Open Sans" w:cs="Open Sans"/>
          <w:sz w:val="20"/>
          <w:szCs w:val="20"/>
          <w:lang w:val="en-US"/>
        </w:rPr>
        <w:t xml:space="preserve"> gastrostomy, agraphia, falls, unilateral gait assistance, and </w:t>
      </w:r>
      <w:r w:rsidR="003412D7" w:rsidRPr="00DA2435">
        <w:rPr>
          <w:rFonts w:ascii="Open Sans" w:hAnsi="Open Sans" w:cs="Open Sans"/>
          <w:sz w:val="20"/>
          <w:szCs w:val="20"/>
          <w:lang w:val="en-US"/>
        </w:rPr>
        <w:t xml:space="preserve">confinement to </w:t>
      </w:r>
      <w:r w:rsidRPr="00DA2435">
        <w:rPr>
          <w:rFonts w:ascii="Open Sans" w:hAnsi="Open Sans" w:cs="Open Sans"/>
          <w:sz w:val="20"/>
          <w:szCs w:val="20"/>
          <w:lang w:val="en-US"/>
        </w:rPr>
        <w:t>wheelchair.</w:t>
      </w:r>
    </w:p>
    <w:p w14:paraId="18053F44" w14:textId="701AEC47" w:rsidR="000877E3" w:rsidRPr="00DA2435" w:rsidRDefault="000877E3" w:rsidP="00F34627">
      <w:pPr>
        <w:spacing w:before="120" w:after="120" w:line="360" w:lineRule="auto"/>
        <w:rPr>
          <w:rFonts w:ascii="Open Sans" w:hAnsi="Open Sans" w:cs="Open Sans"/>
          <w:sz w:val="20"/>
          <w:szCs w:val="20"/>
          <w:lang w:val="en-GB"/>
        </w:rPr>
      </w:pPr>
      <w:r w:rsidRPr="00DA2435">
        <w:rPr>
          <w:rFonts w:ascii="Open Sans" w:hAnsi="Open Sans" w:cs="Open Sans"/>
          <w:i/>
          <w:iCs/>
          <w:sz w:val="20"/>
          <w:szCs w:val="20"/>
          <w:lang w:val="en-GB"/>
        </w:rPr>
        <w:t>Scale for the Assessment and Rating of Ataxia (SARA)</w:t>
      </w:r>
      <w:r w:rsidRPr="00DA2435">
        <w:rPr>
          <w:rFonts w:ascii="Open Sans" w:hAnsi="Open Sans" w:cs="Open Sans"/>
          <w:sz w:val="20"/>
          <w:szCs w:val="20"/>
          <w:lang w:val="en-GB"/>
        </w:rPr>
        <w:t xml:space="preserve"> and </w:t>
      </w:r>
      <w:r w:rsidRPr="00DA2435">
        <w:rPr>
          <w:rFonts w:ascii="Open Sans" w:hAnsi="Open Sans" w:cs="Open Sans"/>
          <w:i/>
          <w:iCs/>
          <w:sz w:val="20"/>
          <w:szCs w:val="20"/>
          <w:lang w:val="en-GB"/>
        </w:rPr>
        <w:t>Inventory of Non-Ataxia signs (INAS)</w:t>
      </w:r>
      <w:r w:rsidRPr="00DA2435">
        <w:rPr>
          <w:rFonts w:ascii="Open Sans" w:hAnsi="Open Sans" w:cs="Open Sans"/>
          <w:sz w:val="20"/>
          <w:szCs w:val="20"/>
          <w:lang w:val="en-GB"/>
        </w:rPr>
        <w:t xml:space="preserve"> were included </w:t>
      </w:r>
      <w:r w:rsidR="005C1813" w:rsidRPr="00DA2435">
        <w:rPr>
          <w:rFonts w:ascii="Open Sans" w:hAnsi="Open Sans" w:cs="Open Sans"/>
          <w:sz w:val="20"/>
          <w:szCs w:val="20"/>
          <w:lang w:val="en-GB"/>
        </w:rPr>
        <w:t>at</w:t>
      </w:r>
      <w:r w:rsidRPr="00DA2435">
        <w:rPr>
          <w:rFonts w:ascii="Open Sans" w:hAnsi="Open Sans" w:cs="Open Sans"/>
          <w:sz w:val="20"/>
          <w:szCs w:val="20"/>
          <w:lang w:val="en-GB"/>
        </w:rPr>
        <w:t xml:space="preserve"> baseline and annual evaluations.</w:t>
      </w:r>
    </w:p>
    <w:p w14:paraId="64C9C8CE" w14:textId="6CAB5EC8" w:rsidR="00996496" w:rsidRPr="00DA2435" w:rsidRDefault="00996496"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MRI:</w:t>
      </w:r>
      <w:r w:rsidRPr="00DA2435">
        <w:rPr>
          <w:rFonts w:ascii="Open Sans" w:hAnsi="Open Sans" w:cs="Open Sans"/>
          <w:sz w:val="20"/>
          <w:szCs w:val="20"/>
          <w:lang w:val="en-US"/>
        </w:rPr>
        <w:t xml:space="preserve"> The report from the first brain MRI was </w:t>
      </w:r>
      <w:r w:rsidR="000877E3" w:rsidRPr="00DA2435">
        <w:rPr>
          <w:rFonts w:ascii="Open Sans" w:hAnsi="Open Sans" w:cs="Open Sans"/>
          <w:sz w:val="20"/>
          <w:szCs w:val="20"/>
          <w:lang w:val="en-US"/>
        </w:rPr>
        <w:t>reviewed</w:t>
      </w:r>
      <w:r w:rsidRPr="00DA2435">
        <w:rPr>
          <w:rFonts w:ascii="Open Sans" w:hAnsi="Open Sans" w:cs="Open Sans"/>
          <w:sz w:val="20"/>
          <w:szCs w:val="20"/>
          <w:lang w:val="en-US"/>
        </w:rPr>
        <w:t xml:space="preserve"> for each patient (when available)</w:t>
      </w:r>
      <w:r w:rsidR="00417098" w:rsidRPr="00DA2435">
        <w:rPr>
          <w:rFonts w:ascii="Open Sans" w:hAnsi="Open Sans" w:cs="Open Sans"/>
          <w:sz w:val="20"/>
          <w:szCs w:val="20"/>
          <w:lang w:val="en-US"/>
        </w:rPr>
        <w:t>,</w:t>
      </w:r>
      <w:r w:rsidRPr="00DA2435">
        <w:rPr>
          <w:rFonts w:ascii="Open Sans" w:hAnsi="Open Sans" w:cs="Open Sans"/>
          <w:sz w:val="20"/>
          <w:szCs w:val="20"/>
          <w:lang w:val="en-US"/>
        </w:rPr>
        <w:t xml:space="preserve"> and information </w:t>
      </w:r>
      <w:r w:rsidR="00417098" w:rsidRPr="00DA2435">
        <w:rPr>
          <w:rFonts w:ascii="Open Sans" w:hAnsi="Open Sans" w:cs="Open Sans"/>
          <w:sz w:val="20"/>
          <w:szCs w:val="20"/>
          <w:lang w:val="en-US"/>
        </w:rPr>
        <w:t xml:space="preserve">was collected </w:t>
      </w:r>
      <w:r w:rsidRPr="00DA2435">
        <w:rPr>
          <w:rFonts w:ascii="Open Sans" w:hAnsi="Open Sans" w:cs="Open Sans"/>
          <w:sz w:val="20"/>
          <w:szCs w:val="20"/>
          <w:lang w:val="en-US"/>
        </w:rPr>
        <w:t>concerning atrophy in the following topographies: cerebellar vermis, cerebellar hemispheres, cerebellar peduncles, pons, mesencephalon, cerebral cortex and cervical spinal cord.</w:t>
      </w:r>
    </w:p>
    <w:p w14:paraId="2C298458" w14:textId="4F6DBF0E" w:rsidR="00996496" w:rsidRPr="00DA2435" w:rsidRDefault="00996496" w:rsidP="00F34627">
      <w:pPr>
        <w:spacing w:before="120" w:after="120" w:line="360" w:lineRule="auto"/>
        <w:rPr>
          <w:rFonts w:ascii="Open Sans" w:hAnsi="Open Sans" w:cs="Open Sans"/>
          <w:sz w:val="20"/>
          <w:szCs w:val="20"/>
          <w:lang w:val="en-US"/>
        </w:rPr>
      </w:pPr>
      <w:r w:rsidRPr="00DA2435">
        <w:rPr>
          <w:rFonts w:ascii="Open Sans" w:hAnsi="Open Sans" w:cs="Open Sans"/>
          <w:i/>
          <w:iCs/>
          <w:sz w:val="20"/>
          <w:szCs w:val="20"/>
          <w:lang w:val="en-US"/>
        </w:rPr>
        <w:t>Neurophysiological studies:</w:t>
      </w:r>
      <w:r w:rsidRPr="00DA2435">
        <w:rPr>
          <w:rFonts w:ascii="Open Sans" w:hAnsi="Open Sans" w:cs="Open Sans"/>
          <w:sz w:val="20"/>
          <w:szCs w:val="20"/>
          <w:lang w:val="en-US"/>
        </w:rPr>
        <w:t xml:space="preserve"> Abnormalities in nerve conduction studies were recorded, including presence of axonal/demyelinating neuropathy and sensitive/motor type.</w:t>
      </w:r>
    </w:p>
    <w:p w14:paraId="2F393B41" w14:textId="77777777" w:rsidR="001A279D" w:rsidRPr="00DA2435" w:rsidRDefault="001A279D" w:rsidP="00F34627">
      <w:pPr>
        <w:spacing w:line="360" w:lineRule="auto"/>
        <w:rPr>
          <w:rFonts w:ascii="Open Sans" w:hAnsi="Open Sans" w:cs="Open Sans"/>
          <w:sz w:val="20"/>
          <w:szCs w:val="20"/>
          <w:u w:val="single"/>
          <w:lang w:val="en-US"/>
        </w:rPr>
      </w:pPr>
    </w:p>
    <w:p w14:paraId="41BE3503" w14:textId="192343E3" w:rsidR="006D1E30" w:rsidRPr="00DA2435" w:rsidRDefault="001A279D" w:rsidP="00F34627">
      <w:pPr>
        <w:spacing w:line="360" w:lineRule="auto"/>
        <w:rPr>
          <w:rFonts w:ascii="Open Sans" w:hAnsi="Open Sans" w:cs="Open Sans"/>
          <w:b/>
          <w:bCs/>
          <w:sz w:val="20"/>
          <w:szCs w:val="20"/>
          <w:u w:val="single"/>
          <w:lang w:val="en-GB"/>
        </w:rPr>
      </w:pPr>
      <w:r w:rsidRPr="00DA2435">
        <w:rPr>
          <w:rFonts w:ascii="Open Sans" w:hAnsi="Open Sans" w:cs="Open Sans"/>
          <w:b/>
          <w:bCs/>
          <w:sz w:val="20"/>
          <w:szCs w:val="20"/>
          <w:u w:val="single"/>
          <w:lang w:val="en-GB"/>
        </w:rPr>
        <w:t>2</w:t>
      </w:r>
      <w:r w:rsidR="000D5030" w:rsidRPr="00DA2435">
        <w:rPr>
          <w:rFonts w:ascii="Open Sans" w:hAnsi="Open Sans" w:cs="Open Sans"/>
          <w:b/>
          <w:bCs/>
          <w:sz w:val="20"/>
          <w:szCs w:val="20"/>
          <w:u w:val="single"/>
          <w:lang w:val="en-GB"/>
        </w:rPr>
        <w:t>.</w:t>
      </w:r>
      <w:r w:rsidRPr="00DA2435">
        <w:rPr>
          <w:rFonts w:ascii="Open Sans" w:hAnsi="Open Sans" w:cs="Open Sans"/>
          <w:b/>
          <w:bCs/>
          <w:sz w:val="20"/>
          <w:szCs w:val="20"/>
          <w:u w:val="single"/>
          <w:lang w:val="en-GB"/>
        </w:rPr>
        <w:t xml:space="preserve"> Screening of ataxias caused by repeats’ expansion</w:t>
      </w:r>
      <w:r w:rsidR="00667385" w:rsidRPr="00DA2435">
        <w:rPr>
          <w:rFonts w:ascii="Open Sans" w:hAnsi="Open Sans" w:cs="Open Sans"/>
          <w:b/>
          <w:bCs/>
          <w:sz w:val="20"/>
          <w:szCs w:val="20"/>
          <w:u w:val="single"/>
          <w:lang w:val="en-GB"/>
        </w:rPr>
        <w:t xml:space="preserve"> (first line </w:t>
      </w:r>
      <w:r w:rsidR="00776E3A" w:rsidRPr="00DA2435">
        <w:rPr>
          <w:rFonts w:ascii="Open Sans" w:hAnsi="Open Sans" w:cs="Open Sans"/>
          <w:b/>
          <w:bCs/>
          <w:sz w:val="20"/>
          <w:szCs w:val="20"/>
          <w:u w:val="single"/>
          <w:lang w:val="en-GB"/>
        </w:rPr>
        <w:t>of genetic testing</w:t>
      </w:r>
      <w:r w:rsidR="00667385" w:rsidRPr="00DA2435">
        <w:rPr>
          <w:rFonts w:ascii="Open Sans" w:hAnsi="Open Sans" w:cs="Open Sans"/>
          <w:b/>
          <w:bCs/>
          <w:sz w:val="20"/>
          <w:szCs w:val="20"/>
          <w:u w:val="single"/>
          <w:lang w:val="en-GB"/>
        </w:rPr>
        <w:t>)</w:t>
      </w:r>
    </w:p>
    <w:p w14:paraId="33747C96" w14:textId="4946B768" w:rsidR="001A279D" w:rsidRPr="00DA2435" w:rsidRDefault="006405A7" w:rsidP="00F34627">
      <w:pPr>
        <w:spacing w:line="360" w:lineRule="auto"/>
        <w:rPr>
          <w:rFonts w:ascii="Open Sans" w:hAnsi="Open Sans" w:cs="Open Sans"/>
          <w:sz w:val="20"/>
          <w:szCs w:val="20"/>
          <w:u w:val="single"/>
          <w:lang w:val="en-GB"/>
        </w:rPr>
      </w:pPr>
      <w:r w:rsidRPr="00DA2435">
        <w:rPr>
          <w:rFonts w:ascii="Open Sans" w:hAnsi="Open Sans" w:cs="Open Sans"/>
          <w:sz w:val="20"/>
          <w:szCs w:val="20"/>
          <w:lang w:val="en-GB"/>
        </w:rPr>
        <w:t>S</w:t>
      </w:r>
      <w:r w:rsidR="001A279D" w:rsidRPr="00DA2435">
        <w:rPr>
          <w:rFonts w:ascii="Open Sans" w:hAnsi="Open Sans" w:cs="Open Sans"/>
          <w:sz w:val="20"/>
          <w:szCs w:val="20"/>
          <w:lang w:val="en-GB"/>
        </w:rPr>
        <w:t xml:space="preserve">pinocerebellar ataxias </w:t>
      </w:r>
      <w:r w:rsidRPr="00DA2435">
        <w:rPr>
          <w:rFonts w:ascii="Open Sans" w:hAnsi="Open Sans" w:cs="Open Sans"/>
          <w:sz w:val="20"/>
          <w:szCs w:val="20"/>
          <w:lang w:val="en-GB"/>
        </w:rPr>
        <w:t xml:space="preserve">caused by repeats’ expansion </w:t>
      </w:r>
      <w:r w:rsidR="001A279D" w:rsidRPr="00DA2435">
        <w:rPr>
          <w:rFonts w:ascii="Open Sans" w:hAnsi="Open Sans" w:cs="Open Sans"/>
          <w:sz w:val="20"/>
          <w:szCs w:val="20"/>
          <w:lang w:val="en-GB"/>
        </w:rPr>
        <w:t xml:space="preserve">(SCA1, SCA2, SCA3/MJD, </w:t>
      </w:r>
      <w:r w:rsidR="007F6BD2" w:rsidRPr="00DA2435">
        <w:rPr>
          <w:rFonts w:ascii="Open Sans" w:hAnsi="Open Sans" w:cs="Open Sans"/>
          <w:sz w:val="20"/>
          <w:szCs w:val="20"/>
          <w:lang w:val="en-GB"/>
        </w:rPr>
        <w:t>SCA6, SCA7, SCA17</w:t>
      </w:r>
      <w:r w:rsidR="001A279D" w:rsidRPr="00DA2435">
        <w:rPr>
          <w:rFonts w:ascii="Open Sans" w:hAnsi="Open Sans" w:cs="Open Sans"/>
          <w:sz w:val="20"/>
          <w:szCs w:val="20"/>
          <w:lang w:val="en-GB"/>
        </w:rPr>
        <w:t xml:space="preserve"> and DRPLA) were excluded by conventional methodologies. </w:t>
      </w:r>
      <w:r w:rsidR="007F6BD2" w:rsidRPr="00DA2435">
        <w:rPr>
          <w:rFonts w:ascii="Open Sans" w:hAnsi="Open Sans" w:cs="Open Sans"/>
          <w:sz w:val="20"/>
          <w:szCs w:val="20"/>
          <w:lang w:val="en-GB"/>
        </w:rPr>
        <w:t>In brief, the genomic regions (</w:t>
      </w:r>
      <w:r w:rsidR="007F6BD2" w:rsidRPr="00DA2435">
        <w:rPr>
          <w:rFonts w:ascii="Open Sans" w:hAnsi="Open Sans" w:cs="Open Sans"/>
          <w:i/>
          <w:sz w:val="20"/>
          <w:szCs w:val="20"/>
          <w:lang w:val="en-GB"/>
        </w:rPr>
        <w:t>ATXN1, ATXN2, ATXN3, CACNA1A, ATXN7, TBP and ATN1</w:t>
      </w:r>
      <w:r w:rsidR="001525B7" w:rsidRPr="00DA2435">
        <w:rPr>
          <w:rFonts w:ascii="Open Sans" w:hAnsi="Open Sans" w:cs="Open Sans"/>
          <w:i/>
          <w:sz w:val="20"/>
          <w:szCs w:val="20"/>
          <w:lang w:val="en-GB"/>
        </w:rPr>
        <w:t xml:space="preserve"> loci</w:t>
      </w:r>
      <w:r w:rsidR="007F6BD2" w:rsidRPr="00DA2435">
        <w:rPr>
          <w:rFonts w:ascii="Open Sans" w:hAnsi="Open Sans" w:cs="Open Sans"/>
          <w:sz w:val="20"/>
          <w:szCs w:val="20"/>
          <w:lang w:val="en-GB"/>
        </w:rPr>
        <w:t>) of the repeats were amplified by standard PCR conditions</w:t>
      </w:r>
      <w:r w:rsidR="00A22661" w:rsidRPr="00DA2435">
        <w:rPr>
          <w:rFonts w:ascii="Open Sans" w:hAnsi="Open Sans" w:cs="Open Sans"/>
          <w:sz w:val="20"/>
          <w:szCs w:val="20"/>
          <w:lang w:val="en-GB"/>
        </w:rPr>
        <w:t>,</w:t>
      </w:r>
      <w:r w:rsidR="007F6BD2" w:rsidRPr="00DA2435">
        <w:rPr>
          <w:rFonts w:ascii="Open Sans" w:hAnsi="Open Sans" w:cs="Open Sans"/>
          <w:sz w:val="20"/>
          <w:szCs w:val="20"/>
          <w:lang w:val="en-GB"/>
        </w:rPr>
        <w:t xml:space="preserve"> using fluorescently-labelled primers. Products were</w:t>
      </w:r>
      <w:r w:rsidR="001525B7" w:rsidRPr="00DA2435">
        <w:rPr>
          <w:rFonts w:ascii="Open Sans" w:hAnsi="Open Sans" w:cs="Open Sans"/>
          <w:sz w:val="20"/>
          <w:szCs w:val="20"/>
          <w:lang w:val="en-GB"/>
        </w:rPr>
        <w:t xml:space="preserve"> subject to fragment analysis</w:t>
      </w:r>
      <w:r w:rsidR="00A22661" w:rsidRPr="00DA2435">
        <w:rPr>
          <w:rFonts w:ascii="Open Sans" w:hAnsi="Open Sans" w:cs="Open Sans"/>
          <w:sz w:val="20"/>
          <w:szCs w:val="20"/>
          <w:lang w:val="en-GB"/>
        </w:rPr>
        <w:t>,</w:t>
      </w:r>
      <w:r w:rsidR="001525B7" w:rsidRPr="00DA2435">
        <w:rPr>
          <w:rFonts w:ascii="Open Sans" w:hAnsi="Open Sans" w:cs="Open Sans"/>
          <w:sz w:val="20"/>
          <w:szCs w:val="20"/>
          <w:lang w:val="en-GB"/>
        </w:rPr>
        <w:t xml:space="preserve"> using an ABI </w:t>
      </w:r>
      <w:r w:rsidR="007F6BD2" w:rsidRPr="00DA2435">
        <w:rPr>
          <w:rFonts w:ascii="Open Sans" w:hAnsi="Open Sans" w:cs="Open Sans"/>
          <w:sz w:val="20"/>
          <w:szCs w:val="20"/>
          <w:lang w:val="en-GB"/>
        </w:rPr>
        <w:t xml:space="preserve">3130xl genetic analyser (Applied Biosystems). Homoallelic cases </w:t>
      </w:r>
      <w:r w:rsidR="00A22661" w:rsidRPr="00DA2435">
        <w:rPr>
          <w:rFonts w:ascii="Open Sans" w:hAnsi="Open Sans" w:cs="Open Sans"/>
          <w:sz w:val="20"/>
          <w:szCs w:val="20"/>
          <w:lang w:val="en-GB"/>
        </w:rPr>
        <w:t xml:space="preserve">(two normal alleles of the same size) </w:t>
      </w:r>
      <w:r w:rsidR="007F6BD2" w:rsidRPr="00DA2435">
        <w:rPr>
          <w:rFonts w:ascii="Open Sans" w:hAnsi="Open Sans" w:cs="Open Sans"/>
          <w:sz w:val="20"/>
          <w:szCs w:val="20"/>
          <w:lang w:val="en-GB"/>
        </w:rPr>
        <w:t xml:space="preserve">were further tested by </w:t>
      </w:r>
      <w:r w:rsidR="001A279D" w:rsidRPr="00DA2435">
        <w:rPr>
          <w:rFonts w:ascii="Open Sans" w:hAnsi="Open Sans" w:cs="Open Sans"/>
          <w:sz w:val="20"/>
          <w:szCs w:val="20"/>
          <w:lang w:val="en-GB"/>
        </w:rPr>
        <w:t>repeat-primed PCR (</w:t>
      </w:r>
      <w:r w:rsidR="007F6BD2" w:rsidRPr="00DA2435">
        <w:rPr>
          <w:rFonts w:ascii="Open Sans" w:hAnsi="Open Sans" w:cs="Open Sans"/>
          <w:sz w:val="20"/>
          <w:szCs w:val="20"/>
          <w:lang w:val="en-GB"/>
        </w:rPr>
        <w:t>RP-</w:t>
      </w:r>
      <w:r w:rsidR="001A279D" w:rsidRPr="00DA2435">
        <w:rPr>
          <w:rFonts w:ascii="Open Sans" w:hAnsi="Open Sans" w:cs="Open Sans"/>
          <w:sz w:val="20"/>
          <w:szCs w:val="20"/>
          <w:lang w:val="en-GB"/>
        </w:rPr>
        <w:t xml:space="preserve">PCR) </w:t>
      </w:r>
      <w:r w:rsidR="007F6BD2" w:rsidRPr="00DA2435">
        <w:rPr>
          <w:rFonts w:ascii="Open Sans" w:hAnsi="Open Sans" w:cs="Open Sans"/>
          <w:sz w:val="20"/>
          <w:szCs w:val="20"/>
          <w:lang w:val="en-GB"/>
        </w:rPr>
        <w:t xml:space="preserve">followed by </w:t>
      </w:r>
      <w:r w:rsidR="001525B7" w:rsidRPr="00DA2435">
        <w:rPr>
          <w:rFonts w:ascii="Open Sans" w:hAnsi="Open Sans" w:cs="Open Sans"/>
          <w:sz w:val="20"/>
          <w:szCs w:val="20"/>
          <w:lang w:val="en-GB"/>
        </w:rPr>
        <w:t>fragment analysis</w:t>
      </w:r>
      <w:r w:rsidR="006A1E06" w:rsidRPr="00DA2435">
        <w:rPr>
          <w:rFonts w:ascii="Open Sans" w:hAnsi="Open Sans" w:cs="Open Sans"/>
          <w:sz w:val="20"/>
          <w:szCs w:val="20"/>
          <w:lang w:val="en-GB"/>
        </w:rPr>
        <w:t>,</w:t>
      </w:r>
      <w:r w:rsidR="005C2893" w:rsidRPr="00DA2435">
        <w:rPr>
          <w:rFonts w:ascii="Open Sans" w:hAnsi="Open Sans" w:cs="Open Sans"/>
          <w:sz w:val="20"/>
          <w:szCs w:val="20"/>
          <w:lang w:val="en-GB"/>
        </w:rPr>
        <w:t xml:space="preserve"> to exclude the presen</w:t>
      </w:r>
      <w:r w:rsidR="006A1E06" w:rsidRPr="00DA2435">
        <w:rPr>
          <w:rFonts w:ascii="Open Sans" w:hAnsi="Open Sans" w:cs="Open Sans"/>
          <w:sz w:val="20"/>
          <w:szCs w:val="20"/>
          <w:lang w:val="en-GB"/>
        </w:rPr>
        <w:t>ce</w:t>
      </w:r>
      <w:r w:rsidR="005C2893" w:rsidRPr="00DA2435">
        <w:rPr>
          <w:rFonts w:ascii="Open Sans" w:hAnsi="Open Sans" w:cs="Open Sans"/>
          <w:sz w:val="20"/>
          <w:szCs w:val="20"/>
          <w:lang w:val="en-GB"/>
        </w:rPr>
        <w:t xml:space="preserve"> of a heterozygous large expansion</w:t>
      </w:r>
      <w:r w:rsidR="001525B7" w:rsidRPr="00DA2435">
        <w:rPr>
          <w:rFonts w:ascii="Open Sans" w:hAnsi="Open Sans" w:cs="Open Sans"/>
          <w:sz w:val="20"/>
          <w:szCs w:val="20"/>
          <w:lang w:val="en-GB"/>
        </w:rPr>
        <w:t>.</w:t>
      </w:r>
    </w:p>
    <w:p w14:paraId="78D02A56" w14:textId="77777777" w:rsidR="007F6BD2" w:rsidRPr="00DA2435" w:rsidRDefault="007F6BD2" w:rsidP="00F34627">
      <w:pPr>
        <w:spacing w:line="360" w:lineRule="auto"/>
        <w:rPr>
          <w:rFonts w:ascii="Open Sans" w:hAnsi="Open Sans" w:cs="Open Sans"/>
          <w:sz w:val="20"/>
          <w:szCs w:val="20"/>
          <w:u w:val="single"/>
          <w:lang w:val="en-GB"/>
        </w:rPr>
      </w:pPr>
    </w:p>
    <w:p w14:paraId="23B729F1" w14:textId="7A27BCDA" w:rsidR="00CF157D" w:rsidRPr="00DA2435" w:rsidRDefault="001A279D" w:rsidP="00F34627">
      <w:pPr>
        <w:spacing w:line="360" w:lineRule="auto"/>
        <w:rPr>
          <w:rFonts w:ascii="Open Sans" w:hAnsi="Open Sans" w:cs="Open Sans"/>
          <w:b/>
          <w:sz w:val="20"/>
          <w:szCs w:val="20"/>
          <w:u w:val="single"/>
          <w:lang w:val="en-GB"/>
        </w:rPr>
      </w:pPr>
      <w:r w:rsidRPr="00DA2435">
        <w:rPr>
          <w:rFonts w:ascii="Open Sans" w:hAnsi="Open Sans" w:cs="Open Sans"/>
          <w:b/>
          <w:sz w:val="20"/>
          <w:szCs w:val="20"/>
          <w:u w:val="single"/>
          <w:lang w:val="en-GB"/>
        </w:rPr>
        <w:t>3</w:t>
      </w:r>
      <w:r w:rsidR="000D5030" w:rsidRPr="00DA2435">
        <w:rPr>
          <w:rFonts w:ascii="Open Sans" w:hAnsi="Open Sans" w:cs="Open Sans"/>
          <w:b/>
          <w:sz w:val="20"/>
          <w:szCs w:val="20"/>
          <w:u w:val="single"/>
          <w:lang w:val="en-GB"/>
        </w:rPr>
        <w:t>.</w:t>
      </w:r>
      <w:r w:rsidRPr="00DA2435">
        <w:rPr>
          <w:rFonts w:ascii="Open Sans" w:hAnsi="Open Sans" w:cs="Open Sans"/>
          <w:b/>
          <w:sz w:val="20"/>
          <w:szCs w:val="20"/>
          <w:u w:val="single"/>
          <w:lang w:val="en-GB"/>
        </w:rPr>
        <w:t xml:space="preserve"> </w:t>
      </w:r>
      <w:r w:rsidR="00CF157D" w:rsidRPr="00DA2435">
        <w:rPr>
          <w:rFonts w:ascii="Open Sans" w:hAnsi="Open Sans" w:cs="Open Sans"/>
          <w:b/>
          <w:sz w:val="20"/>
          <w:szCs w:val="20"/>
          <w:u w:val="single"/>
          <w:lang w:val="en-GB"/>
        </w:rPr>
        <w:t xml:space="preserve">Whole-exome </w:t>
      </w:r>
      <w:r w:rsidR="006405A7" w:rsidRPr="00DA2435">
        <w:rPr>
          <w:rFonts w:ascii="Open Sans" w:hAnsi="Open Sans" w:cs="Open Sans"/>
          <w:b/>
          <w:sz w:val="20"/>
          <w:szCs w:val="20"/>
          <w:u w:val="single"/>
          <w:lang w:val="en-GB"/>
        </w:rPr>
        <w:t xml:space="preserve">and NGS based panels </w:t>
      </w:r>
    </w:p>
    <w:p w14:paraId="44D0C46A" w14:textId="778D34DA" w:rsidR="00CF157D" w:rsidRPr="00DA2435" w:rsidRDefault="004A1A7F" w:rsidP="00F34627">
      <w:pPr>
        <w:spacing w:line="360" w:lineRule="auto"/>
        <w:rPr>
          <w:rFonts w:ascii="Open Sans" w:hAnsi="Open Sans" w:cs="Open Sans"/>
          <w:sz w:val="20"/>
          <w:szCs w:val="20"/>
          <w:lang w:val="en-GB"/>
        </w:rPr>
      </w:pPr>
      <w:r w:rsidRPr="004A1A7F">
        <w:rPr>
          <w:rFonts w:ascii="Open Sans" w:hAnsi="Open Sans" w:cs="Open Sans"/>
          <w:sz w:val="20"/>
          <w:szCs w:val="20"/>
          <w:lang w:val="en-GB"/>
        </w:rPr>
        <w:t xml:space="preserve">Whole-exome sequencing (WES) was performed over the years using different capture kits (Agilent’s SureSelect Human All Exon V6 or Twist Comprehensive Exome including mitochondrial DNA) and sequencers ((Illumina’s HiSeq or NovaSeq 6000). </w:t>
      </w:r>
      <w:r w:rsidR="00CF157D" w:rsidRPr="00DA2435">
        <w:rPr>
          <w:rFonts w:ascii="Open Sans" w:hAnsi="Open Sans" w:cs="Open Sans"/>
          <w:sz w:val="20"/>
          <w:szCs w:val="20"/>
          <w:lang w:val="en-GB"/>
        </w:rPr>
        <w:t xml:space="preserve">For data analysis, a custom validated pipeline, based on the Broad Institute’s Best Practices, was applied, using bwa-mem for alignment to the GRCh37 build of the human genome, GATK HaplotypeCaller for variant calling, and Ensembl VEP and GEMINI for variant annotation. Quality control (QC) was performed on the resulting FASTQ (FastQC), BAM (QualiMap and samtools) and VCF (bcftools) files, aggregated on a QC report using MultiQC. Variant calling was initially restricted to a virtual panel of </w:t>
      </w:r>
      <w:r w:rsidR="00A32474" w:rsidRPr="00DA2435">
        <w:rPr>
          <w:rFonts w:ascii="Open Sans" w:hAnsi="Open Sans" w:cs="Open Sans"/>
          <w:sz w:val="20"/>
          <w:szCs w:val="20"/>
          <w:lang w:val="en-GB"/>
        </w:rPr>
        <w:t>236 nuclear</w:t>
      </w:r>
      <w:r w:rsidR="00B4704E" w:rsidRPr="00DA2435">
        <w:rPr>
          <w:rFonts w:ascii="Open Sans" w:hAnsi="Open Sans" w:cs="Open Sans"/>
          <w:sz w:val="20"/>
          <w:szCs w:val="20"/>
          <w:lang w:val="en-GB"/>
        </w:rPr>
        <w:t xml:space="preserve"> </w:t>
      </w:r>
      <w:r w:rsidR="00CF157D" w:rsidRPr="00DA2435">
        <w:rPr>
          <w:rFonts w:ascii="Open Sans" w:hAnsi="Open Sans" w:cs="Open Sans"/>
          <w:sz w:val="20"/>
          <w:szCs w:val="20"/>
          <w:lang w:val="en-GB"/>
        </w:rPr>
        <w:t>genes</w:t>
      </w:r>
      <w:r w:rsidR="00A32474" w:rsidRPr="00DA2435">
        <w:rPr>
          <w:rFonts w:ascii="Open Sans" w:hAnsi="Open Sans" w:cs="Open Sans"/>
          <w:sz w:val="20"/>
          <w:szCs w:val="20"/>
          <w:lang w:val="en-GB"/>
        </w:rPr>
        <w:t xml:space="preserve"> and 37 mitoc</w:t>
      </w:r>
      <w:r w:rsidR="00A87797">
        <w:rPr>
          <w:rFonts w:ascii="Open Sans" w:hAnsi="Open Sans" w:cs="Open Sans"/>
          <w:sz w:val="20"/>
          <w:szCs w:val="20"/>
          <w:lang w:val="en-GB"/>
        </w:rPr>
        <w:t>h</w:t>
      </w:r>
      <w:r w:rsidR="00A32474" w:rsidRPr="00DA2435">
        <w:rPr>
          <w:rFonts w:ascii="Open Sans" w:hAnsi="Open Sans" w:cs="Open Sans"/>
          <w:sz w:val="20"/>
          <w:szCs w:val="20"/>
          <w:lang w:val="en-GB"/>
        </w:rPr>
        <w:t>ondrial genes</w:t>
      </w:r>
      <w:r w:rsidR="00CF157D" w:rsidRPr="00DA2435">
        <w:rPr>
          <w:rFonts w:ascii="Open Sans" w:hAnsi="Open Sans" w:cs="Open Sans"/>
          <w:sz w:val="20"/>
          <w:szCs w:val="20"/>
          <w:lang w:val="en-GB"/>
        </w:rPr>
        <w:t xml:space="preserve"> (for </w:t>
      </w:r>
      <w:r w:rsidR="00A32474" w:rsidRPr="00DA2435">
        <w:rPr>
          <w:rFonts w:ascii="Open Sans" w:hAnsi="Open Sans" w:cs="Open Sans"/>
          <w:sz w:val="20"/>
          <w:szCs w:val="20"/>
          <w:lang w:val="en-GB"/>
        </w:rPr>
        <w:t xml:space="preserve">hereditary cerebellar </w:t>
      </w:r>
      <w:r w:rsidR="00CF157D" w:rsidRPr="00DA2435">
        <w:rPr>
          <w:rFonts w:ascii="Open Sans" w:hAnsi="Open Sans" w:cs="Open Sans"/>
          <w:sz w:val="20"/>
          <w:szCs w:val="20"/>
          <w:lang w:val="en-GB"/>
        </w:rPr>
        <w:t>ataxias)</w:t>
      </w:r>
      <w:r w:rsidR="00E023F1" w:rsidRPr="00DA2435">
        <w:rPr>
          <w:rFonts w:ascii="Open Sans" w:hAnsi="Open Sans" w:cs="Open Sans"/>
          <w:sz w:val="20"/>
          <w:szCs w:val="20"/>
          <w:lang w:val="en-GB"/>
        </w:rPr>
        <w:t>,</w:t>
      </w:r>
      <w:r w:rsidR="00CF157D" w:rsidRPr="00DA2435">
        <w:rPr>
          <w:rFonts w:ascii="Open Sans" w:hAnsi="Open Sans" w:cs="Open Sans"/>
          <w:sz w:val="20"/>
          <w:szCs w:val="20"/>
          <w:lang w:val="en-GB"/>
        </w:rPr>
        <w:t xml:space="preserve"> and subsequently expanded to 1,411 genes (neuroexome) (gene lists </w:t>
      </w:r>
      <w:r w:rsidR="00E023F1" w:rsidRPr="00DA2435">
        <w:rPr>
          <w:rFonts w:ascii="Open Sans" w:hAnsi="Open Sans" w:cs="Open Sans"/>
          <w:sz w:val="20"/>
          <w:szCs w:val="20"/>
          <w:lang w:val="en-GB"/>
        </w:rPr>
        <w:t>below</w:t>
      </w:r>
      <w:r w:rsidR="00CF157D" w:rsidRPr="00DA2435">
        <w:rPr>
          <w:rFonts w:ascii="Open Sans" w:hAnsi="Open Sans" w:cs="Open Sans"/>
          <w:sz w:val="20"/>
          <w:szCs w:val="20"/>
          <w:lang w:val="en-GB"/>
        </w:rPr>
        <w:t xml:space="preserve">). </w:t>
      </w:r>
    </w:p>
    <w:p w14:paraId="0C12038C" w14:textId="287620E3" w:rsidR="000C36C9" w:rsidRPr="00DA2435" w:rsidRDefault="00CF157D" w:rsidP="00F34627">
      <w:pPr>
        <w:spacing w:line="360" w:lineRule="auto"/>
        <w:rPr>
          <w:rFonts w:ascii="Open Sans" w:hAnsi="Open Sans" w:cs="Open Sans"/>
          <w:sz w:val="20"/>
          <w:szCs w:val="20"/>
          <w:lang w:val="en-GB"/>
        </w:rPr>
      </w:pPr>
      <w:r w:rsidRPr="00DA2435">
        <w:rPr>
          <w:rFonts w:ascii="Open Sans" w:hAnsi="Open Sans" w:cs="Open Sans"/>
          <w:sz w:val="20"/>
          <w:szCs w:val="20"/>
          <w:lang w:val="en-GB"/>
        </w:rPr>
        <w:t>Variants were filtered by their minor allele-frequency (MAF below 1% in population databases: NCBI’s dbSNP, 1,000 Genome Project, Exome Variant Project, ExAC and gnomAD), for those that resulted in a change at the protein level and/or previously described in the Human Gene Mutation Database or NCBI’s ClinVar. All filtered variants were further analysed, using Alamut Visual (Interactive Biosoftware) for in-silico prediction</w:t>
      </w:r>
      <w:r w:rsidR="00155795" w:rsidRPr="00DA2435">
        <w:rPr>
          <w:rFonts w:ascii="Open Sans" w:hAnsi="Open Sans" w:cs="Open Sans"/>
          <w:sz w:val="20"/>
          <w:szCs w:val="20"/>
          <w:lang w:val="en-GB"/>
        </w:rPr>
        <w:t xml:space="preserve"> of</w:t>
      </w:r>
      <w:r w:rsidRPr="00DA2435">
        <w:rPr>
          <w:rFonts w:ascii="Open Sans" w:hAnsi="Open Sans" w:cs="Open Sans"/>
          <w:sz w:val="20"/>
          <w:szCs w:val="20"/>
          <w:lang w:val="en-GB"/>
        </w:rPr>
        <w:t xml:space="preserve"> </w:t>
      </w:r>
      <w:r w:rsidR="00155795" w:rsidRPr="00DA2435">
        <w:rPr>
          <w:rFonts w:ascii="Open Sans" w:hAnsi="Open Sans" w:cs="Open Sans"/>
          <w:sz w:val="20"/>
          <w:szCs w:val="20"/>
          <w:lang w:val="en-GB"/>
        </w:rPr>
        <w:t xml:space="preserve">pathogenicity </w:t>
      </w:r>
      <w:r w:rsidRPr="00DA2435">
        <w:rPr>
          <w:rFonts w:ascii="Open Sans" w:hAnsi="Open Sans" w:cs="Open Sans"/>
          <w:sz w:val="20"/>
          <w:szCs w:val="20"/>
          <w:lang w:val="en-GB"/>
        </w:rPr>
        <w:t>(including SIFT, PolyPhen2, CADD and splice-site prediction), population frequency confirmation and variants’ visual inspection in the alignment file. Sanger sequencing was used to confirm variants identified by WES and for segregation analysis.</w:t>
      </w:r>
    </w:p>
    <w:p w14:paraId="4891DFD1" w14:textId="77777777" w:rsidR="00135CA7" w:rsidRPr="00DA2435" w:rsidRDefault="00135CA7" w:rsidP="00F34627">
      <w:pPr>
        <w:spacing w:line="360" w:lineRule="auto"/>
        <w:rPr>
          <w:rFonts w:ascii="Open Sans" w:hAnsi="Open Sans" w:cs="Open Sans"/>
          <w:sz w:val="20"/>
          <w:szCs w:val="20"/>
          <w:lang w:val="en-GB"/>
        </w:rPr>
      </w:pPr>
    </w:p>
    <w:p w14:paraId="5A36FB24" w14:textId="458F0719" w:rsidR="008A2F64" w:rsidRPr="00DA2435" w:rsidRDefault="00667385" w:rsidP="00F34627">
      <w:pPr>
        <w:spacing w:line="360" w:lineRule="auto"/>
        <w:rPr>
          <w:rFonts w:ascii="Open Sans" w:hAnsi="Open Sans" w:cs="Open Sans"/>
          <w:b/>
          <w:bCs/>
          <w:sz w:val="20"/>
          <w:szCs w:val="20"/>
          <w:u w:val="single"/>
          <w:lang w:val="en-GB"/>
        </w:rPr>
      </w:pPr>
      <w:r w:rsidRPr="00DA2435">
        <w:rPr>
          <w:rFonts w:ascii="Open Sans" w:hAnsi="Open Sans" w:cs="Open Sans"/>
          <w:b/>
          <w:bCs/>
          <w:sz w:val="20"/>
          <w:szCs w:val="20"/>
          <w:u w:val="single"/>
          <w:lang w:val="en-GB"/>
        </w:rPr>
        <w:t>3.1</w:t>
      </w:r>
      <w:r w:rsidR="001A279D" w:rsidRPr="00DA2435">
        <w:rPr>
          <w:rFonts w:ascii="Open Sans" w:hAnsi="Open Sans" w:cs="Open Sans"/>
          <w:b/>
          <w:bCs/>
          <w:sz w:val="20"/>
          <w:szCs w:val="20"/>
          <w:u w:val="single"/>
          <w:lang w:val="en-GB"/>
        </w:rPr>
        <w:t xml:space="preserve"> </w:t>
      </w:r>
      <w:r w:rsidR="008A2F64" w:rsidRPr="00DA2435">
        <w:rPr>
          <w:rFonts w:ascii="Open Sans" w:hAnsi="Open Sans" w:cs="Open Sans"/>
          <w:b/>
          <w:bCs/>
          <w:sz w:val="20"/>
          <w:szCs w:val="20"/>
          <w:u w:val="single"/>
          <w:lang w:val="en-GB"/>
        </w:rPr>
        <w:t xml:space="preserve">Virtual gene panel – </w:t>
      </w:r>
      <w:r w:rsidR="009F3089" w:rsidRPr="00DA2435">
        <w:rPr>
          <w:rFonts w:ascii="Open Sans" w:hAnsi="Open Sans" w:cs="Open Sans"/>
          <w:b/>
          <w:bCs/>
          <w:sz w:val="20"/>
          <w:szCs w:val="20"/>
          <w:u w:val="single"/>
          <w:lang w:val="en-GB"/>
        </w:rPr>
        <w:t>WES-based m</w:t>
      </w:r>
      <w:r w:rsidR="00A32474" w:rsidRPr="00DA2435">
        <w:rPr>
          <w:rFonts w:ascii="Open Sans" w:hAnsi="Open Sans" w:cs="Open Sans"/>
          <w:b/>
          <w:bCs/>
          <w:sz w:val="20"/>
          <w:szCs w:val="20"/>
          <w:u w:val="single"/>
          <w:lang w:val="en-GB"/>
        </w:rPr>
        <w:t>ultigene panel for hereditary ataxia</w:t>
      </w:r>
      <w:r w:rsidR="00F7202D" w:rsidRPr="00DA2435">
        <w:rPr>
          <w:rFonts w:ascii="Open Sans" w:hAnsi="Open Sans" w:cs="Open Sans"/>
          <w:b/>
          <w:bCs/>
          <w:sz w:val="20"/>
          <w:szCs w:val="20"/>
          <w:u w:val="single"/>
          <w:lang w:val="en-GB"/>
        </w:rPr>
        <w:t xml:space="preserve"> (</w:t>
      </w:r>
      <w:r w:rsidR="004E181F" w:rsidRPr="00DA2435">
        <w:rPr>
          <w:rFonts w:ascii="Open Sans" w:hAnsi="Open Sans" w:cs="Open Sans"/>
          <w:b/>
          <w:bCs/>
          <w:sz w:val="20"/>
          <w:szCs w:val="20"/>
          <w:u w:val="single"/>
          <w:lang w:val="en-GB"/>
        </w:rPr>
        <w:t>273</w:t>
      </w:r>
      <w:r w:rsidR="00F7202D" w:rsidRPr="00DA2435">
        <w:rPr>
          <w:rFonts w:ascii="Open Sans" w:hAnsi="Open Sans" w:cs="Open Sans"/>
          <w:b/>
          <w:bCs/>
          <w:sz w:val="20"/>
          <w:szCs w:val="20"/>
          <w:u w:val="single"/>
          <w:lang w:val="en-GB"/>
        </w:rPr>
        <w:t xml:space="preserve"> genes)</w:t>
      </w:r>
      <w:r w:rsidR="008A2F64" w:rsidRPr="00DA2435">
        <w:rPr>
          <w:rFonts w:ascii="Open Sans" w:hAnsi="Open Sans" w:cs="Open Sans"/>
          <w:b/>
          <w:bCs/>
          <w:sz w:val="20"/>
          <w:szCs w:val="20"/>
          <w:u w:val="single"/>
          <w:lang w:val="en-GB"/>
        </w:rPr>
        <w:t>:</w:t>
      </w:r>
    </w:p>
    <w:p w14:paraId="58573941" w14:textId="2211F9B5" w:rsidR="00A32474" w:rsidRPr="00DA2435" w:rsidRDefault="00A32474" w:rsidP="00F34627">
      <w:pPr>
        <w:spacing w:line="360" w:lineRule="auto"/>
        <w:rPr>
          <w:rFonts w:ascii="Open Sans" w:hAnsi="Open Sans" w:cs="Open Sans"/>
          <w:i/>
          <w:iCs/>
          <w:sz w:val="20"/>
          <w:szCs w:val="20"/>
          <w:lang w:val="en-GB"/>
        </w:rPr>
      </w:pPr>
      <w:r w:rsidRPr="00DA2435">
        <w:rPr>
          <w:rFonts w:ascii="Open Sans" w:hAnsi="Open Sans" w:cs="Open Sans"/>
          <w:i/>
          <w:iCs/>
          <w:sz w:val="20"/>
          <w:szCs w:val="20"/>
          <w:lang w:val="en-GB"/>
        </w:rPr>
        <w:t xml:space="preserve">AARS2, ABCB7, ABHD12, ACO2, ADGRG1, ADPRS, AFG3L2, AHI1, AIFM1, ALG1, ALG11, ALG12, </w:t>
      </w:r>
      <w:r w:rsidRPr="00DA2435">
        <w:rPr>
          <w:rFonts w:ascii="Open Sans" w:hAnsi="Open Sans" w:cs="Open Sans"/>
          <w:i/>
          <w:iCs/>
          <w:sz w:val="20"/>
          <w:szCs w:val="20"/>
          <w:lang w:val="en-GB"/>
        </w:rPr>
        <w:lastRenderedPageBreak/>
        <w:t>ALG13, ALG2, ALG3, ALG6, ALG8, ALG9, AMACR, ANO10, APTX,</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ARL13B, ARSA, ATAD3A, ATCAY, ATG5, ATG7, ATM, ATP13A2, ATP1A3, ATP2B3, ATP5MK, ATP6V0A2, ATP8A2, AUH, B4GALNT1, BCAP31, BEAN1, BRAT1, BTD,</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C19ORF12, CA8, CACNA1A, CACNA1G, CACNB4, CAMTA1, CAPN1, CASK, CC2D2A, CCDC88C, CEP290, CEP41, CHMP1A, CHP1, CLCN2, CLN5, CLN6, CLN8, CLPB, COA7,</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COQ2, COQ8A, COQ9, COX20, CP, CPLANE1, CSF1R, CSPP1, CWF19L1, CYP27A1, DARS2, DDOST, DLAT, DNAJC19, DNAJC3, DNAJC5, DNMT1, DOLK, DPAGT1, DPM1,</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DPM2, DPM3, EBF3, EEF2, EIF2B1, EIF2B2, EIF2B3, EIF2B4, EIF2B5, ELOVL4, ELOVL5, EPM2A, ERCC2, ERCC3, ERCC4, ERCC5, EXOSC3, FAT2, FGF14, FLVCR1, GBA2,</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GBE1, GCLC, GDAP2, GFAP, GJC2, GOSR2, GRID2, GRM1, IFRD1, INPP5E, IRF2BPL, ITPR1, KCNA1, KCNA2, KCNC3, KCND3, KCNJ10, KCNMA1, KIF1C, KIF5A, LAMA1,</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LYRM7, LYST, MARS2, MECR, MME, MPDU1, MPI, MRE11, MSTO1, MTPAP, MTTP, NDUFV1, NEU1, NHLRC1, NKX2-1, NKX6-2, NPC1, NPC2, NPHP1, NUS1, OPA1,</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PCNA, PDSS1, PDSS2, PDYN, PEX10, PEX2, PEX7, PGM1, PHYH, PIGS, PIK3R5, PLA2G6, PLD3, PMM2, PMPCA, PMPCB, PNKP, PNPLA6, POLG, POLR3A, PRDX3, PRICKLE1,</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PRKCG, PRPS1, PTRH2, PUM1, RARS2, RFT1, RNF170, RNF216, RPGRIP1L, RUBCN, SACS, SAMD9L, SCN1A, SCN2A, SCN8A, SCYL1, SETX, SIL1, SLC17A5, SLC1A3,</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SLC25A46, SLC52A2, SLC9A1, SNX14, SPG7, SPR, SPTBN2, SRD5A3, SSR4, STT3A, STT3B, STUB1, SURF1, SYNE1, SYT14, TCTN1, TDP1, TDP2, TGM6, THG1L, TMEM138,</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TMEM216, TMEM237, TMEM240, TMEM67, TPP1, TRPC3, TSEN2, TSEN34, TSEN54, TTBK2, TTC19, TTPA, TUBB4A, TWNK, UBA5, VAMP1, VLDLR, VPS13D, VPS41,</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VRK1, VWA3B, WARS2, WDR73, WDR81, WFS1, WWOX, XPA, XRCC1, ZFYVE26, ZNF59.</w:t>
      </w:r>
      <w:r w:rsidR="006405A7" w:rsidRPr="00DA2435">
        <w:rPr>
          <w:rFonts w:ascii="Open Sans" w:hAnsi="Open Sans" w:cs="Open Sans"/>
          <w:i/>
          <w:iCs/>
          <w:sz w:val="20"/>
          <w:szCs w:val="20"/>
          <w:lang w:val="en-GB"/>
        </w:rPr>
        <w:t xml:space="preserve"> </w:t>
      </w:r>
    </w:p>
    <w:p w14:paraId="085713D0" w14:textId="2EB6C6C3" w:rsidR="00A32474" w:rsidRPr="00DA2435" w:rsidRDefault="00A32474" w:rsidP="00F34627">
      <w:pPr>
        <w:spacing w:line="360" w:lineRule="auto"/>
        <w:rPr>
          <w:rFonts w:ascii="Open Sans" w:hAnsi="Open Sans" w:cs="Open Sans"/>
          <w:i/>
          <w:iCs/>
          <w:sz w:val="20"/>
          <w:szCs w:val="20"/>
          <w:lang w:val="en-GB"/>
        </w:rPr>
      </w:pPr>
      <w:r w:rsidRPr="00DA2435">
        <w:rPr>
          <w:rFonts w:ascii="Open Sans" w:hAnsi="Open Sans" w:cs="Open Sans"/>
          <w:i/>
          <w:iCs/>
          <w:sz w:val="20"/>
          <w:szCs w:val="20"/>
          <w:lang w:val="en-GB"/>
        </w:rPr>
        <w:t>MT-ATP6, MT-ATP8, MT-CO1, MT-CO2, MT-CO3, MT-CYB, MT-ND1, MT-ND2, MT-ND3, MT-ND4, MT-ND4L, MT-ND5, MT-ND6, MT-RNR1, MT-RNR2, MT-TA, MT-TC,</w:t>
      </w:r>
      <w:r w:rsidR="006405A7" w:rsidRPr="00DA2435">
        <w:rPr>
          <w:rFonts w:ascii="Open Sans" w:hAnsi="Open Sans" w:cs="Open Sans"/>
          <w:i/>
          <w:iCs/>
          <w:sz w:val="20"/>
          <w:szCs w:val="20"/>
          <w:lang w:val="en-GB"/>
        </w:rPr>
        <w:t xml:space="preserve"> </w:t>
      </w:r>
      <w:r w:rsidRPr="00DA2435">
        <w:rPr>
          <w:rFonts w:ascii="Open Sans" w:hAnsi="Open Sans" w:cs="Open Sans"/>
          <w:i/>
          <w:iCs/>
          <w:sz w:val="20"/>
          <w:szCs w:val="20"/>
          <w:lang w:val="en-GB"/>
        </w:rPr>
        <w:t>MT-TD, MT-TE, MT-TF, MT-TG, MT-TH, MT-TI, MT-TK, MT-TL1, MT-TL2, MT-TM, MT-TN, MT-TP, MT-TQ, MT-TR, MT-TS1, MT-TS2, MT-TT, MT-TV, MT-TW, MT-TY</w:t>
      </w:r>
    </w:p>
    <w:p w14:paraId="0C4FCCFA" w14:textId="77777777" w:rsidR="006405A7" w:rsidRPr="00DA2435" w:rsidRDefault="006405A7" w:rsidP="00F34627">
      <w:pPr>
        <w:spacing w:line="360" w:lineRule="auto"/>
        <w:rPr>
          <w:rFonts w:ascii="Open Sans" w:hAnsi="Open Sans" w:cs="Open Sans"/>
          <w:i/>
          <w:iCs/>
          <w:sz w:val="20"/>
          <w:szCs w:val="20"/>
          <w:lang w:val="en-GB"/>
        </w:rPr>
      </w:pPr>
    </w:p>
    <w:p w14:paraId="445A36CA" w14:textId="22E505A2" w:rsidR="00B42E49" w:rsidRPr="00DA2435" w:rsidRDefault="00667385" w:rsidP="00F34627">
      <w:pPr>
        <w:spacing w:line="360" w:lineRule="auto"/>
        <w:rPr>
          <w:rFonts w:ascii="Open Sans" w:hAnsi="Open Sans" w:cs="Open Sans"/>
          <w:b/>
          <w:bCs/>
          <w:sz w:val="20"/>
          <w:szCs w:val="20"/>
          <w:u w:val="single"/>
          <w:lang w:val="en-GB"/>
        </w:rPr>
      </w:pPr>
      <w:r w:rsidRPr="00DA2435">
        <w:rPr>
          <w:rFonts w:ascii="Open Sans" w:hAnsi="Open Sans" w:cs="Open Sans"/>
          <w:b/>
          <w:bCs/>
          <w:sz w:val="20"/>
          <w:szCs w:val="20"/>
          <w:u w:val="single"/>
          <w:lang w:val="en-GB"/>
        </w:rPr>
        <w:t>3.2</w:t>
      </w:r>
      <w:r w:rsidR="001A279D" w:rsidRPr="00DA2435">
        <w:rPr>
          <w:rFonts w:ascii="Open Sans" w:hAnsi="Open Sans" w:cs="Open Sans"/>
          <w:b/>
          <w:bCs/>
          <w:sz w:val="20"/>
          <w:szCs w:val="20"/>
          <w:u w:val="single"/>
          <w:lang w:val="en-GB"/>
        </w:rPr>
        <w:t xml:space="preserve"> </w:t>
      </w:r>
      <w:r w:rsidR="007F0888" w:rsidRPr="00DA2435">
        <w:rPr>
          <w:rFonts w:ascii="Open Sans" w:hAnsi="Open Sans" w:cs="Open Sans"/>
          <w:b/>
          <w:bCs/>
          <w:sz w:val="20"/>
          <w:szCs w:val="20"/>
          <w:u w:val="single"/>
          <w:lang w:val="en-GB"/>
        </w:rPr>
        <w:t xml:space="preserve">Virtual gene panel </w:t>
      </w:r>
      <w:r w:rsidR="00F7202D" w:rsidRPr="00DA2435">
        <w:rPr>
          <w:rFonts w:ascii="Open Sans" w:hAnsi="Open Sans" w:cs="Open Sans"/>
          <w:b/>
          <w:bCs/>
          <w:sz w:val="20"/>
          <w:szCs w:val="20"/>
          <w:u w:val="single"/>
          <w:lang w:val="en-GB"/>
        </w:rPr>
        <w:t>–</w:t>
      </w:r>
      <w:r w:rsidR="008A2F64" w:rsidRPr="00DA2435">
        <w:rPr>
          <w:rFonts w:ascii="Open Sans" w:hAnsi="Open Sans" w:cs="Open Sans"/>
          <w:b/>
          <w:bCs/>
          <w:sz w:val="20"/>
          <w:szCs w:val="20"/>
          <w:u w:val="single"/>
          <w:lang w:val="en-GB"/>
        </w:rPr>
        <w:t xml:space="preserve"> </w:t>
      </w:r>
      <w:r w:rsidR="007F0888" w:rsidRPr="00DA2435">
        <w:rPr>
          <w:rFonts w:ascii="Open Sans" w:hAnsi="Open Sans" w:cs="Open Sans"/>
          <w:b/>
          <w:bCs/>
          <w:sz w:val="20"/>
          <w:szCs w:val="20"/>
          <w:u w:val="single"/>
          <w:lang w:val="en-GB"/>
        </w:rPr>
        <w:t>Neuroexome</w:t>
      </w:r>
      <w:r w:rsidR="00F7202D" w:rsidRPr="00DA2435">
        <w:rPr>
          <w:rFonts w:ascii="Open Sans" w:hAnsi="Open Sans" w:cs="Open Sans"/>
          <w:b/>
          <w:bCs/>
          <w:sz w:val="20"/>
          <w:szCs w:val="20"/>
          <w:u w:val="single"/>
          <w:lang w:val="en-GB"/>
        </w:rPr>
        <w:t xml:space="preserve"> (</w:t>
      </w:r>
      <w:r w:rsidR="004E181F" w:rsidRPr="00DA2435">
        <w:rPr>
          <w:rFonts w:ascii="Open Sans" w:hAnsi="Open Sans" w:cs="Open Sans"/>
          <w:b/>
          <w:bCs/>
          <w:sz w:val="20"/>
          <w:szCs w:val="20"/>
          <w:u w:val="single"/>
          <w:lang w:val="en-GB"/>
        </w:rPr>
        <w:t>1411</w:t>
      </w:r>
      <w:r w:rsidR="00F7202D" w:rsidRPr="00DA2435">
        <w:rPr>
          <w:rFonts w:ascii="Open Sans" w:hAnsi="Open Sans" w:cs="Open Sans"/>
          <w:b/>
          <w:bCs/>
          <w:sz w:val="20"/>
          <w:szCs w:val="20"/>
          <w:u w:val="single"/>
          <w:lang w:val="en-GB"/>
        </w:rPr>
        <w:t xml:space="preserve"> genes)</w:t>
      </w:r>
      <w:r w:rsidR="004F5EAB">
        <w:rPr>
          <w:rFonts w:ascii="Open Sans" w:hAnsi="Open Sans" w:cs="Open Sans"/>
          <w:b/>
          <w:bCs/>
          <w:sz w:val="20"/>
          <w:szCs w:val="20"/>
          <w:u w:val="single"/>
          <w:lang w:val="en-GB"/>
        </w:rPr>
        <w:t xml:space="preserve"> (genes associated with neurological disorders)</w:t>
      </w:r>
      <w:r w:rsidR="007F0888" w:rsidRPr="00DA2435">
        <w:rPr>
          <w:rFonts w:ascii="Open Sans" w:hAnsi="Open Sans" w:cs="Open Sans"/>
          <w:b/>
          <w:bCs/>
          <w:sz w:val="20"/>
          <w:szCs w:val="20"/>
          <w:u w:val="single"/>
          <w:lang w:val="en-GB"/>
        </w:rPr>
        <w:t>:</w:t>
      </w:r>
    </w:p>
    <w:p w14:paraId="4F2E7D0F" w14:textId="61E3AF96" w:rsidR="002C180D" w:rsidRPr="00DA2435" w:rsidRDefault="007F0888" w:rsidP="00F34627">
      <w:pPr>
        <w:spacing w:line="360" w:lineRule="auto"/>
        <w:rPr>
          <w:rFonts w:ascii="Open Sans" w:hAnsi="Open Sans" w:cs="Open Sans"/>
          <w:i/>
          <w:iCs/>
          <w:sz w:val="20"/>
          <w:szCs w:val="20"/>
          <w:lang w:val="en-GB"/>
        </w:rPr>
      </w:pPr>
      <w:r w:rsidRPr="00DA2435">
        <w:rPr>
          <w:rFonts w:ascii="Open Sans" w:hAnsi="Open Sans" w:cs="Open Sans"/>
          <w:i/>
          <w:iCs/>
          <w:sz w:val="20"/>
          <w:szCs w:val="20"/>
          <w:lang w:val="en-GB"/>
        </w:rPr>
        <w:t xml:space="preserve">AAAS, AARS1, AARS2, AASS, ABAT, ABCA1, ABCB7, ABCC6, ABCC8, ABCD1, ABCD4, ABHD12, ABHD5, ACACA, ACAD9, ACADM, ACADS, ACADSB, ACADVL, ACAT1, ACO2, ACOX1, ACSF3, ACSL4, ACTA1, ACTA2, ACTB, ACTG1, ACTG2, ACVRL1, ACY1, ADAMTS2, ADAR, ADAT3, ADCY5, ADD3, ADGRG1, ADGRV1, ADK, ADNP, ADRA2B, ADSL, AFF2, AFG3L2, AGA, AGK, AGL, AGPAT2, AGRN, AGXT, AHI1, AIFM1, AIMP1, AKT1, AKT3, ALAD, ALDH18A1, ALDH3A2, ALDH4A1, ALDH5A1, ALDH7A1, ALDOA, ALDOB, ALG1, ALG11, ALG12, ALG13, ALG14, ALG2, ALG3, ALG6, ALG8, ALG9, ALMS1, ALS2, ALX1, ALX3, ALX4, AMACR, AMN, AMPD1, AMPD2, AMT, ANG, ANK3, ANKLE2, ANKRD11, ANO10, ANO3, ANO5, ANTXR1, AP1S1, AP1S2, AP3B1, AP3B2, AP4B1, AP4E1, AP4M1, AP4S1, AP5Z1, APOA1, ApoE, </w:t>
      </w:r>
      <w:r w:rsidRPr="00DA2435">
        <w:rPr>
          <w:rFonts w:ascii="Open Sans" w:hAnsi="Open Sans" w:cs="Open Sans"/>
          <w:i/>
          <w:iCs/>
          <w:sz w:val="20"/>
          <w:szCs w:val="20"/>
          <w:lang w:val="en-GB"/>
        </w:rPr>
        <w:lastRenderedPageBreak/>
        <w:t xml:space="preserve">APP, APTX, AR, ARFGEF2, ARG1, ARHGAP31, ARHGEF10, ARHGEF6, ARHGEF9, ARID1A, ARID1B, ARL13B, ARL6, ARL6IP1, ARSA, ARSB, ARSI, ARSL, ARV1, ARX, ASAH1, ASCL1, ASL, ASNS, ASPA, ASPM, ASS1, ASXL1, ASXL3, ATCAY, ATIC, ATL1, ATL3, ATM, ATN1, ATP13A2, ATP1A2, ATP1A3, ATP2A1, ATP2A2, ATP2B3, ATP5F1A, ATP5F1E, ATP6AP2, ATP6V0A2, ATP7A, ATP7B, ATP8A2, ATPAF2, ATR, ATRX, ATXN1, ATXN10, ATXN2, ATXN3, ATXN7, AUH, AUTS2, AVP, B3GALNT2, B3GLCT, B4GALNT1, B4GALT1, B4GAT1, B9D1, B9D2, BAG3, BBIP1, BBS1, BBS10, BBS12, BBS2, BBS4, BBS5, BBS7, BBS9, BCAP31, BCKDHA, BCKDHB, BCKDK, BCOR, BCS1L, BDNF, BEAN1, BICD2, BIN1, BOLA3, BRAF, BRAT1, BRF1, BRWD3, BSCL2, BSND, BVES, C12orf57, C12ORF65, C19ORF12, C9ORF72, CA8, CACNA1A, CACNA1B, CACNA1C, CACNA1D, CACNA1G, CACNA1S, CACNB4, CACNG2, CAD, CAMTA1, CAPN1, CAPN3, CARS2, CASK, CASQ1, CASR, CAV1, CAV3, CAVIN1, CBL, CC2D1A, CC2D2A, CCDC115, CCDC174, CCDC78, CCDC88C, CCM2, CCND2, CCT5, CD59, CD96, CDH15, CDK13, CDK5, CDK5RAP2, CDK6, CDKL5, CDON, CENPE, CENPJ, CEP104, CEP135, CEP152, CEP290, CEP41, CEP63, CERS1, CERT1, CFL2, CHAMP1, CHAT, CHCHD10, CHCHD2, CHD2, CHD7, CHKB, CHMP1A, CHMP2B, CHRNA1, CHRNA2, CHRNA4, CHRNA7, CHRNB1, CHRNB2, CHRND, CHRNE, CHRNG, CILK1, CIZ1, CLCN1, CLCN2, CLCN4, CLCNKA, CLCNKB, CLIC2, CLN3, CLN5, CLN6, CLN8, CLP1, CLPB, CNBP, CNNM2, CNTN1, CNTN2, CNTNAP2, COA5, COA6, COASY, COG1, COG4, COG5, COG6, COG7, COG8, COL11A2, COL12A1, COL13A1, COL18A1, COL4A1, COL4A2, COL6A1, COL6A2, COL6A3, COL9A3, COLQ, COQ2, COQ4, COQ6, COQ8A, COQ9, COX10, COX14, COX15, COX6A1, COX6B1, COX8A, CP, CPA6, CPLANE1, CPS1, CPT1C, CPT2, CRADD, CRB2, CRBN, CREBBP, CRIPT, CRPPA, CRYAB, CSF1R, CSNK2A1, CSPP1, CST3, CSTB, CTC1, CTCF, CTDP1, CTNNB1, CTSD, CTSF, CUL4B, CWF19L1, CYP26B1, CYP27A1, CYP2U1, CYP7B1, DAG1, DARS1, DARS2, DBT, DCAF17, DCAF8, DCTN1, DCX, DDHD1, DDHD2, DDOST, DDX3X, DEAF1, DEPDC5, DES, DGUOK, DHCR7, DHH, DHTKD1, DIAPH1, DIAPH3, DIP2B, DKC1, DLD, DLG3, DLL4, DMD, DMPK, DMXL2, DNAJB2, DNAJB6, DNAJC19, DNAJC3, DNAJC5, DNAJC6, DNM1, DNM1L, DNM2, DNMT1, DOCK6, DOCK7, DOK7, DOLK, DPAGT1, DPH1, DPM1, DPM2, DPM3, DPP6, DRD2, DST, DYNC1H1, DYNC2H1, DYRK1A, DYSF, EARS2, EBF3, EBP, ECEL1, EDC3, EEF1A2, EEF2, EFHC1, EFTUD2, EGR2, EHMT1, EIF2B1, EIF2B2, EIF2B3, EIF2B4, EIF2B5, EIF2S3, EIF4G1, ELAC2, ELOVL4, ELOVL5, ELP1, ELP2, EMC1, EMD, EMX2, ENO3, ENTPD1, EOGT, EP300, EPB41L1, EPM2A, ERBB4, ERCC1, ERCC2, ERCC5, ERCC6, ERLIN1, ERLIN2, ERMARD, ESCO2, ETFA, ETFB, ETFDH, ETHE1, EXOC8, EXOSC3, EXOSC8, EXT2, FA2H, FADD, FAM126A, FARS2, FASTKD2, FBLN5, FBN1, FBXL4, FBXO31, FBXO38, FBXO7, FGD1, FGD4, FGF12, FGF14, FGFR1, FGFR2, FH, FHL1, FIG4, FKRP, FKTN, FLNA, FLNC, FLVCR1, FLVCR2, FMN2, FMR1, FOLR1, FOXG1, FOXP1, FOXP2, FOXRED1, FREM1, FRMD4A, FRMD7, FRMPD4, FRRS1L, FTL, FTO, FTSJ1, FUS, FXN, G6PC1, GAA, GABRA1, GABRB1, GABRB3, GABRG2, GAD1, GAL, GALC, GALNS, GAMT, GAN, GARS1, GATAD2B, GATM, GBA, GBA2, GBE1, GCDH, GCH1, GCSH, </w:t>
      </w:r>
      <w:r w:rsidRPr="00DA2435">
        <w:rPr>
          <w:rFonts w:ascii="Open Sans" w:hAnsi="Open Sans" w:cs="Open Sans"/>
          <w:i/>
          <w:iCs/>
          <w:sz w:val="20"/>
          <w:szCs w:val="20"/>
          <w:lang w:val="en-GB"/>
        </w:rPr>
        <w:lastRenderedPageBreak/>
        <w:t xml:space="preserve">GDAP1, GDI1, GDNF, GFAP, GFER, GFM1, GFPT1, GJB1, GJC2, GK, GLA, GLB1, GLDC, GLE1, GLI2, GLI3, GLRA1, GLRB, GLRX5, GM2A, GMPPA, GMPPB, GNAL, GNAO1, GNB1, GNB4, GNB5, GNE, GNPAT, GNS, GOSR2, GPC3, GPR143, GPT2, GRIA3, GRID2, GRIK2, GRIN1, GRIN2A, GRIN2B, GRIP1, GRM1, GRN, GSN, GTPBP3, GUF1, GUSB, GYG1, GYS1, GYS2, HACE1, HADHA, HADHB, HARS1, HCCS, HCFC1, HCN1, HDAC6, HDAC8, HECW2, HEPACAM, HERC1, HERC2, HESX1, HEXA, HEXB, HGSNAT, HIKESHI, HINT1, HIVEP2, HK1, HMGB3, HNMT, HNRNPA1, hnRNPA2B1, HNRNPDL, HNRNPH2, HOXA1, HOXD10, HPCA, HPRT1, HRAS, HSD17B10, HSD17B4, HSPB1, HSPB3, HSPB8, HSPD1, HSPG2, HTRA1, HTRA2, HTT, HUWE1, IARS1, IARS2, IBA57, IDS, IDUA, IER3IP1, IFIH1, IFT140, IFT27, IGBP1, IGF1, IGHMBP2, IKBKG, IL11RA, IL1RAPL1, IL1RN, INF2, INPP5E, INS, IQSEC2, IRX5, ISCU, ITGA7, ITM2B, ITPA, ITPR1, JAG1, JPH3, JRK, KANK1, KARS1, KAT6A, KAT6B, KATNB1, KBTBD13, KCNA1, KCNA2, KCNB1, KCNC1, KCNC3, KCND3, KCNJ1, KCNJ10, KCNJ11, KCNJ2, KCNK18, KCNK9, KCNMA1, KCNQ2, KCNQ3, KCNT1, KCTD17, KCTD7, KDM1A, KDM5C, KDM6A, KIAA0586, KIDINS220, KIF11, KIF1A, KIF1B, KIF1C, KIF21A, KIF2A, KIF4A, KIF5A, KIF5C, KIF7, KIRREL3, KLC2, KLHL15, KLHL40, KLHL41, KMT2A, KMT2B, KMT2D, KNL1, KPTN, KRAS, KRIT1, L1CAM, LAMA2, LAMB1, LAMB2, LAMC3, LAMP2, LARGE1, LBR, LDB3, LDHA, LGI1, LIG4, LIMS2, LINS1, LITAF, LMAN2L, LMBRD1, LMNA, LMNB1, LMNB2, LMOD3, LPIN1, LRP2, LRP4, LRPPRC, LRRK2, LRSAM1, LYRM4, LZTFL1, LZTR1, MAG, MAGEL2, MAN1B1, MAOA, MAPK10, MAPT, MARS1, MARS2, MASP1, MATR3, MBD5, MBTPS2, MCPH1, MECP2, MED12, MED13L, MED17, MED23, MED25, MEF2C, METTL23, MFF, MFN2, MFSD2A, MFSD8, MGAT2, MICU1, MID1, MID2, MKKS, MKS1, MLC1, MMAA, MMAB, MMACHC, MMADHC, MMUT, MOGS, MPDU1, MPDZ, MPI, MPV17, MPZ, MRE11, MRPL3, MRPL44, MRPS16, MRPS22, MSMO1, MSX2, MTFMT, MTHFR, MTM1, MTMR2, MTO1, MTOR, MTPAP, MTR, MTRR, MTTP, MUSK, MVK, MYBPC1, MYCN, MYF6, MYH14, MYH2, MYH3, MYH7, MYO5A, MYOT, MYT1L, NAA10, NAGA, NAGLU, NALCN, NARS2, NAT8L, NDE1, NDN, NDP, NDRG1, NDST1, NDUFA1, NDUFA10, NDUFA11, NDUFA12, NDUFA2, NDUFA4, NDUFA9, NDUFAF1, NDUFAF2, NDUFAF3, NDUFAF4, NDUFAF5, NDUFAF6, NDUFB3, NDUFB9, NDUFS1, NDUFS2, NDUFS3, NDUFS4, NDUFS6, NDUFS7, NDUFS8, NDUFV1, NDUFV2, NEB, NECAP1, NEDD4L, NEFH, NEFL, NEU1, NEXMIF, NF1, NF2, NFIX, NFU1, NGF, NHEJ1, NHLRC1, NHP2, NHS, NIPA1, NIPBL, NKX2-1, NLRP3, NME1, NOL3, NONO, NOP10, NOP56, NOTCH1, NOTCH2, NOTCH3, NPC1, NPC2, NPHP1, NPHP3, NPRL2, NPRL3, NRAS, NRXN1, NSD1, NSDHL, NSUN2, NT5C2, NTRK1, NTRK2, NUBPL, OCLN, OCRL, OFD1, OPA1, OPA3, OPHN1, OPTN, ORC1, OTC, PAFAH1B1, PAH, PAK3, PANK2, PARK7, PARN, PAX2, PAX3, PC, PCBD1, PCDH19, PCLO, PCNA, PCNT, PDCD10, PDE10A, PDE4D, PDE6D, PDE8B, PDGFB, PDGFRB, PDHA1, PDK3, PDSS1, PDSS2, PDYN, PEX1, PEX10, PEX11B, PEX12, PEX13, PEX14, PEX16, PEX19, PEX2, PEX26, PEX3, PEX5, PEX6, PEX7, PFKM, PFN1, PGAM2, PGAP1, PGAP2, PGAP3, PGK1, PGM1, PHC1, PHF6, PHF8, PHKA1, PHKA2, PHOX2B, </w:t>
      </w:r>
      <w:r w:rsidRPr="00DA2435">
        <w:rPr>
          <w:rFonts w:ascii="Open Sans" w:hAnsi="Open Sans" w:cs="Open Sans"/>
          <w:i/>
          <w:iCs/>
          <w:sz w:val="20"/>
          <w:szCs w:val="20"/>
          <w:lang w:val="en-GB"/>
        </w:rPr>
        <w:lastRenderedPageBreak/>
        <w:t xml:space="preserve">PHYH, PI4KA, PIEZO2, PIGA, PIGG, PIGL, PIGN, PIGO, PIGT, PIGV, PIGW, PIGY, PIK3CA, PIK3R2, PIK3R5, PINK1, PLA2G6, PLCB1, PLEC, PLEKHG2, PLEKHG5, PLK4, PLP1, PMM2, PMP22, PMPCA, PNKD, PNKP, PNPLA2, PNPLA6, PNPLA8, PNPO, PNPT1, POGZ, POLG, POLG2, POLR1C, POLR3A, POLR3B, POMGNT1, POMGNT2, POMK, POMT1, POMT2, PORCN, PPP1R15B, PPP2R1A, PPP2R2B, PPP2R5D, PPT1, PQBP1, PRDM8, PREPL, PRICKLE1, PRICKLE2, PRKCG, PRKDC, PRKN, PRKRA, PRNP, PROP1, PRPS1, PRRT2, PRRX1, PRSS12, PRSS56, PRX, PSAP, PSEN1, PSEN2, PTCH1, PTEN, PTF1A, PTPN11, PTRH2, PTS, PURA, PUS1, PUS3, PYCR2, PYGL, PYGM, QARS1, QDPR, RAB18, RAB39B, RAB3GAP1, RAB3GAP2, RAB7A, RAD21, RAD50, RAF1, RAI1, RAPSN, RARB, RARS1, RARS2, RAX, RBBP8, RBM10, RBM28, RBM8A, RBP4, RBPJ, REEP1, REEP2, RELN, RERE, RETREG1, RFT1, RIN2, RIT1, RLIM, RMND1, RNASEH2A, RNASEH2B, RNASEH2C, RNASET2, RNF135, RNF170, RNF216, RNU4ATAC, ROGDI, ROR2, RPGRIP1L, RPL10, RPS6KA3, RRM2B, RTEL1, RTN2, RTN4IP1, RTTN, RUBCN, RXYLT1, RYR1, SACS, SAMHD1, SASS6, SBDS, SBF1, SBF2, SCARB2, SCN10A, SCN11A, SCN1A, SCN1B, SCN2A, SCN4A, SCN8A, SCN9A, SCO1, SCO2, SCP2, SCYL1, SDCCAG8, SDHA, SDHAF1, SELENON, SEPSECS, SEPTIN9, SERAC1, SERPINI1, SETBP1, SETD2, SETD5, SETX, SFXN4, SGCA, SGCB, SGCD, SGCE, SGCG, SGSH, SH3TC2, SHANK2, SHANK3, SHH, SHOC2, SHROOM4, SIGMAR1, SIK1, SIL1, SIX3, SKI, SLC12A1, SLC12A5, SLC12A6, SLC13A5, SLC16A2, SLC17A5, SLC19A3, SLC1A1, SLC1A2, SLC1A3, SLC1A4, SLC20A2, SLC22A5, SLC25A12, SLC25A19, SLC25A20, SLC25A22, SLC25A3, SLC25A4, SLC25A46, SLC2A1, SLC2A2, SLC30A10, SLC33A1, SLC35A1, SLC35A2, SLC35A3, SLC35C1, SLC37A4, SLC39A14, SLC39A8, SLC4A4, SLC5A7, SLC6A1, SLC6A17, SLC6A3, SLC6A5, SLC6A8, SLC9A6, SMARCA2, SMARCA4, SMARCB1, SMARCE1, SMC1A, SMC3, SMCHD1, SMN1, SMPD1, SMS, SNAP29, SNCA, SNCB, SNIP1, SNRPB, SNX14, SOBP, SOD1, SOS1, SOS2, SOX10, SOX11, SOX3, SPART, SPAST, SPATA5, SPG11, SPG21, SPG7, SPR, SPTAN1, SPTBN2, SPTLC1, SPTLC2, SQSTM1, SRD5A3, SRPX2, SSR4, ST3GAL3, ST3GAL5, STAC3, STAMBP, STIL, STRADA, STT3A, STT3B, STUB1, STX1B, STXBP1, SUCLA2, SUCLG1, SUFU, SUMF1, SURF1, SYN1, SYNE1, SYNE2, SYNGAP1, SYNJ1, SYP, SYT14, SYT2, SZT2, TACO1, TAF1, TAF2, TARDBP, TARS2, TAZ, TBC1D24, TBC1D7, TBCD, TBCE, TBCK, TBK1, TBL1XR1, TBP, TBX1, TCAP, TCF12, TCF4, TCTN1, TCTN2, TCTN3, TDGF1, TDP1, TDP2, TECPR2, TECR, TENM4, TFAM, TFAP2A, TFAP2B, TFG, TG, TGFB1, TGFB2, TGFB3, TGFBR1, TGFBR2, TGIF1, TGM6, TH, THAP1, THOC2, TIMM8A, TINF2, TK2, TKT, TMCO1, TMEM126A, TMEM138, TMEM165, TMEM199, TMEM216, TMEM231, TMEM237, TMEM240, TMEM43, TMEM67, TMEM70, TMLHE, TNIK, TNNI2, TNNT1, TNNT3, TNPO3, TOR1A, TOR1AIP1, TPK1, TPM2, TPM3, TPP1, TRAPPC11, TRAPPC9, TRDN, TREM2, TREX1, TRIM2, TRIM32, TRIO, TRMT10A, TRNT1, TRPM6, TRPS1, TRPV4, TSC1, TSC2, TSEN15, TSEN2, TSEN34, TSEN54, TSFM, TSHB, TSPAN7, TTBK2, TTC19, TTC21B, TTC8, TTI2, TTN, TTPA, TTR, TUBA1A, TUBA4A, TUBA8, TUBB, TUBB2A, TUBB2B, TUBB3, TUBB4A, TUBG1, TUBGCP4, TUBGCP6, TUFM, TUSC3, TWNK, </w:t>
      </w:r>
      <w:r w:rsidRPr="00DA2435">
        <w:rPr>
          <w:rFonts w:ascii="Open Sans" w:hAnsi="Open Sans" w:cs="Open Sans"/>
          <w:i/>
          <w:iCs/>
          <w:sz w:val="20"/>
          <w:szCs w:val="20"/>
          <w:lang w:val="en-GB"/>
        </w:rPr>
        <w:lastRenderedPageBreak/>
        <w:t>TXN2, TYMP, TYROBP, UBA1, UBA5, UBE2A, UBE3A, UBQLN2, UCHL1, UMPS, UNC80, UPB1, UPF3B, UQCC2, UQCC3, UQCRB, UQCRQ, USP27X, USP8, USP9X, VAMP1, VANGL1, VAPB, VARS2, VAX1, VCP, VIPAS39, VLDLR, VMA21, VPS11, VPS13A, VPS13B, VPS13C, VPS33B, VPS35, VPS37A, VPS53, VRK1, VWA3B, WAC, WASHC4, WASHC5, WDPCP, WDR45, WDR48, WDR62, WDR81, WFS1, WNK1, WNT3, WNT5A, WNT7A, WRAP53, WWOX, XK, XPA, XPC, XPR1, XRCC4, XYLT1, YAP1, YARS1, YARS2, ZBTB16, ZBTB18, ZC3H14, ZDHHC15, ZDHHC9, ZEB2, ZFR, ZFYVE26, ZFYVE27, ZIC1, ZIC2, ZMYND11, ZNF335, ZNF423, ZNF592, ZNF711</w:t>
      </w:r>
      <w:r w:rsidR="003B7B10" w:rsidRPr="00DA2435">
        <w:rPr>
          <w:rFonts w:ascii="Open Sans" w:hAnsi="Open Sans" w:cs="Open Sans"/>
          <w:i/>
          <w:iCs/>
          <w:sz w:val="20"/>
          <w:szCs w:val="20"/>
          <w:lang w:val="en-GB"/>
        </w:rPr>
        <w:t>.</w:t>
      </w:r>
    </w:p>
    <w:p w14:paraId="76D3F69D" w14:textId="3CA8DF2B" w:rsidR="00667385" w:rsidRPr="00DA2435" w:rsidRDefault="00667385" w:rsidP="00F34627">
      <w:pPr>
        <w:spacing w:line="360" w:lineRule="auto"/>
        <w:rPr>
          <w:rFonts w:ascii="Open Sans" w:hAnsi="Open Sans" w:cs="Open Sans"/>
          <w:i/>
          <w:iCs/>
          <w:sz w:val="20"/>
          <w:szCs w:val="20"/>
          <w:lang w:val="en-GB"/>
        </w:rPr>
      </w:pPr>
    </w:p>
    <w:p w14:paraId="7CEFD15D" w14:textId="4669E67D" w:rsidR="00667385" w:rsidRPr="00DA2435" w:rsidRDefault="00667385" w:rsidP="00F34627">
      <w:pPr>
        <w:spacing w:line="360" w:lineRule="auto"/>
        <w:rPr>
          <w:rFonts w:ascii="Open Sans" w:eastAsia="Calibri" w:hAnsi="Open Sans" w:cs="Open Sans"/>
          <w:b/>
          <w:bCs/>
          <w:kern w:val="2"/>
          <w:sz w:val="20"/>
          <w:szCs w:val="20"/>
          <w:u w:val="single"/>
          <w:lang w:val="en-GB"/>
          <w14:ligatures w14:val="standardContextual"/>
        </w:rPr>
      </w:pPr>
      <w:r w:rsidRPr="00DA2435">
        <w:rPr>
          <w:rFonts w:ascii="Open Sans" w:hAnsi="Open Sans" w:cs="Open Sans"/>
          <w:b/>
          <w:bCs/>
          <w:sz w:val="20"/>
          <w:szCs w:val="20"/>
          <w:lang w:val="en-GB"/>
        </w:rPr>
        <w:t>4</w:t>
      </w:r>
      <w:r w:rsidR="000D5030" w:rsidRPr="00DA2435">
        <w:rPr>
          <w:rFonts w:ascii="Open Sans" w:hAnsi="Open Sans" w:cs="Open Sans"/>
          <w:b/>
          <w:bCs/>
          <w:sz w:val="20"/>
          <w:szCs w:val="20"/>
          <w:lang w:val="en-GB"/>
        </w:rPr>
        <w:t>.</w:t>
      </w:r>
      <w:r w:rsidRPr="00DA2435">
        <w:rPr>
          <w:rFonts w:ascii="Open Sans" w:hAnsi="Open Sans" w:cs="Open Sans"/>
          <w:b/>
          <w:bCs/>
          <w:sz w:val="20"/>
          <w:szCs w:val="20"/>
          <w:lang w:val="en-GB"/>
        </w:rPr>
        <w:t xml:space="preserve"> </w:t>
      </w:r>
      <w:r w:rsidRPr="00DA2435">
        <w:rPr>
          <w:rFonts w:ascii="Open Sans" w:eastAsia="Calibri" w:hAnsi="Open Sans" w:cs="Open Sans"/>
          <w:b/>
          <w:bCs/>
          <w:kern w:val="2"/>
          <w:sz w:val="20"/>
          <w:szCs w:val="20"/>
          <w:u w:val="single"/>
          <w:lang w:val="en-GB"/>
          <w14:ligatures w14:val="standardContextual"/>
        </w:rPr>
        <w:t xml:space="preserve">Whole-exome sequencing </w:t>
      </w:r>
    </w:p>
    <w:p w14:paraId="7D9564BA" w14:textId="77777777" w:rsidR="00E508C3" w:rsidRPr="00DA2435" w:rsidRDefault="00667385" w:rsidP="00F34627">
      <w:pPr>
        <w:widowControl/>
        <w:autoSpaceDE/>
        <w:autoSpaceDN/>
        <w:spacing w:after="160" w:line="360" w:lineRule="auto"/>
        <w:rPr>
          <w:rFonts w:ascii="Open Sans" w:hAnsi="Open Sans" w:cs="Open Sans"/>
          <w:sz w:val="20"/>
          <w:szCs w:val="20"/>
          <w:lang w:val="en-GB"/>
        </w:rPr>
      </w:pPr>
      <w:r w:rsidRPr="00DA2435">
        <w:rPr>
          <w:rFonts w:ascii="Open Sans" w:eastAsia="Calibri" w:hAnsi="Open Sans" w:cs="Open Sans"/>
          <w:kern w:val="2"/>
          <w:sz w:val="20"/>
          <w:szCs w:val="20"/>
          <w:lang w:val="en-GB"/>
          <w14:ligatures w14:val="standardContextual"/>
        </w:rPr>
        <w:t>Exome sequencing libraries were prepared using the SureSelect Exome Capture Kit v7 (Agilent)</w:t>
      </w:r>
      <w:r w:rsidR="00E70496" w:rsidRPr="00DA2435">
        <w:rPr>
          <w:rFonts w:ascii="Open Sans" w:eastAsia="Calibri" w:hAnsi="Open Sans" w:cs="Open Sans"/>
          <w:kern w:val="2"/>
          <w:sz w:val="20"/>
          <w:szCs w:val="20"/>
          <w:lang w:val="en-GB"/>
          <w14:ligatures w14:val="standardContextual"/>
        </w:rPr>
        <w:t>,</w:t>
      </w:r>
      <w:r w:rsidRPr="00DA2435">
        <w:rPr>
          <w:rFonts w:ascii="Open Sans" w:eastAsia="Calibri" w:hAnsi="Open Sans" w:cs="Open Sans"/>
          <w:kern w:val="2"/>
          <w:sz w:val="20"/>
          <w:szCs w:val="20"/>
          <w:lang w:val="en-GB"/>
          <w14:ligatures w14:val="standardContextual"/>
        </w:rPr>
        <w:t xml:space="preserve"> and sequencing was performed on NextSeq550 (Illumina)</w:t>
      </w:r>
      <w:r w:rsidR="00E70496" w:rsidRPr="00DA2435">
        <w:rPr>
          <w:rFonts w:ascii="Open Sans" w:eastAsia="Calibri" w:hAnsi="Open Sans" w:cs="Open Sans"/>
          <w:kern w:val="2"/>
          <w:sz w:val="20"/>
          <w:szCs w:val="20"/>
          <w:lang w:val="en-GB"/>
          <w14:ligatures w14:val="standardContextual"/>
        </w:rPr>
        <w:t>,</w:t>
      </w:r>
      <w:r w:rsidRPr="00DA2435">
        <w:rPr>
          <w:rFonts w:ascii="Open Sans" w:eastAsia="Calibri" w:hAnsi="Open Sans" w:cs="Open Sans"/>
          <w:kern w:val="2"/>
          <w:sz w:val="20"/>
          <w:szCs w:val="20"/>
          <w:lang w:val="en-GB"/>
          <w14:ligatures w14:val="standardContextual"/>
        </w:rPr>
        <w:t xml:space="preserve"> with 100 bp paired-end reads, according to manufacturer’s instructions. After sequencing, reads were aligned to the human reference genome hg19/GRCh37</w:t>
      </w:r>
      <w:r w:rsidR="00E70496" w:rsidRPr="00DA2435">
        <w:rPr>
          <w:rFonts w:ascii="Open Sans" w:eastAsia="Calibri" w:hAnsi="Open Sans" w:cs="Open Sans"/>
          <w:kern w:val="2"/>
          <w:sz w:val="20"/>
          <w:szCs w:val="20"/>
          <w:lang w:val="en-GB"/>
          <w14:ligatures w14:val="standardContextual"/>
        </w:rPr>
        <w:t>,</w:t>
      </w:r>
      <w:r w:rsidRPr="00DA2435">
        <w:rPr>
          <w:rFonts w:ascii="Open Sans" w:eastAsia="Calibri" w:hAnsi="Open Sans" w:cs="Open Sans"/>
          <w:kern w:val="2"/>
          <w:sz w:val="20"/>
          <w:szCs w:val="20"/>
          <w:lang w:val="en-GB"/>
          <w14:ligatures w14:val="standardContextual"/>
        </w:rPr>
        <w:t xml:space="preserve"> using Burrows-Wheeler Aligner (BWA) v0.7.1</w:t>
      </w:r>
      <w:r w:rsidR="00E70496" w:rsidRPr="00DA2435">
        <w:rPr>
          <w:rFonts w:ascii="Open Sans" w:eastAsia="Calibri" w:hAnsi="Open Sans" w:cs="Open Sans"/>
          <w:kern w:val="2"/>
          <w:sz w:val="20"/>
          <w:szCs w:val="20"/>
          <w:lang w:val="en-GB"/>
          <w14:ligatures w14:val="standardContextual"/>
        </w:rPr>
        <w:t>,</w:t>
      </w:r>
      <w:r w:rsidRPr="00DA2435">
        <w:rPr>
          <w:rFonts w:ascii="Open Sans" w:eastAsia="Calibri" w:hAnsi="Open Sans" w:cs="Open Sans"/>
          <w:kern w:val="2"/>
          <w:sz w:val="20"/>
          <w:szCs w:val="20"/>
          <w:lang w:val="en-GB"/>
          <w14:ligatures w14:val="standardContextual"/>
        </w:rPr>
        <w:t xml:space="preserve"> and variants called using GATK best practices v3.3-0. Duplicate reads were identified through samblaster v0.1.21. Variant annotation was performed with snpEff v4.2 and dbNSFP v2.9. Annotated variants were filtered and prioritized using Exomiser v7.2.1 and based on several criteria, including: minor allele frequency</w:t>
      </w:r>
      <w:r w:rsidR="00E70496" w:rsidRPr="00DA2435">
        <w:rPr>
          <w:rFonts w:ascii="Open Sans" w:eastAsia="Calibri" w:hAnsi="Open Sans" w:cs="Open Sans"/>
          <w:kern w:val="2"/>
          <w:sz w:val="20"/>
          <w:szCs w:val="20"/>
          <w:lang w:val="en-GB"/>
          <w14:ligatures w14:val="standardContextual"/>
        </w:rPr>
        <w:t>, MAF,</w:t>
      </w:r>
      <w:r w:rsidRPr="00DA2435">
        <w:rPr>
          <w:rFonts w:ascii="Open Sans" w:eastAsia="Calibri" w:hAnsi="Open Sans" w:cs="Open Sans"/>
          <w:kern w:val="2"/>
          <w:sz w:val="20"/>
          <w:szCs w:val="20"/>
          <w:lang w:val="en-GB"/>
          <w14:ligatures w14:val="standardContextual"/>
        </w:rPr>
        <w:t xml:space="preserve"> &lt;1% in reference population databases (Nucleotide Polymorphism Database [dbSNP], Genome Aggregation Database [gnomAD v2.1], 1</w:t>
      </w:r>
      <w:r w:rsidR="00752687" w:rsidRPr="00DA2435">
        <w:rPr>
          <w:rFonts w:ascii="Open Sans" w:eastAsia="Calibri" w:hAnsi="Open Sans" w:cs="Open Sans"/>
          <w:kern w:val="2"/>
          <w:sz w:val="20"/>
          <w:szCs w:val="20"/>
          <w:lang w:val="en-GB"/>
          <w14:ligatures w14:val="standardContextual"/>
        </w:rPr>
        <w:t>,</w:t>
      </w:r>
      <w:r w:rsidRPr="00DA2435">
        <w:rPr>
          <w:rFonts w:ascii="Open Sans" w:eastAsia="Calibri" w:hAnsi="Open Sans" w:cs="Open Sans"/>
          <w:kern w:val="2"/>
          <w:sz w:val="20"/>
          <w:szCs w:val="20"/>
          <w:lang w:val="en-GB"/>
          <w14:ligatures w14:val="standardContextual"/>
        </w:rPr>
        <w:t>000 Genome Project); correlation with the phenotype (human phenotype ontology HP:0001251 [term name:ataxia]); and functional impact (SIFT, Polyphen2, Mutation assessor, FATHMM and UMD-Predictor).</w:t>
      </w:r>
      <w:r w:rsidRPr="00DA2435">
        <w:rPr>
          <w:rFonts w:ascii="Open Sans" w:hAnsi="Open Sans" w:cs="Open Sans"/>
          <w:sz w:val="20"/>
          <w:szCs w:val="20"/>
          <w:lang w:val="en-GB"/>
        </w:rPr>
        <w:t xml:space="preserve"> Sanger sequencing was used to confirm variants identified by WES and for segregation analysis.</w:t>
      </w:r>
    </w:p>
    <w:p w14:paraId="0C7C1666" w14:textId="77777777" w:rsidR="00E508C3" w:rsidRPr="00DA2435" w:rsidRDefault="00E508C3" w:rsidP="00F34627">
      <w:pPr>
        <w:widowControl/>
        <w:autoSpaceDE/>
        <w:autoSpaceDN/>
        <w:spacing w:after="160" w:line="360" w:lineRule="auto"/>
        <w:rPr>
          <w:rFonts w:ascii="Open Sans" w:hAnsi="Open Sans" w:cs="Open Sans"/>
          <w:sz w:val="20"/>
          <w:szCs w:val="20"/>
          <w:lang w:val="en-GB"/>
        </w:rPr>
      </w:pPr>
    </w:p>
    <w:p w14:paraId="3525DC81" w14:textId="65DC0C44" w:rsidR="00384384" w:rsidRPr="00F34627" w:rsidRDefault="00384384" w:rsidP="00F34627">
      <w:pPr>
        <w:widowControl/>
        <w:autoSpaceDE/>
        <w:autoSpaceDN/>
        <w:spacing w:after="160" w:line="360" w:lineRule="auto"/>
        <w:rPr>
          <w:rFonts w:ascii="Open Sans" w:hAnsi="Open Sans" w:cs="Open Sans"/>
          <w:b/>
          <w:bCs/>
          <w:sz w:val="20"/>
          <w:szCs w:val="20"/>
          <w:lang w:val="en-GB"/>
        </w:rPr>
      </w:pPr>
      <w:r w:rsidRPr="00F34627">
        <w:rPr>
          <w:rFonts w:ascii="Open Sans" w:hAnsi="Open Sans" w:cs="Open Sans"/>
          <w:b/>
          <w:bCs/>
          <w:sz w:val="20"/>
          <w:szCs w:val="20"/>
          <w:lang w:val="en-GB"/>
        </w:rPr>
        <w:t>References</w:t>
      </w:r>
    </w:p>
    <w:p w14:paraId="41E225F2" w14:textId="77777777" w:rsidR="005C5846" w:rsidRPr="00DA2435" w:rsidRDefault="00E508C3" w:rsidP="00F34627">
      <w:pPr>
        <w:pStyle w:val="EndNoteBibliography"/>
        <w:spacing w:line="360" w:lineRule="auto"/>
        <w:rPr>
          <w:rFonts w:ascii="Open Sans" w:hAnsi="Open Sans" w:cs="Open Sans"/>
          <w:sz w:val="20"/>
          <w:szCs w:val="20"/>
        </w:rPr>
      </w:pPr>
      <w:r w:rsidRPr="00DA2435">
        <w:rPr>
          <w:rFonts w:ascii="Open Sans" w:hAnsi="Open Sans" w:cs="Open Sans"/>
          <w:iCs/>
          <w:sz w:val="20"/>
          <w:szCs w:val="20"/>
          <w:lang w:val="en-GB"/>
        </w:rPr>
        <w:fldChar w:fldCharType="begin"/>
      </w:r>
      <w:r w:rsidRPr="00DA2435">
        <w:rPr>
          <w:rFonts w:ascii="Open Sans" w:hAnsi="Open Sans" w:cs="Open Sans"/>
          <w:iCs/>
          <w:sz w:val="20"/>
          <w:szCs w:val="20"/>
          <w:lang w:val="en-GB"/>
        </w:rPr>
        <w:instrText xml:space="preserve"> ADDIN EN.REFLIST </w:instrText>
      </w:r>
      <w:r w:rsidRPr="00DA2435">
        <w:rPr>
          <w:rFonts w:ascii="Open Sans" w:hAnsi="Open Sans" w:cs="Open Sans"/>
          <w:iCs/>
          <w:sz w:val="20"/>
          <w:szCs w:val="20"/>
          <w:lang w:val="en-GB"/>
        </w:rPr>
        <w:fldChar w:fldCharType="separate"/>
      </w:r>
      <w:bookmarkStart w:id="1" w:name="_ENREF_1"/>
      <w:r w:rsidR="005C5846" w:rsidRPr="00DA2435">
        <w:rPr>
          <w:rFonts w:ascii="Open Sans" w:hAnsi="Open Sans" w:cs="Open Sans"/>
          <w:sz w:val="20"/>
          <w:szCs w:val="20"/>
        </w:rPr>
        <w:t>1.</w:t>
      </w:r>
      <w:r w:rsidR="005C5846" w:rsidRPr="00DA2435">
        <w:rPr>
          <w:rFonts w:ascii="Open Sans" w:hAnsi="Open Sans" w:cs="Open Sans"/>
          <w:sz w:val="20"/>
          <w:szCs w:val="20"/>
        </w:rPr>
        <w:tab/>
        <w:t>Group WHOMGRS. WHO Motor Development Study: windows of achievement for six gross motor development milestones. Acta Paediatr Suppl 2006;450:86-95.</w:t>
      </w:r>
      <w:bookmarkEnd w:id="1"/>
    </w:p>
    <w:p w14:paraId="6B1777CA" w14:textId="7F26C7C6" w:rsidR="005C5846" w:rsidRPr="00DA2435" w:rsidRDefault="005C5846" w:rsidP="00F34627">
      <w:pPr>
        <w:pStyle w:val="EndNoteBibliography"/>
        <w:spacing w:line="360" w:lineRule="auto"/>
        <w:rPr>
          <w:rFonts w:ascii="Open Sans" w:hAnsi="Open Sans" w:cs="Open Sans"/>
          <w:sz w:val="20"/>
          <w:szCs w:val="20"/>
        </w:rPr>
      </w:pPr>
      <w:bookmarkStart w:id="2" w:name="_ENREF_2"/>
      <w:r w:rsidRPr="00DA2435">
        <w:rPr>
          <w:rFonts w:ascii="Open Sans" w:hAnsi="Open Sans" w:cs="Open Sans"/>
          <w:sz w:val="20"/>
          <w:szCs w:val="20"/>
        </w:rPr>
        <w:t>2.</w:t>
      </w:r>
      <w:r w:rsidRPr="00DA2435">
        <w:rPr>
          <w:rFonts w:ascii="Open Sans" w:hAnsi="Open Sans" w:cs="Open Sans"/>
          <w:sz w:val="20"/>
          <w:szCs w:val="20"/>
        </w:rPr>
        <w:tab/>
        <w:t xml:space="preserve">American Psychiatric Association. (2013). Diagnostic and statistical manual of mental disorders (5th ed.). </w:t>
      </w:r>
      <w:hyperlink r:id="rId6" w:history="1">
        <w:r w:rsidRPr="00DA2435">
          <w:rPr>
            <w:rStyle w:val="Hiperligao"/>
            <w:rFonts w:ascii="Open Sans" w:hAnsi="Open Sans" w:cs="Open Sans"/>
            <w:sz w:val="20"/>
            <w:szCs w:val="20"/>
          </w:rPr>
          <w:t>https://doi.org/10.1176/appi.books.9780890425596</w:t>
        </w:r>
      </w:hyperlink>
      <w:r w:rsidRPr="00DA2435">
        <w:rPr>
          <w:rFonts w:ascii="Open Sans" w:hAnsi="Open Sans" w:cs="Open Sans"/>
          <w:sz w:val="20"/>
          <w:szCs w:val="20"/>
        </w:rPr>
        <w:t>.</w:t>
      </w:r>
      <w:bookmarkEnd w:id="2"/>
    </w:p>
    <w:p w14:paraId="35865175" w14:textId="139C37DB" w:rsidR="00667385" w:rsidRPr="00DA2435" w:rsidRDefault="00E508C3" w:rsidP="00F34627">
      <w:pPr>
        <w:widowControl/>
        <w:autoSpaceDE/>
        <w:autoSpaceDN/>
        <w:spacing w:after="160" w:line="360" w:lineRule="auto"/>
        <w:rPr>
          <w:rFonts w:ascii="Open Sans" w:hAnsi="Open Sans" w:cs="Open Sans"/>
          <w:iCs/>
          <w:sz w:val="20"/>
          <w:szCs w:val="20"/>
          <w:lang w:val="en-GB"/>
        </w:rPr>
      </w:pPr>
      <w:r w:rsidRPr="00DA2435">
        <w:rPr>
          <w:rFonts w:ascii="Open Sans" w:hAnsi="Open Sans" w:cs="Open Sans"/>
          <w:iCs/>
          <w:sz w:val="20"/>
          <w:szCs w:val="20"/>
          <w:lang w:val="en-GB"/>
        </w:rPr>
        <w:fldChar w:fldCharType="end"/>
      </w:r>
    </w:p>
    <w:sectPr w:rsidR="00667385" w:rsidRPr="00DA2435">
      <w:footerReference w:type="even"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19DD" w14:textId="77777777" w:rsidR="00AE3451" w:rsidRDefault="00AE3451" w:rsidP="002C180D">
      <w:r>
        <w:separator/>
      </w:r>
    </w:p>
  </w:endnote>
  <w:endnote w:type="continuationSeparator" w:id="0">
    <w:p w14:paraId="286CDAF4" w14:textId="77777777" w:rsidR="00AE3451" w:rsidRDefault="00AE3451" w:rsidP="002C1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21963589"/>
      <w:docPartObj>
        <w:docPartGallery w:val="Page Numbers (Bottom of Page)"/>
        <w:docPartUnique/>
      </w:docPartObj>
    </w:sdtPr>
    <w:sdtContent>
      <w:p w14:paraId="7F9268A7" w14:textId="766B6849" w:rsidR="000D5030" w:rsidRDefault="000D5030" w:rsidP="00CE43D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A87797">
          <w:rPr>
            <w:rStyle w:val="Nmerodepgina"/>
            <w:noProof/>
          </w:rPr>
          <w:t>1</w:t>
        </w:r>
        <w:r>
          <w:rPr>
            <w:rStyle w:val="Nmerodepgina"/>
          </w:rPr>
          <w:fldChar w:fldCharType="end"/>
        </w:r>
      </w:p>
    </w:sdtContent>
  </w:sdt>
  <w:p w14:paraId="57FC27DF" w14:textId="77777777" w:rsidR="000D5030" w:rsidRDefault="000D5030" w:rsidP="004E181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75067503"/>
      <w:docPartObj>
        <w:docPartGallery w:val="Page Numbers (Bottom of Page)"/>
        <w:docPartUnique/>
      </w:docPartObj>
    </w:sdtPr>
    <w:sdtContent>
      <w:p w14:paraId="49FBEDE4" w14:textId="7C89D204" w:rsidR="000D5030" w:rsidRDefault="000D5030" w:rsidP="00CE43D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noProof/>
          </w:rPr>
          <w:instrText>1</w:instrText>
        </w:r>
        <w:r>
          <w:rPr>
            <w:rStyle w:val="Nmerodepgina"/>
          </w:rPr>
          <w:fldChar w:fldCharType="separate"/>
        </w:r>
        <w:r w:rsidR="004E181F">
          <w:rPr>
            <w:rStyle w:val="Nmerodepgina"/>
            <w:noProof/>
          </w:rPr>
          <w:t>1</w:t>
        </w:r>
        <w:r>
          <w:rPr>
            <w:rStyle w:val="Nmerodepgina"/>
          </w:rPr>
          <w:fldChar w:fldCharType="end"/>
        </w:r>
      </w:p>
    </w:sdtContent>
  </w:sdt>
  <w:p w14:paraId="3249883A" w14:textId="77777777" w:rsidR="000D5030" w:rsidRDefault="000D5030" w:rsidP="004E181F">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2A42A" w14:textId="77777777" w:rsidR="00AE3451" w:rsidRDefault="00AE3451" w:rsidP="002C180D">
      <w:r>
        <w:separator/>
      </w:r>
    </w:p>
  </w:footnote>
  <w:footnote w:type="continuationSeparator" w:id="0">
    <w:p w14:paraId="428EA18B" w14:textId="77777777" w:rsidR="00AE3451" w:rsidRDefault="00AE3451" w:rsidP="002C18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ur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szd2edzmertvzedx0mp0s9wtpd9sd90pv2w&quot;&gt;New library&lt;record-ids&gt;&lt;item&gt;52&lt;/item&gt;&lt;item&gt;61&lt;/item&gt;&lt;/record-ids&gt;&lt;/item&gt;&lt;/Libraries&gt;"/>
  </w:docVars>
  <w:rsids>
    <w:rsidRoot w:val="00B42E49"/>
    <w:rsid w:val="00005312"/>
    <w:rsid w:val="000554C6"/>
    <w:rsid w:val="000877E3"/>
    <w:rsid w:val="000A520E"/>
    <w:rsid w:val="000C36C9"/>
    <w:rsid w:val="000C3F36"/>
    <w:rsid w:val="000D5030"/>
    <w:rsid w:val="000E4988"/>
    <w:rsid w:val="00135CA7"/>
    <w:rsid w:val="001525B7"/>
    <w:rsid w:val="00155795"/>
    <w:rsid w:val="00162559"/>
    <w:rsid w:val="001A279D"/>
    <w:rsid w:val="00221C36"/>
    <w:rsid w:val="00247559"/>
    <w:rsid w:val="00272B59"/>
    <w:rsid w:val="002959EE"/>
    <w:rsid w:val="002C180D"/>
    <w:rsid w:val="002E4870"/>
    <w:rsid w:val="002F0FC9"/>
    <w:rsid w:val="002F2A12"/>
    <w:rsid w:val="002F4098"/>
    <w:rsid w:val="002F6106"/>
    <w:rsid w:val="003318D2"/>
    <w:rsid w:val="003412D7"/>
    <w:rsid w:val="00363D42"/>
    <w:rsid w:val="00363DE7"/>
    <w:rsid w:val="00384384"/>
    <w:rsid w:val="003A7E13"/>
    <w:rsid w:val="003B7B10"/>
    <w:rsid w:val="00417098"/>
    <w:rsid w:val="00433087"/>
    <w:rsid w:val="00480B8D"/>
    <w:rsid w:val="00482174"/>
    <w:rsid w:val="004833B2"/>
    <w:rsid w:val="004842C4"/>
    <w:rsid w:val="004A1A7F"/>
    <w:rsid w:val="004A6119"/>
    <w:rsid w:val="004E181F"/>
    <w:rsid w:val="004F5EAB"/>
    <w:rsid w:val="005712DB"/>
    <w:rsid w:val="005814B4"/>
    <w:rsid w:val="0058629A"/>
    <w:rsid w:val="005C1813"/>
    <w:rsid w:val="005C2893"/>
    <w:rsid w:val="005C5846"/>
    <w:rsid w:val="005C6DA1"/>
    <w:rsid w:val="005E0F18"/>
    <w:rsid w:val="006004DD"/>
    <w:rsid w:val="00620734"/>
    <w:rsid w:val="006343A3"/>
    <w:rsid w:val="006405A7"/>
    <w:rsid w:val="0064712A"/>
    <w:rsid w:val="00667385"/>
    <w:rsid w:val="00676CAA"/>
    <w:rsid w:val="00696ABB"/>
    <w:rsid w:val="006A1E06"/>
    <w:rsid w:val="006D1E30"/>
    <w:rsid w:val="0074553F"/>
    <w:rsid w:val="00752687"/>
    <w:rsid w:val="00776E3A"/>
    <w:rsid w:val="007A1B19"/>
    <w:rsid w:val="007F0888"/>
    <w:rsid w:val="007F1DB5"/>
    <w:rsid w:val="007F6BD2"/>
    <w:rsid w:val="00800D47"/>
    <w:rsid w:val="00826929"/>
    <w:rsid w:val="008349A3"/>
    <w:rsid w:val="00862341"/>
    <w:rsid w:val="00876DBC"/>
    <w:rsid w:val="00895078"/>
    <w:rsid w:val="008A2F64"/>
    <w:rsid w:val="008B18F4"/>
    <w:rsid w:val="008D6A34"/>
    <w:rsid w:val="009121D9"/>
    <w:rsid w:val="00974655"/>
    <w:rsid w:val="009916A4"/>
    <w:rsid w:val="00996496"/>
    <w:rsid w:val="009F3089"/>
    <w:rsid w:val="00A22661"/>
    <w:rsid w:val="00A32474"/>
    <w:rsid w:val="00A64879"/>
    <w:rsid w:val="00A87797"/>
    <w:rsid w:val="00AA42FE"/>
    <w:rsid w:val="00AE3451"/>
    <w:rsid w:val="00AE3BCB"/>
    <w:rsid w:val="00B26329"/>
    <w:rsid w:val="00B42E49"/>
    <w:rsid w:val="00B4704E"/>
    <w:rsid w:val="00B52347"/>
    <w:rsid w:val="00B56219"/>
    <w:rsid w:val="00B810F6"/>
    <w:rsid w:val="00BA318F"/>
    <w:rsid w:val="00BB777B"/>
    <w:rsid w:val="00C4647B"/>
    <w:rsid w:val="00C9703E"/>
    <w:rsid w:val="00CB0C6F"/>
    <w:rsid w:val="00CF157D"/>
    <w:rsid w:val="00D43774"/>
    <w:rsid w:val="00D51CC0"/>
    <w:rsid w:val="00DA2435"/>
    <w:rsid w:val="00DD7863"/>
    <w:rsid w:val="00E023F1"/>
    <w:rsid w:val="00E10CEA"/>
    <w:rsid w:val="00E508C3"/>
    <w:rsid w:val="00E543D0"/>
    <w:rsid w:val="00E63C83"/>
    <w:rsid w:val="00E70496"/>
    <w:rsid w:val="00E71002"/>
    <w:rsid w:val="00E7768E"/>
    <w:rsid w:val="00E851E5"/>
    <w:rsid w:val="00EB6BA9"/>
    <w:rsid w:val="00F00A94"/>
    <w:rsid w:val="00F06932"/>
    <w:rsid w:val="00F34627"/>
    <w:rsid w:val="00F5468A"/>
    <w:rsid w:val="00F657D1"/>
    <w:rsid w:val="00F7202D"/>
    <w:rsid w:val="00FC4BC4"/>
    <w:rsid w:val="00FE5DB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B0C9E"/>
  <w15:docId w15:val="{9CC9EE27-F45D-4B7D-8C3E-79336434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Arial"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18D2"/>
    <w:rPr>
      <w:rFonts w:ascii="Arial" w:hAnsi="Arial" w:cs="Arial"/>
    </w:rPr>
  </w:style>
  <w:style w:type="paragraph" w:styleId="Ttulo1">
    <w:name w:val="heading 1"/>
    <w:basedOn w:val="Normal"/>
    <w:link w:val="Ttulo1Carter"/>
    <w:uiPriority w:val="1"/>
    <w:qFormat/>
    <w:rsid w:val="003318D2"/>
    <w:pPr>
      <w:ind w:left="683"/>
      <w:jc w:val="both"/>
      <w:outlineLvl w:val="0"/>
    </w:pPr>
    <w:rPr>
      <w:b/>
      <w:bCs/>
      <w:sz w:val="14"/>
      <w:szCs w:val="14"/>
    </w:rPr>
  </w:style>
  <w:style w:type="paragraph" w:styleId="Ttulo3">
    <w:name w:val="heading 3"/>
    <w:basedOn w:val="Normal"/>
    <w:next w:val="Normal"/>
    <w:link w:val="Ttulo3Carter"/>
    <w:uiPriority w:val="9"/>
    <w:semiHidden/>
    <w:unhideWhenUsed/>
    <w:qFormat/>
    <w:rsid w:val="00CF157D"/>
    <w:pPr>
      <w:keepNext/>
      <w:keepLines/>
      <w:spacing w:before="200"/>
      <w:outlineLvl w:val="2"/>
    </w:pPr>
    <w:rPr>
      <w:rFonts w:asciiTheme="majorHAnsi" w:eastAsiaTheme="majorEastAsia" w:hAnsiTheme="majorHAnsi" w:cstheme="majorBidi"/>
      <w:b/>
      <w:bCs/>
      <w:color w:val="4F81BD" w:themeColor="accent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1"/>
    <w:rsid w:val="00C4647B"/>
    <w:rPr>
      <w:rFonts w:ascii="Arial" w:eastAsia="Arial" w:hAnsi="Arial" w:cs="Arial"/>
      <w:b/>
      <w:bCs/>
      <w:sz w:val="14"/>
      <w:szCs w:val="14"/>
    </w:rPr>
  </w:style>
  <w:style w:type="paragraph" w:styleId="Cabealhodondice">
    <w:name w:val="TOC Heading"/>
    <w:basedOn w:val="Ttulo1"/>
    <w:next w:val="Normal"/>
    <w:uiPriority w:val="39"/>
    <w:semiHidden/>
    <w:unhideWhenUsed/>
    <w:qFormat/>
    <w:rsid w:val="00C4647B"/>
    <w:pPr>
      <w:keepNext/>
      <w:keepLines/>
      <w:spacing w:before="480"/>
      <w:ind w:left="0"/>
      <w:jc w:val="left"/>
      <w:outlineLvl w:val="9"/>
    </w:pPr>
    <w:rPr>
      <w:rFonts w:asciiTheme="majorHAnsi" w:eastAsiaTheme="majorEastAsia" w:hAnsiTheme="majorHAnsi" w:cstheme="majorBidi"/>
      <w:color w:val="365F91" w:themeColor="accent1" w:themeShade="BF"/>
      <w:sz w:val="28"/>
      <w:szCs w:val="28"/>
    </w:rPr>
  </w:style>
  <w:style w:type="paragraph" w:styleId="Subttulo">
    <w:name w:val="Subtitle"/>
    <w:basedOn w:val="Normal"/>
    <w:next w:val="Normal"/>
    <w:link w:val="SubttuloCarter"/>
    <w:uiPriority w:val="11"/>
    <w:qFormat/>
    <w:rsid w:val="0086234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862341"/>
    <w:rPr>
      <w:rFonts w:asciiTheme="majorHAnsi" w:eastAsiaTheme="majorEastAsia" w:hAnsiTheme="majorHAnsi" w:cstheme="majorBidi"/>
      <w:i/>
      <w:iCs/>
      <w:color w:val="4F81BD" w:themeColor="accent1"/>
      <w:spacing w:val="15"/>
      <w:sz w:val="24"/>
      <w:szCs w:val="24"/>
    </w:rPr>
  </w:style>
  <w:style w:type="paragraph" w:customStyle="1" w:styleId="TableParagraph">
    <w:name w:val="Table Paragraph"/>
    <w:basedOn w:val="Normal"/>
    <w:uiPriority w:val="1"/>
    <w:qFormat/>
    <w:rsid w:val="003318D2"/>
    <w:pPr>
      <w:spacing w:before="56"/>
      <w:ind w:left="172"/>
    </w:pPr>
  </w:style>
  <w:style w:type="paragraph" w:styleId="Corpodetexto">
    <w:name w:val="Body Text"/>
    <w:basedOn w:val="Normal"/>
    <w:link w:val="CorpodetextoCarter"/>
    <w:uiPriority w:val="1"/>
    <w:qFormat/>
    <w:rsid w:val="003318D2"/>
    <w:rPr>
      <w:sz w:val="14"/>
      <w:szCs w:val="14"/>
    </w:rPr>
  </w:style>
  <w:style w:type="character" w:customStyle="1" w:styleId="CorpodetextoCarter">
    <w:name w:val="Corpo de texto Caráter"/>
    <w:basedOn w:val="Tipodeletrapredefinidodopargrafo"/>
    <w:link w:val="Corpodetexto"/>
    <w:uiPriority w:val="1"/>
    <w:rsid w:val="003318D2"/>
    <w:rPr>
      <w:rFonts w:ascii="Arial" w:eastAsia="Arial" w:hAnsi="Arial" w:cs="Arial"/>
      <w:sz w:val="14"/>
      <w:szCs w:val="14"/>
    </w:rPr>
  </w:style>
  <w:style w:type="paragraph" w:styleId="PargrafodaLista">
    <w:name w:val="List Paragraph"/>
    <w:basedOn w:val="Normal"/>
    <w:uiPriority w:val="1"/>
    <w:qFormat/>
    <w:rsid w:val="003318D2"/>
    <w:pPr>
      <w:ind w:left="836" w:hanging="153"/>
    </w:pPr>
  </w:style>
  <w:style w:type="paragraph" w:styleId="Textodebalo">
    <w:name w:val="Balloon Text"/>
    <w:basedOn w:val="Normal"/>
    <w:link w:val="TextodebaloCarter"/>
    <w:uiPriority w:val="99"/>
    <w:semiHidden/>
    <w:unhideWhenUsed/>
    <w:rsid w:val="007F1DB5"/>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7F1DB5"/>
    <w:rPr>
      <w:rFonts w:ascii="Segoe UI" w:hAnsi="Segoe UI" w:cs="Segoe UI"/>
      <w:sz w:val="18"/>
      <w:szCs w:val="18"/>
    </w:rPr>
  </w:style>
  <w:style w:type="table" w:styleId="TabelacomGrelha">
    <w:name w:val="Table Grid"/>
    <w:basedOn w:val="Tabelanormal"/>
    <w:uiPriority w:val="59"/>
    <w:rsid w:val="002C1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2C180D"/>
    <w:pPr>
      <w:tabs>
        <w:tab w:val="center" w:pos="4252"/>
        <w:tab w:val="right" w:pos="8504"/>
      </w:tabs>
    </w:pPr>
  </w:style>
  <w:style w:type="character" w:customStyle="1" w:styleId="CabealhoCarter">
    <w:name w:val="Cabeçalho Caráter"/>
    <w:basedOn w:val="Tipodeletrapredefinidodopargrafo"/>
    <w:link w:val="Cabealho"/>
    <w:uiPriority w:val="99"/>
    <w:rsid w:val="002C180D"/>
    <w:rPr>
      <w:rFonts w:ascii="Arial" w:hAnsi="Arial" w:cs="Arial"/>
    </w:rPr>
  </w:style>
  <w:style w:type="paragraph" w:styleId="Rodap">
    <w:name w:val="footer"/>
    <w:basedOn w:val="Normal"/>
    <w:link w:val="RodapCarter"/>
    <w:uiPriority w:val="99"/>
    <w:unhideWhenUsed/>
    <w:rsid w:val="002C180D"/>
    <w:pPr>
      <w:tabs>
        <w:tab w:val="center" w:pos="4252"/>
        <w:tab w:val="right" w:pos="8504"/>
      </w:tabs>
    </w:pPr>
  </w:style>
  <w:style w:type="character" w:customStyle="1" w:styleId="RodapCarter">
    <w:name w:val="Rodapé Caráter"/>
    <w:basedOn w:val="Tipodeletrapredefinidodopargrafo"/>
    <w:link w:val="Rodap"/>
    <w:uiPriority w:val="99"/>
    <w:rsid w:val="002C180D"/>
    <w:rPr>
      <w:rFonts w:ascii="Arial" w:hAnsi="Arial" w:cs="Arial"/>
    </w:rPr>
  </w:style>
  <w:style w:type="character" w:customStyle="1" w:styleId="Ttulo3Carter">
    <w:name w:val="Título 3 Caráter"/>
    <w:basedOn w:val="Tipodeletrapredefinidodopargrafo"/>
    <w:link w:val="Ttulo3"/>
    <w:uiPriority w:val="9"/>
    <w:semiHidden/>
    <w:rsid w:val="00CF157D"/>
    <w:rPr>
      <w:rFonts w:asciiTheme="majorHAnsi" w:eastAsiaTheme="majorEastAsia" w:hAnsiTheme="majorHAnsi" w:cstheme="majorBidi"/>
      <w:b/>
      <w:bCs/>
      <w:color w:val="4F81BD" w:themeColor="accent1"/>
    </w:rPr>
  </w:style>
  <w:style w:type="character" w:styleId="Hiperligao">
    <w:name w:val="Hyperlink"/>
    <w:basedOn w:val="Tipodeletrapredefinidodopargrafo"/>
    <w:uiPriority w:val="99"/>
    <w:unhideWhenUsed/>
    <w:rsid w:val="00CF157D"/>
    <w:rPr>
      <w:color w:val="0000FF" w:themeColor="hyperlink"/>
      <w:u w:val="single"/>
    </w:rPr>
  </w:style>
  <w:style w:type="character" w:styleId="Refdecomentrio">
    <w:name w:val="annotation reference"/>
    <w:basedOn w:val="Tipodeletrapredefinidodopargrafo"/>
    <w:uiPriority w:val="99"/>
    <w:semiHidden/>
    <w:unhideWhenUsed/>
    <w:rsid w:val="00B4704E"/>
    <w:rPr>
      <w:sz w:val="16"/>
      <w:szCs w:val="16"/>
    </w:rPr>
  </w:style>
  <w:style w:type="paragraph" w:styleId="Textodecomentrio">
    <w:name w:val="annotation text"/>
    <w:basedOn w:val="Normal"/>
    <w:link w:val="TextodecomentrioCarter"/>
    <w:uiPriority w:val="99"/>
    <w:unhideWhenUsed/>
    <w:rsid w:val="00B4704E"/>
    <w:rPr>
      <w:sz w:val="20"/>
      <w:szCs w:val="20"/>
    </w:rPr>
  </w:style>
  <w:style w:type="character" w:customStyle="1" w:styleId="TextodecomentrioCarter">
    <w:name w:val="Texto de comentário Caráter"/>
    <w:basedOn w:val="Tipodeletrapredefinidodopargrafo"/>
    <w:link w:val="Textodecomentrio"/>
    <w:uiPriority w:val="99"/>
    <w:rsid w:val="00B4704E"/>
    <w:rPr>
      <w:rFonts w:ascii="Arial" w:hAnsi="Arial" w:cs="Arial"/>
      <w:sz w:val="20"/>
      <w:szCs w:val="20"/>
    </w:rPr>
  </w:style>
  <w:style w:type="paragraph" w:styleId="Assuntodecomentrio">
    <w:name w:val="annotation subject"/>
    <w:basedOn w:val="Textodecomentrio"/>
    <w:next w:val="Textodecomentrio"/>
    <w:link w:val="AssuntodecomentrioCarter"/>
    <w:uiPriority w:val="99"/>
    <w:semiHidden/>
    <w:unhideWhenUsed/>
    <w:rsid w:val="00B4704E"/>
    <w:rPr>
      <w:b/>
      <w:bCs/>
    </w:rPr>
  </w:style>
  <w:style w:type="character" w:customStyle="1" w:styleId="AssuntodecomentrioCarter">
    <w:name w:val="Assunto de comentário Caráter"/>
    <w:basedOn w:val="TextodecomentrioCarter"/>
    <w:link w:val="Assuntodecomentrio"/>
    <w:uiPriority w:val="99"/>
    <w:semiHidden/>
    <w:rsid w:val="00B4704E"/>
    <w:rPr>
      <w:rFonts w:ascii="Arial" w:hAnsi="Arial" w:cs="Arial"/>
      <w:b/>
      <w:bCs/>
      <w:sz w:val="20"/>
      <w:szCs w:val="20"/>
    </w:rPr>
  </w:style>
  <w:style w:type="paragraph" w:styleId="Reviso">
    <w:name w:val="Revision"/>
    <w:hidden/>
    <w:uiPriority w:val="99"/>
    <w:semiHidden/>
    <w:rsid w:val="00135CA7"/>
    <w:pPr>
      <w:widowControl/>
      <w:autoSpaceDE/>
      <w:autoSpaceDN/>
    </w:pPr>
    <w:rPr>
      <w:rFonts w:ascii="Arial" w:hAnsi="Arial" w:cs="Arial"/>
    </w:rPr>
  </w:style>
  <w:style w:type="character" w:styleId="Nmerodepgina">
    <w:name w:val="page number"/>
    <w:basedOn w:val="Tipodeletrapredefinidodopargrafo"/>
    <w:uiPriority w:val="99"/>
    <w:semiHidden/>
    <w:unhideWhenUsed/>
    <w:rsid w:val="000D5030"/>
  </w:style>
  <w:style w:type="character" w:customStyle="1" w:styleId="cf01">
    <w:name w:val="cf01"/>
    <w:basedOn w:val="Tipodeletrapredefinidodopargrafo"/>
    <w:rsid w:val="0074553F"/>
    <w:rPr>
      <w:rFonts w:ascii="Segoe UI" w:hAnsi="Segoe UI" w:cs="Segoe UI" w:hint="default"/>
      <w:sz w:val="18"/>
      <w:szCs w:val="18"/>
    </w:rPr>
  </w:style>
  <w:style w:type="paragraph" w:customStyle="1" w:styleId="EndNoteBibliographyTitle">
    <w:name w:val="EndNote Bibliography Title"/>
    <w:basedOn w:val="Normal"/>
    <w:link w:val="EndNoteBibliographyTitleCarter"/>
    <w:rsid w:val="00E508C3"/>
    <w:pPr>
      <w:jc w:val="center"/>
    </w:pPr>
    <w:rPr>
      <w:noProof/>
      <w:lang w:val="en-US"/>
    </w:rPr>
  </w:style>
  <w:style w:type="character" w:customStyle="1" w:styleId="EndNoteBibliographyTitleCarter">
    <w:name w:val="EndNote Bibliography Title Caráter"/>
    <w:basedOn w:val="Tipodeletrapredefinidodopargrafo"/>
    <w:link w:val="EndNoteBibliographyTitle"/>
    <w:rsid w:val="00E508C3"/>
    <w:rPr>
      <w:rFonts w:ascii="Arial" w:hAnsi="Arial" w:cs="Arial"/>
      <w:noProof/>
      <w:lang w:val="en-US"/>
    </w:rPr>
  </w:style>
  <w:style w:type="paragraph" w:customStyle="1" w:styleId="EndNoteBibliography">
    <w:name w:val="EndNote Bibliography"/>
    <w:basedOn w:val="Normal"/>
    <w:link w:val="EndNoteBibliographyCarter"/>
    <w:rsid w:val="00E508C3"/>
    <w:rPr>
      <w:noProof/>
      <w:lang w:val="en-US"/>
    </w:rPr>
  </w:style>
  <w:style w:type="character" w:customStyle="1" w:styleId="EndNoteBibliographyCarter">
    <w:name w:val="EndNote Bibliography Caráter"/>
    <w:basedOn w:val="Tipodeletrapredefinidodopargrafo"/>
    <w:link w:val="EndNoteBibliography"/>
    <w:rsid w:val="00E508C3"/>
    <w:rPr>
      <w:rFonts w:ascii="Arial" w:hAnsi="Arial" w:cs="Arial"/>
      <w:noProof/>
      <w:lang w:val="en-US"/>
    </w:rPr>
  </w:style>
  <w:style w:type="character" w:styleId="MenoNoResolvida">
    <w:name w:val="Unresolved Mention"/>
    <w:basedOn w:val="Tipodeletrapredefinidodopargrafo"/>
    <w:uiPriority w:val="99"/>
    <w:semiHidden/>
    <w:unhideWhenUsed/>
    <w:rsid w:val="00E50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76/appi.books.9780890425596"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Pages>
  <Words>3169</Words>
  <Characters>17113</Characters>
  <Application>Microsoft Office Word</Application>
  <DocSecurity>0</DocSecurity>
  <Lines>142</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 Damásio</dc:creator>
  <cp:lastModifiedBy>Joana</cp:lastModifiedBy>
  <cp:revision>46</cp:revision>
  <dcterms:created xsi:type="dcterms:W3CDTF">2023-05-20T15:42:00Z</dcterms:created>
  <dcterms:modified xsi:type="dcterms:W3CDTF">2024-03-02T17:23:00Z</dcterms:modified>
</cp:coreProperties>
</file>