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B95" w14:textId="77777777" w:rsidR="00970E30" w:rsidRPr="00573172" w:rsidRDefault="00970E30" w:rsidP="00970E30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16"/>
          <w:szCs w:val="16"/>
        </w:rPr>
      </w:pPr>
      <w:r w:rsidRPr="00573172">
        <w:rPr>
          <w:rFonts w:asciiTheme="majorBidi" w:hAnsiTheme="majorBidi" w:cstheme="majorBidi"/>
          <w:b/>
          <w:bCs/>
          <w:sz w:val="16"/>
          <w:szCs w:val="16"/>
        </w:rPr>
        <w:t>Table1: Component of the World Health Organization (WHO) Measles Programmatic Assessment Tool</w:t>
      </w:r>
    </w:p>
    <w:tbl>
      <w:tblPr>
        <w:tblStyle w:val="TableGrid"/>
        <w:tblW w:w="9162" w:type="dxa"/>
        <w:tblLook w:val="04A0" w:firstRow="1" w:lastRow="0" w:firstColumn="1" w:lastColumn="0" w:noHBand="0" w:noVBand="1"/>
      </w:tblPr>
      <w:tblGrid>
        <w:gridCol w:w="1771"/>
        <w:gridCol w:w="1768"/>
        <w:gridCol w:w="894"/>
        <w:gridCol w:w="1545"/>
        <w:gridCol w:w="1524"/>
        <w:gridCol w:w="1660"/>
      </w:tblGrid>
      <w:tr w:rsidR="00970E30" w14:paraId="1C5229C2" w14:textId="77777777" w:rsidTr="007461F5">
        <w:tc>
          <w:tcPr>
            <w:tcW w:w="9162" w:type="dxa"/>
            <w:gridSpan w:val="6"/>
          </w:tcPr>
          <w:p w14:paraId="7B2DA9BD" w14:textId="77777777" w:rsidR="00970E30" w:rsidRPr="0086495E" w:rsidRDefault="00970E30" w:rsidP="007461F5">
            <w:pPr>
              <w:shd w:val="clear" w:color="auto" w:fill="FFFFFF" w:themeFill="background1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6495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World Health Organization Measles Programmatic Risk Assessment Tool</w:t>
            </w:r>
          </w:p>
          <w:p w14:paraId="21D5A61B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70E30" w14:paraId="605BDF11" w14:textId="77777777" w:rsidTr="007461F5">
        <w:tc>
          <w:tcPr>
            <w:tcW w:w="1771" w:type="dxa"/>
            <w:vMerge w:val="restart"/>
            <w:shd w:val="clear" w:color="auto" w:fill="FFFFFF" w:themeFill="background1"/>
          </w:tcPr>
          <w:p w14:paraId="1718CA0D" w14:textId="77777777" w:rsidR="00970E30" w:rsidRPr="00717FFA" w:rsidRDefault="00970E30" w:rsidP="007461F5">
            <w:pPr>
              <w:bidi w:val="0"/>
              <w:spacing w:line="36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          </w:t>
            </w:r>
          </w:p>
          <w:p w14:paraId="2D0C0EA5" w14:textId="77777777" w:rsidR="00970E30" w:rsidRPr="00717FFA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Pr="00717FF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Population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17FF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immunity</w:t>
            </w:r>
          </w:p>
          <w:p w14:paraId="429A9314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C733E">
              <w:rPr>
                <w:rFonts w:asciiTheme="majorBidi" w:eastAsia="Calibri" w:hAnsiTheme="majorBidi" w:cstheme="majorBidi"/>
                <w:sz w:val="20"/>
                <w:szCs w:val="20"/>
              </w:rPr>
              <w:t>Maximum Risk score</w:t>
            </w:r>
            <w:r w:rsidRPr="00DC733E">
              <w:rPr>
                <w:rFonts w:asciiTheme="majorBidi" w:hAnsiTheme="majorBidi" w:cstheme="majorBidi"/>
                <w:sz w:val="20"/>
                <w:szCs w:val="20"/>
              </w:rPr>
              <w:t xml:space="preserve"> (40) </w:t>
            </w:r>
          </w:p>
        </w:tc>
        <w:tc>
          <w:tcPr>
            <w:tcW w:w="2662" w:type="dxa"/>
            <w:gridSpan w:val="2"/>
            <w:shd w:val="clear" w:color="auto" w:fill="FFFFFF" w:themeFill="background1"/>
          </w:tcPr>
          <w:p w14:paraId="3F093684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Data Source </w:t>
            </w:r>
          </w:p>
        </w:tc>
        <w:tc>
          <w:tcPr>
            <w:tcW w:w="4729" w:type="dxa"/>
            <w:gridSpan w:val="3"/>
            <w:shd w:val="clear" w:color="auto" w:fill="FFFFFF" w:themeFill="background1"/>
          </w:tcPr>
          <w:p w14:paraId="5F7D2E0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Measles case-based surveillance-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EPI</w:t>
            </w:r>
          </w:p>
        </w:tc>
      </w:tr>
      <w:tr w:rsidR="00970E30" w14:paraId="1F77271D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F897A2C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shd w:val="clear" w:color="auto" w:fill="FFFFFF" w:themeFill="background1"/>
          </w:tcPr>
          <w:p w14:paraId="1820D283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Assessment year </w:t>
            </w:r>
          </w:p>
        </w:tc>
        <w:tc>
          <w:tcPr>
            <w:tcW w:w="4729" w:type="dxa"/>
            <w:gridSpan w:val="3"/>
            <w:shd w:val="clear" w:color="auto" w:fill="FFFFFF" w:themeFill="background1"/>
          </w:tcPr>
          <w:p w14:paraId="3E38ADFA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2019</w:t>
            </w:r>
            <w:r w:rsidRPr="00DC733E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2020</w:t>
            </w:r>
            <w:r w:rsidRPr="00DC733E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2021</w:t>
            </w:r>
          </w:p>
        </w:tc>
      </w:tr>
      <w:tr w:rsidR="00970E30" w14:paraId="42A3B620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9244E77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shd w:val="clear" w:color="auto" w:fill="FFFFFF" w:themeFill="background1"/>
          </w:tcPr>
          <w:p w14:paraId="40E2F748" w14:textId="77777777" w:rsidR="00970E30" w:rsidRPr="00102334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023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indicator</w:t>
            </w:r>
          </w:p>
        </w:tc>
        <w:tc>
          <w:tcPr>
            <w:tcW w:w="4729" w:type="dxa"/>
            <w:gridSpan w:val="3"/>
            <w:shd w:val="clear" w:color="auto" w:fill="FFFFFF" w:themeFill="background1"/>
          </w:tcPr>
          <w:p w14:paraId="5E356D01" w14:textId="77777777" w:rsidR="00970E30" w:rsidRPr="00102334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*</w:t>
            </w:r>
            <w:r w:rsidRPr="001023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cut-off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/risk </w:t>
            </w:r>
            <w:r w:rsidRPr="001023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score                    </w:t>
            </w:r>
          </w:p>
        </w:tc>
      </w:tr>
      <w:tr w:rsidR="00970E30" w14:paraId="798D0A95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1D8EBFA5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085AE480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1)MCV1 coverage           </w:t>
            </w:r>
          </w:p>
          <w:p w14:paraId="21FCC7E3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* ≥95%(0); 90-94%( 2); 85-89%( 4) ;80-84% (6 );&lt;80% (8)                                                                 </w:t>
            </w:r>
          </w:p>
        </w:tc>
      </w:tr>
      <w:tr w:rsidR="00970E30" w14:paraId="2B587C17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2DBDC08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3794F9F2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2)Percentage of neighboring districts with &lt;80% MCV1</w:t>
            </w:r>
          </w:p>
          <w:p w14:paraId="694586FD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*&lt;50% ( 0) ;50-74%( 2) ;≥75%4                                                             </w:t>
            </w:r>
          </w:p>
        </w:tc>
      </w:tr>
      <w:tr w:rsidR="00970E30" w14:paraId="4404653D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7C9D5292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3A75B189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3) MCV2 coverage                   </w:t>
            </w:r>
          </w:p>
          <w:p w14:paraId="5028B06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*  ≥95%(0); 90-94%( 2); 85-89%( 4) ;80-84);&lt;80% (8)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970E30" w14:paraId="06DE712F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77ACBEBB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391E0984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4)Measles SIA conducted within the past three                     </w:t>
            </w:r>
          </w:p>
          <w:p w14:paraId="505FD0EA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shd w:val="clear" w:color="auto" w:fill="FFFFFF" w:themeFill="background1"/>
              </w:rPr>
              <w:t>*Yes≥95%( 0); Yes90-94%( 2); Yes85-89% (4 )Yes/</w:t>
            </w:r>
            <w:r w:rsidRPr="00DC733E">
              <w:rPr>
                <w:rFonts w:asciiTheme="majorBidi" w:eastAsia="Calibri" w:hAnsiTheme="majorBidi" w:cstheme="majorBidi"/>
                <w:sz w:val="20"/>
                <w:szCs w:val="20"/>
                <w:shd w:val="clear" w:color="auto" w:fill="FFFFFF" w:themeFill="background1"/>
              </w:rPr>
              <w:t xml:space="preserve"> No Data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shd w:val="clear" w:color="auto" w:fill="FFFFFF" w:themeFill="background1"/>
              </w:rPr>
              <w:t xml:space="preserve"> 80-84% (6); &lt;</w:t>
            </w:r>
            <w:r w:rsidRPr="00DC733E">
              <w:rPr>
                <w:rFonts w:asciiTheme="majorBidi" w:eastAsia="Calibri" w:hAnsiTheme="majorBidi" w:cstheme="majorBidi"/>
                <w:sz w:val="20"/>
                <w:szCs w:val="20"/>
                <w:shd w:val="clear" w:color="auto" w:fill="FFFFFF" w:themeFill="background1"/>
              </w:rPr>
              <w:t xml:space="preserve"> No SIA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shd w:val="clear" w:color="auto" w:fill="FFFFFF" w:themeFill="background1"/>
              </w:rPr>
              <w:t xml:space="preserve"> 80% (8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shd w:val="clear" w:color="auto" w:fill="C1E4F5" w:themeFill="accent1" w:themeFillTint="33"/>
              </w:rPr>
              <w:t>)</w:t>
            </w:r>
          </w:p>
        </w:tc>
      </w:tr>
      <w:tr w:rsidR="00970E30" w14:paraId="07F76243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1EA8D930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4EA0DA5B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5)Target age group of measles                    </w:t>
            </w:r>
          </w:p>
          <w:p w14:paraId="0BE5BFAF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* Wide age group ( 0);</w:t>
            </w:r>
            <w:r w:rsidRPr="00DC733E">
              <w:rPr>
                <w:sz w:val="20"/>
                <w:szCs w:val="20"/>
              </w:rPr>
              <w:t xml:space="preserve"> 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Narrow age group( 2)</w:t>
            </w:r>
          </w:p>
        </w:tc>
      </w:tr>
      <w:tr w:rsidR="00970E30" w14:paraId="2D3E52FB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88154F8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54A58383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6)Years since the last measles SIA               </w:t>
            </w:r>
          </w:p>
          <w:p w14:paraId="6CB31520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 *   &lt;1 year( 0) ;2 years (2); ≥3 years (4)  </w:t>
            </w:r>
          </w:p>
        </w:tc>
      </w:tr>
      <w:tr w:rsidR="00970E30" w14:paraId="0ADBB992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4B021F74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2B7D8ECB" w14:textId="77777777" w:rsidR="00970E30" w:rsidRPr="00DC733E" w:rsidRDefault="00970E30" w:rsidP="007461F5">
            <w:pPr>
              <w:shd w:val="clear" w:color="auto" w:fill="FFFFFF" w:themeFill="background1"/>
              <w:spacing w:line="360" w:lineRule="auto"/>
              <w:jc w:val="right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rtl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  <w:shd w:val="clear" w:color="auto" w:fill="FFFFFF" w:themeFill="background1"/>
              </w:rPr>
              <w:t>7)percent of suspected cases who are unvaccinated or have unknown vaccination status                                        &lt;20%( 0) &gt;20%( 6</w:t>
            </w:r>
            <w:r w:rsidRPr="00DC733E">
              <w:rPr>
                <w:rFonts w:ascii="Times New Roman" w:hAnsi="Times New Roman" w:cs="Times New Roman" w:hint="cs"/>
                <w:color w:val="262626"/>
                <w:kern w:val="0"/>
                <w:sz w:val="20"/>
                <w:szCs w:val="20"/>
                <w:rtl/>
              </w:rPr>
              <w:t>*</w:t>
            </w:r>
          </w:p>
        </w:tc>
      </w:tr>
      <w:tr w:rsidR="00970E30" w14:paraId="7FADFCA2" w14:textId="77777777" w:rsidTr="007461F5">
        <w:tc>
          <w:tcPr>
            <w:tcW w:w="1771" w:type="dxa"/>
            <w:vMerge w:val="restart"/>
            <w:shd w:val="clear" w:color="auto" w:fill="FFFFFF" w:themeFill="background1"/>
          </w:tcPr>
          <w:p w14:paraId="2A6AD5E1" w14:textId="77777777" w:rsidR="00970E30" w:rsidRPr="007359F2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9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Surveillance Quality</w:t>
            </w:r>
          </w:p>
          <w:p w14:paraId="5F9BE949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C733E">
              <w:rPr>
                <w:rFonts w:asciiTheme="majorBidi" w:eastAsia="Calibri" w:hAnsiTheme="majorBidi" w:cstheme="majorBidi"/>
                <w:sz w:val="20"/>
                <w:szCs w:val="20"/>
              </w:rPr>
              <w:t>Maximum Risk score</w:t>
            </w:r>
            <w:r w:rsidRPr="00DC733E">
              <w:rPr>
                <w:rFonts w:asciiTheme="majorBidi" w:hAnsiTheme="majorBidi" w:cstheme="majorBidi"/>
                <w:sz w:val="20"/>
                <w:szCs w:val="20"/>
              </w:rPr>
              <w:t xml:space="preserve"> (20)</w:t>
            </w: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B51797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Data Source:                       Measles case-based surveillance-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EPI</w:t>
            </w:r>
          </w:p>
        </w:tc>
      </w:tr>
      <w:tr w:rsidR="00970E30" w14:paraId="38391962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50C1BF6C" w14:textId="77777777" w:rsidR="00970E30" w:rsidRPr="007359F2" w:rsidRDefault="00970E30" w:rsidP="007461F5">
            <w:pPr>
              <w:bidi w:val="0"/>
              <w:spacing w:line="36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33D973B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Assessment year:               </w:t>
            </w:r>
            <w:r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  2021</w:t>
            </w:r>
          </w:p>
        </w:tc>
      </w:tr>
      <w:tr w:rsidR="00970E30" w14:paraId="29ABAAAB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018F9FA5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DEC24A6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 xml:space="preserve">1) Nonmeasles discarded rate             </w:t>
            </w:r>
          </w:p>
          <w:p w14:paraId="6746FED9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 xml:space="preserve">*≥2 (0) &lt;2 ( 4) &lt;1( 8)                                      </w:t>
            </w:r>
          </w:p>
        </w:tc>
      </w:tr>
      <w:tr w:rsidR="00970E30" w14:paraId="527A40A3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9BF21D0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480EB2C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2)Percent of suspected measles cases with adequate investigation</w:t>
            </w:r>
          </w:p>
          <w:p w14:paraId="10CAE32F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*≥80%( 0 ) &lt;80%( 4)</w:t>
            </w:r>
          </w:p>
        </w:tc>
      </w:tr>
      <w:tr w:rsidR="00970E30" w14:paraId="26C2446D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70EA0C1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4739E966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3)percent of suspected measles cases with adequate specimen collection</w:t>
            </w:r>
          </w:p>
          <w:p w14:paraId="13BBCD5E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 xml:space="preserve">*≥80%( 0) &lt;80%( 4 )                                                       </w:t>
            </w:r>
          </w:p>
        </w:tc>
      </w:tr>
      <w:tr w:rsidR="00970E30" w14:paraId="30CF442E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05C7C2B2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5B84E9E0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 xml:space="preserve">4)Percent of suspected measles cases with    </w:t>
            </w:r>
          </w:p>
          <w:p w14:paraId="150D0D9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 xml:space="preserve">    *≥80%( 0 ) &lt;80%( 4 )                                    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0E30" w14:paraId="73E73AAF" w14:textId="77777777" w:rsidTr="007461F5">
        <w:tc>
          <w:tcPr>
            <w:tcW w:w="1771" w:type="dxa"/>
            <w:vMerge w:val="restart"/>
            <w:shd w:val="clear" w:color="auto" w:fill="FFFFFF" w:themeFill="background1"/>
          </w:tcPr>
          <w:p w14:paraId="1A7768E3" w14:textId="77777777" w:rsidR="00970E30" w:rsidRDefault="00970E30" w:rsidP="007461F5">
            <w:pPr>
              <w:bidi w:val="0"/>
              <w:spacing w:line="36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r w:rsidRPr="00DC733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Program Delivery </w:t>
            </w:r>
            <w:r w:rsidRPr="00DC733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lastRenderedPageBreak/>
              <w:t>Performance</w:t>
            </w:r>
            <w:r w:rsidRPr="00CE460A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 Maximum Risk scor</w:t>
            </w:r>
            <w:r>
              <w:rPr>
                <w:rFonts w:asciiTheme="majorBidi" w:eastAsia="Calibri" w:hAnsiTheme="majorBidi" w:cstheme="majorBidi"/>
                <w:sz w:val="20"/>
                <w:szCs w:val="20"/>
              </w:rPr>
              <w:t>e (16)</w:t>
            </w: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1FF8D93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lastRenderedPageBreak/>
              <w:t>Data Source</w:t>
            </w:r>
            <w:r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:</w:t>
            </w: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                        Measles case-based surveillance-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EPI</w:t>
            </w:r>
          </w:p>
        </w:tc>
      </w:tr>
      <w:tr w:rsidR="00970E30" w14:paraId="4361B67B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08C33633" w14:textId="77777777" w:rsidR="00970E30" w:rsidRPr="00852DC9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44030849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Assessment year:</w:t>
            </w:r>
            <w:r w:rsidRPr="00DC733E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 xml:space="preserve">                 </w:t>
            </w: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2019</w:t>
            </w:r>
            <w:r w:rsidRPr="00DC733E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2020</w:t>
            </w:r>
            <w:r w:rsidRPr="00DC733E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2021</w:t>
            </w:r>
          </w:p>
        </w:tc>
      </w:tr>
      <w:tr w:rsidR="00970E30" w14:paraId="77E8352C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16A25DFC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6DFC4318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1)MCV1 coverage Trends    </w:t>
            </w:r>
          </w:p>
          <w:p w14:paraId="01A6D28E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 * Increasing or same (+0); ≤10% decline (+2); &gt;10% decline (+4)                                                           </w:t>
            </w:r>
          </w:p>
        </w:tc>
      </w:tr>
      <w:tr w:rsidR="00970E30" w14:paraId="7BE779D8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224CE3E8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ACFF127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2)MCV2 coverage Trends</w:t>
            </w:r>
          </w:p>
          <w:p w14:paraId="16635603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* Increasing or same (+0); ≤10% decline (+2); &gt;10% decline (+4)                                                                  </w:t>
            </w:r>
          </w:p>
        </w:tc>
      </w:tr>
      <w:tr w:rsidR="00970E30" w14:paraId="0B526087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7A3A3B9E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270E08D2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3)MCV1–MCV2 dropout rate   </w:t>
            </w:r>
          </w:p>
          <w:p w14:paraId="607533D5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* ≤</w:t>
            </w:r>
            <w:r w:rsidRPr="00DC733E">
              <w:rPr>
                <w:sz w:val="20"/>
                <w:szCs w:val="20"/>
              </w:rPr>
              <w:t xml:space="preserve"> 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10% (0); &gt;10% (4)                            </w:t>
            </w:r>
          </w:p>
        </w:tc>
      </w:tr>
      <w:tr w:rsidR="00970E30" w14:paraId="62730D6A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724DCEF7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2E09D537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4)Panta1–MCV1 dropout rate</w:t>
            </w:r>
            <w:r w:rsidRPr="00DC733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  <w:t xml:space="preserve">    </w:t>
            </w:r>
          </w:p>
          <w:p w14:paraId="4A455FA5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color w:val="0D0D0D" w:themeColor="text1" w:themeTint="F2"/>
                <w:sz w:val="20"/>
                <w:szCs w:val="20"/>
              </w:rPr>
              <w:t xml:space="preserve"> *Same as MCV1–MCV2 dropout rate                           </w:t>
            </w:r>
          </w:p>
        </w:tc>
      </w:tr>
      <w:tr w:rsidR="00970E30" w14:paraId="36CDC429" w14:textId="77777777" w:rsidTr="007461F5">
        <w:tc>
          <w:tcPr>
            <w:tcW w:w="1771" w:type="dxa"/>
            <w:vMerge w:val="restart"/>
            <w:shd w:val="clear" w:color="auto" w:fill="FFFFFF" w:themeFill="background1"/>
          </w:tcPr>
          <w:p w14:paraId="72D6787E" w14:textId="77777777" w:rsidR="00970E30" w:rsidRDefault="00970E30" w:rsidP="007461F5">
            <w:pPr>
              <w:bidi w:val="0"/>
              <w:spacing w:line="36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DC733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Threat Assessment</w:t>
            </w:r>
            <w:r w:rsidRPr="00CE460A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 Maximum Risk scor</w:t>
            </w:r>
            <w:r>
              <w:rPr>
                <w:rFonts w:asciiTheme="majorBidi" w:eastAsia="Calibri" w:hAnsiTheme="majorBidi" w:cstheme="majorBidi"/>
                <w:sz w:val="20"/>
                <w:szCs w:val="20"/>
              </w:rPr>
              <w:t>e (24)</w:t>
            </w: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28D96393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Data Source                        Measles case-based surveillance-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EPI</w:t>
            </w: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-</w:t>
            </w:r>
            <w:r w:rsidRPr="00DC733E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 xml:space="preserve"> Local Knowledge</w:t>
            </w:r>
          </w:p>
        </w:tc>
      </w:tr>
      <w:tr w:rsidR="00970E30" w14:paraId="6858EE78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0EEB36DC" w14:textId="77777777" w:rsidR="00970E30" w:rsidRPr="00883132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0A440DA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733E"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 xml:space="preserve">Assessment year                  </w:t>
            </w:r>
            <w:r>
              <w:rPr>
                <w:rFonts w:asciiTheme="majorBidi" w:hAnsiTheme="majorBidi" w:cstheme="majorBidi"/>
                <w:b/>
                <w:bCs/>
                <w:color w:val="262626"/>
                <w:kern w:val="0"/>
                <w:sz w:val="20"/>
                <w:szCs w:val="20"/>
              </w:rPr>
              <w:t>2021</w:t>
            </w:r>
          </w:p>
        </w:tc>
      </w:tr>
      <w:tr w:rsidR="00970E30" w14:paraId="57250519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36C1546D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31D0A37A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1)≥1 measles case reported among children &lt;5 years  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</w:t>
            </w:r>
            <w:r w:rsidRPr="00FD5775"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Pr="00DC73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</w:p>
          <w:p w14:paraId="2C1C5CE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*No (0); yes (4)</w:t>
            </w:r>
          </w:p>
        </w:tc>
      </w:tr>
      <w:tr w:rsidR="00970E30" w14:paraId="2BEBAD49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42418199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6615AB8A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2)≥1 measles case reported among persons 5–14 year                     </w:t>
            </w:r>
          </w:p>
          <w:p w14:paraId="6862A89E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* No (0); yes (4)</w:t>
            </w:r>
          </w:p>
        </w:tc>
      </w:tr>
      <w:tr w:rsidR="00970E30" w14:paraId="62572577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0B6394FA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0656EAEE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3)≥1 measles case reported among persons 15 year                   </w:t>
            </w:r>
          </w:p>
          <w:p w14:paraId="4F7F511A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*No (0); yes (4)</w:t>
            </w:r>
          </w:p>
        </w:tc>
      </w:tr>
      <w:tr w:rsidR="00970E30" w14:paraId="26C446B8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444529F6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2C679324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4)Population density                         </w:t>
            </w:r>
          </w:p>
          <w:p w14:paraId="1C849E94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*0–50 (0); 51–100 (1); 101–300 (2); 301–1000 (3); &gt;1000 (4)                                                          </w:t>
            </w:r>
          </w:p>
        </w:tc>
      </w:tr>
      <w:tr w:rsidR="00970E30" w14:paraId="679686BB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52D9C81A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07DE5D53" w14:textId="77777777" w:rsidR="00970E30" w:rsidRPr="00DC733E" w:rsidRDefault="00970E30" w:rsidP="007461F5">
            <w:pPr>
              <w:shd w:val="clear" w:color="auto" w:fill="FFFFFF" w:themeFill="background1"/>
              <w:autoSpaceDE w:val="0"/>
              <w:autoSpaceDN w:val="0"/>
              <w:bidi w:val="0"/>
              <w:adjustRightInd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>5)≥1 measles case reported in a bordering district within the past 12 months</w:t>
            </w:r>
            <w:r w:rsidRPr="00DC733E">
              <w:rPr>
                <w:sz w:val="20"/>
                <w:szCs w:val="20"/>
              </w:rPr>
              <w:t xml:space="preserve"> </w:t>
            </w:r>
          </w:p>
          <w:p w14:paraId="78AEDE63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*   No (0); yes (2)   </w:t>
            </w:r>
          </w:p>
        </w:tc>
      </w:tr>
      <w:tr w:rsidR="00970E30" w14:paraId="079B99E9" w14:textId="77777777" w:rsidTr="007461F5">
        <w:tc>
          <w:tcPr>
            <w:tcW w:w="1771" w:type="dxa"/>
            <w:vMerge/>
            <w:shd w:val="clear" w:color="auto" w:fill="FFFFFF" w:themeFill="background1"/>
          </w:tcPr>
          <w:p w14:paraId="14BB9D10" w14:textId="77777777" w:rsidR="00970E30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1" w:type="dxa"/>
            <w:gridSpan w:val="5"/>
            <w:shd w:val="clear" w:color="auto" w:fill="FFFFFF" w:themeFill="background1"/>
          </w:tcPr>
          <w:p w14:paraId="7C851C37" w14:textId="77777777" w:rsidR="00970E30" w:rsidRPr="00DC733E" w:rsidRDefault="00970E30" w:rsidP="007461F5">
            <w:pPr>
              <w:bidi w:val="0"/>
              <w:spacing w:line="360" w:lineRule="auto"/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6)Presence of vulnerable groups    </w:t>
            </w:r>
          </w:p>
          <w:p w14:paraId="19986D08" w14:textId="77777777" w:rsidR="00970E30" w:rsidRPr="00DC733E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* </w:t>
            </w:r>
            <w:r w:rsidRPr="00DC733E">
              <w:rPr>
                <w:rFonts w:asciiTheme="majorBidi" w:hAnsiTheme="majorBidi" w:cstheme="majorBidi"/>
                <w:color w:val="262626"/>
                <w:kern w:val="0"/>
                <w:sz w:val="20"/>
                <w:szCs w:val="20"/>
              </w:rPr>
              <w:t>No vulnerable groups</w:t>
            </w:r>
            <w:r w:rsidRPr="00DC733E">
              <w:rPr>
                <w:rFonts w:ascii="Times New Roman" w:hAnsi="Times New Roman" w:cs="Times New Roman"/>
                <w:color w:val="262626"/>
                <w:kern w:val="0"/>
                <w:sz w:val="20"/>
                <w:szCs w:val="20"/>
              </w:rPr>
              <w:t xml:space="preserve"> (0); one risk point for each vulnerable group                           </w:t>
            </w:r>
          </w:p>
        </w:tc>
      </w:tr>
      <w:tr w:rsidR="00970E30" w14:paraId="3D6A1FB2" w14:textId="77777777" w:rsidTr="007461F5">
        <w:tc>
          <w:tcPr>
            <w:tcW w:w="1771" w:type="dxa"/>
            <w:shd w:val="clear" w:color="auto" w:fill="83CAEB" w:themeFill="accent1" w:themeFillTint="66"/>
          </w:tcPr>
          <w:p w14:paraId="776C367D" w14:textId="77777777" w:rsidR="00970E30" w:rsidRPr="00FD5775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5775">
              <w:rPr>
                <w:rFonts w:asciiTheme="majorBidi" w:eastAsia="Calibri" w:hAnsiTheme="majorBidi" w:cstheme="majorBidi"/>
                <w:b/>
                <w:bCs/>
                <w:sz w:val="20"/>
                <w:szCs w:val="20"/>
              </w:rPr>
              <w:t>Total Risk Point</w:t>
            </w:r>
            <w:r w:rsidRPr="00FD577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=100</w:t>
            </w:r>
          </w:p>
        </w:tc>
        <w:tc>
          <w:tcPr>
            <w:tcW w:w="1768" w:type="dxa"/>
            <w:shd w:val="clear" w:color="auto" w:fill="92D050"/>
          </w:tcPr>
          <w:p w14:paraId="0D73581E" w14:textId="77777777" w:rsidR="00970E30" w:rsidRPr="00FD5775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577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Low Risk≤47</w:t>
            </w:r>
          </w:p>
        </w:tc>
        <w:tc>
          <w:tcPr>
            <w:tcW w:w="2439" w:type="dxa"/>
            <w:gridSpan w:val="2"/>
            <w:shd w:val="clear" w:color="auto" w:fill="FFFF00"/>
          </w:tcPr>
          <w:p w14:paraId="1D08305F" w14:textId="77777777" w:rsidR="00970E30" w:rsidRPr="00FD5775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577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Medium Risk =48-54</w:t>
            </w:r>
          </w:p>
        </w:tc>
        <w:tc>
          <w:tcPr>
            <w:tcW w:w="1524" w:type="dxa"/>
            <w:shd w:val="clear" w:color="auto" w:fill="FF0000"/>
          </w:tcPr>
          <w:p w14:paraId="5E346C33" w14:textId="77777777" w:rsidR="00970E30" w:rsidRPr="00FD5775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577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High Risk       =55-60</w:t>
            </w:r>
          </w:p>
        </w:tc>
        <w:tc>
          <w:tcPr>
            <w:tcW w:w="1660" w:type="dxa"/>
            <w:shd w:val="clear" w:color="auto" w:fill="C00000"/>
          </w:tcPr>
          <w:p w14:paraId="1C27C981" w14:textId="77777777" w:rsidR="00970E30" w:rsidRPr="00FD5775" w:rsidRDefault="00970E30" w:rsidP="007461F5">
            <w:pPr>
              <w:bidi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5775"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0"/>
                <w:szCs w:val="20"/>
              </w:rPr>
              <w:t>Very High Risk≥61</w:t>
            </w:r>
          </w:p>
        </w:tc>
      </w:tr>
    </w:tbl>
    <w:p w14:paraId="2B4ED498" w14:textId="77777777" w:rsidR="00970E30" w:rsidRDefault="00970E30" w:rsidP="00970E30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0A3E9866" w14:textId="77777777" w:rsidR="00970E30" w:rsidRDefault="00970E30" w:rsidP="00970E30">
      <w:pPr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146890748"/>
      <w:r w:rsidRPr="00DC72D9">
        <w:rPr>
          <w:rFonts w:asciiTheme="majorBidi" w:eastAsia="Calibri" w:hAnsiTheme="majorBidi" w:cstheme="majorBidi"/>
          <w:sz w:val="18"/>
          <w:szCs w:val="18"/>
        </w:rPr>
        <w:t>Population immunity:</w:t>
      </w:r>
      <w:bookmarkEnd w:id="0"/>
      <w:r w:rsidRPr="00DC72D9">
        <w:rPr>
          <w:rFonts w:asciiTheme="majorBidi" w:eastAsia="Calibri" w:hAnsiTheme="majorBidi" w:cstheme="majorBidi"/>
          <w:sz w:val="18"/>
          <w:szCs w:val="18"/>
        </w:rPr>
        <w:t>1)</w:t>
      </w:r>
      <w:r w:rsidRPr="00DC72D9">
        <w:rPr>
          <w:rFonts w:asciiTheme="majorBidi" w:hAnsiTheme="majorBidi" w:cstheme="majorBidi"/>
          <w:sz w:val="18"/>
          <w:szCs w:val="18"/>
        </w:rPr>
        <w:t xml:space="preserve"> </w:t>
      </w:r>
      <w:r w:rsidRPr="00DC72D9">
        <w:rPr>
          <w:rFonts w:asciiTheme="majorBidi" w:eastAsia="Calibri" w:hAnsiTheme="majorBidi" w:cstheme="majorBidi"/>
          <w:sz w:val="18"/>
          <w:szCs w:val="18"/>
        </w:rPr>
        <w:t>MCV1=ﬁrst dose in series for measles-containing vaccination;</w:t>
      </w:r>
      <w:r w:rsidRPr="00DC72D9">
        <w:rPr>
          <w:rFonts w:asciiTheme="majorBidi" w:hAnsiTheme="majorBidi" w:cstheme="majorBidi"/>
          <w:sz w:val="18"/>
          <w:szCs w:val="18"/>
        </w:rPr>
        <w:t xml:space="preserve"> </w:t>
      </w:r>
      <w:r w:rsidRPr="00DC72D9">
        <w:rPr>
          <w:rFonts w:asciiTheme="majorBidi" w:eastAsia="Calibri" w:hAnsiTheme="majorBidi" w:cstheme="majorBidi"/>
          <w:sz w:val="18"/>
          <w:szCs w:val="18"/>
        </w:rPr>
        <w:t>Vaccination coverage estimates from surveys if conducted within past three years and includes birth cohorts of recent three years that can be used to replace administrative coverage2) MCV2=second dose in series for measles-containing vaccination;3) SIA=</w:t>
      </w:r>
      <w:bookmarkStart w:id="1" w:name="_Hlk147592221"/>
      <w:r w:rsidRPr="00DC72D9">
        <w:rPr>
          <w:rFonts w:asciiTheme="majorBidi" w:eastAsia="Calibri" w:hAnsiTheme="majorBidi" w:cstheme="majorBidi"/>
          <w:sz w:val="18"/>
          <w:szCs w:val="18"/>
        </w:rPr>
        <w:t>supplementary immunization activity</w:t>
      </w:r>
      <w:bookmarkEnd w:id="1"/>
      <w:r w:rsidRPr="00DC72D9">
        <w:rPr>
          <w:rFonts w:asciiTheme="majorBidi" w:eastAsia="Calibri" w:hAnsiTheme="majorBidi" w:cstheme="majorBidi"/>
          <w:sz w:val="18"/>
          <w:szCs w:val="18"/>
        </w:rPr>
        <w:t>.</w:t>
      </w:r>
      <w:r w:rsidRPr="00DC72D9">
        <w:rPr>
          <w:rFonts w:asciiTheme="majorBidi" w:hAnsiTheme="majorBidi" w:cstheme="majorBidi"/>
          <w:sz w:val="18"/>
          <w:szCs w:val="18"/>
        </w:rPr>
        <w:t xml:space="preserve"> </w:t>
      </w:r>
      <w:r w:rsidRPr="00DC72D9">
        <w:rPr>
          <w:rFonts w:asciiTheme="majorBidi" w:eastAsia="Calibri" w:hAnsiTheme="majorBidi" w:cstheme="majorBidi"/>
          <w:sz w:val="18"/>
          <w:szCs w:val="18"/>
        </w:rPr>
        <w:t xml:space="preserve">Outbreak response immunization (ORI) campaign coverage data can be considered if an SIA was not conducted within the past three years and if the ORI targeted a geographical area that included the entire district. Threat assessment) The presence of vulnerable groups includes any of the following: (1) migrant population, internally displaced population, slums, or tribal communities; (2) communities resistant to vaccination (e.g., religious, cultural, philosophical reasons); (3) security and safety concerns; (4) </w:t>
      </w:r>
      <w:r>
        <w:rPr>
          <w:rFonts w:asciiTheme="majorBidi" w:eastAsia="Calibri" w:hAnsiTheme="majorBidi" w:cstheme="majorBidi"/>
          <w:sz w:val="18"/>
          <w:szCs w:val="18"/>
        </w:rPr>
        <w:t>domain</w:t>
      </w:r>
      <w:r w:rsidRPr="00DC72D9">
        <w:rPr>
          <w:rFonts w:asciiTheme="majorBidi" w:eastAsia="Calibri" w:hAnsiTheme="majorBidi" w:cstheme="majorBidi"/>
          <w:sz w:val="18"/>
          <w:szCs w:val="18"/>
        </w:rPr>
        <w:t xml:space="preserve"> frequented by calamities/disasters; (5) poor access to health services due to terrain/transportation issues; (6) lack of local political support; (7) high-trafﬁc transportation hubs/major roads or bordering large urban </w:t>
      </w:r>
      <w:r>
        <w:rPr>
          <w:rFonts w:asciiTheme="majorBidi" w:eastAsia="Calibri" w:hAnsiTheme="majorBidi" w:cstheme="majorBidi"/>
          <w:sz w:val="18"/>
          <w:szCs w:val="18"/>
        </w:rPr>
        <w:t>domain</w:t>
      </w:r>
      <w:r w:rsidRPr="00DC72D9">
        <w:rPr>
          <w:rFonts w:asciiTheme="majorBidi" w:eastAsia="Calibri" w:hAnsiTheme="majorBidi" w:cstheme="majorBidi"/>
          <w:sz w:val="18"/>
          <w:szCs w:val="18"/>
        </w:rPr>
        <w:t xml:space="preserve"> (within and across countries); (8) </w:t>
      </w:r>
      <w:r>
        <w:rPr>
          <w:rFonts w:asciiTheme="majorBidi" w:eastAsia="Calibri" w:hAnsiTheme="majorBidi" w:cstheme="majorBidi"/>
          <w:sz w:val="18"/>
          <w:szCs w:val="18"/>
        </w:rPr>
        <w:t>domain</w:t>
      </w:r>
      <w:r w:rsidRPr="00DC72D9">
        <w:rPr>
          <w:rFonts w:asciiTheme="majorBidi" w:eastAsia="Calibri" w:hAnsiTheme="majorBidi" w:cstheme="majorBidi"/>
          <w:sz w:val="18"/>
          <w:szCs w:val="18"/>
        </w:rPr>
        <w:t xml:space="preserve"> with mass gatherings (i.e., trade/commerce, fairs, markets, sporting events, high density of tourists).</w:t>
      </w:r>
    </w:p>
    <w:p w14:paraId="4D4FCB07" w14:textId="45955121" w:rsidR="00131CC1" w:rsidRDefault="00131CC1" w:rsidP="00970E30"/>
    <w:sectPr w:rsidR="00131C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E30"/>
    <w:rsid w:val="00131CC1"/>
    <w:rsid w:val="00304D37"/>
    <w:rsid w:val="0097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42914B54"/>
  <w15:chartTrackingRefBased/>
  <w15:docId w15:val="{166A4355-C856-4116-881F-7F2438BB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E30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E30"/>
    <w:pPr>
      <w:keepNext/>
      <w:keepLines/>
      <w:bidi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E30"/>
    <w:pPr>
      <w:keepNext/>
      <w:keepLines/>
      <w:bidi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E30"/>
    <w:pPr>
      <w:keepNext/>
      <w:keepLines/>
      <w:bidi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E30"/>
    <w:pPr>
      <w:keepNext/>
      <w:keepLines/>
      <w:bidi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E30"/>
    <w:pPr>
      <w:keepNext/>
      <w:keepLines/>
      <w:bidi w:val="0"/>
      <w:spacing w:before="80" w:after="40"/>
      <w:outlineLvl w:val="4"/>
    </w:pPr>
    <w:rPr>
      <w:rFonts w:eastAsiaTheme="majorEastAsia" w:cstheme="majorBidi"/>
      <w:color w:val="0F4761" w:themeColor="accent1" w:themeShade="BF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E30"/>
    <w:pPr>
      <w:keepNext/>
      <w:keepLines/>
      <w:bidi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E30"/>
    <w:pPr>
      <w:keepNext/>
      <w:keepLines/>
      <w:bidi w:val="0"/>
      <w:spacing w:before="40" w:after="0"/>
      <w:outlineLvl w:val="6"/>
    </w:pPr>
    <w:rPr>
      <w:rFonts w:eastAsiaTheme="majorEastAsia" w:cstheme="majorBidi"/>
      <w:color w:val="595959" w:themeColor="text1" w:themeTint="A6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E30"/>
    <w:pPr>
      <w:keepNext/>
      <w:keepLines/>
      <w:bidi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E30"/>
    <w:pPr>
      <w:keepNext/>
      <w:keepLines/>
      <w:bidi w:val="0"/>
      <w:spacing w:after="0"/>
      <w:outlineLvl w:val="8"/>
    </w:pPr>
    <w:rPr>
      <w:rFonts w:eastAsiaTheme="majorEastAsia" w:cstheme="majorBidi"/>
      <w:color w:val="272727" w:themeColor="text1" w:themeTint="D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E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E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E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E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E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E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E30"/>
    <w:pPr>
      <w:bidi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970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E30"/>
    <w:pPr>
      <w:numPr>
        <w:ilvl w:val="1"/>
      </w:numPr>
      <w:bidi w:val="0"/>
    </w:pPr>
    <w:rPr>
      <w:rFonts w:eastAsiaTheme="majorEastAsia" w:cstheme="majorBidi"/>
      <w:color w:val="595959" w:themeColor="text1" w:themeTint="A6"/>
      <w:spacing w:val="15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970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E30"/>
    <w:pPr>
      <w:bidi w:val="0"/>
      <w:spacing w:before="160"/>
      <w:jc w:val="center"/>
    </w:pPr>
    <w:rPr>
      <w:i/>
      <w:iCs/>
      <w:color w:val="404040" w:themeColor="text1" w:themeTint="BF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70E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0E30"/>
    <w:pPr>
      <w:bidi w:val="0"/>
      <w:ind w:left="720"/>
      <w:contextualSpacing/>
    </w:pPr>
    <w:rPr>
      <w:lang w:bidi="ar-SA"/>
    </w:rPr>
  </w:style>
  <w:style w:type="character" w:styleId="IntenseEmphasis">
    <w:name w:val="Intense Emphasis"/>
    <w:basedOn w:val="DefaultParagraphFont"/>
    <w:uiPriority w:val="21"/>
    <w:qFormat/>
    <w:rsid w:val="00970E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bidi w:val="0"/>
      <w:spacing w:before="360" w:after="360"/>
      <w:ind w:left="864" w:right="864"/>
      <w:jc w:val="center"/>
    </w:pPr>
    <w:rPr>
      <w:i/>
      <w:iCs/>
      <w:color w:val="0F4761" w:themeColor="accent1" w:themeShade="BF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E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E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70E3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3159</Characters>
  <Application>Microsoft Office Word</Application>
  <DocSecurity>0</DocSecurity>
  <Lines>124</Lines>
  <Paragraphs>67</Paragraphs>
  <ScaleCrop>false</ScaleCrop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Elham Dashti</dc:creator>
  <cp:keywords/>
  <dc:description/>
  <cp:lastModifiedBy>Elham Dashti</cp:lastModifiedBy>
  <cp:revision>1</cp:revision>
  <dcterms:created xsi:type="dcterms:W3CDTF">2024-02-15T19:04:00Z</dcterms:created>
  <dcterms:modified xsi:type="dcterms:W3CDTF">2024-02-15T19:05:00Z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d85aeea2-99c3-41bd-9d85-d432cdaf780f</vt:lpwstr>
  </property>
</Properties>
</file>