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526A81" w14:textId="77777777" w:rsidR="00DA1491" w:rsidRPr="0060789A" w:rsidRDefault="00DA1491" w:rsidP="00DA1491">
      <w:r w:rsidRPr="0060789A">
        <w:t>Supplement 1</w:t>
      </w:r>
    </w:p>
    <w:p w14:paraId="0CCCC3D0" w14:textId="77777777" w:rsidR="00DA1491" w:rsidRPr="0060789A" w:rsidRDefault="00DA1491" w:rsidP="00DA1491"/>
    <w:p w14:paraId="2680BA3C" w14:textId="77777777" w:rsidR="00DA1491" w:rsidRPr="0060789A" w:rsidRDefault="00DA1491" w:rsidP="00DA1491">
      <w:r w:rsidRPr="0060789A">
        <w:t>Huisman, Olff and Fresco hierarchical models (HOF)</w:t>
      </w:r>
    </w:p>
    <w:p w14:paraId="33756810" w14:textId="77777777" w:rsidR="00DA1491" w:rsidRPr="0060789A" w:rsidRDefault="00DA1491" w:rsidP="00DA1491">
      <w:pPr>
        <w:ind w:firstLine="709"/>
        <w:jc w:val="both"/>
      </w:pPr>
    </w:p>
    <w:p w14:paraId="3A26069A" w14:textId="77777777" w:rsidR="00DA1491" w:rsidRPr="0060789A" w:rsidRDefault="00DA1491" w:rsidP="00DA1491">
      <w:pPr>
        <w:ind w:firstLine="709"/>
        <w:jc w:val="both"/>
      </w:pPr>
      <w:r w:rsidRPr="0060789A">
        <w:t>Model I: no significant trend in space or time:</w:t>
      </w:r>
    </w:p>
    <w:p w14:paraId="5FD82526" w14:textId="77777777" w:rsidR="00DA1491" w:rsidRPr="0060789A" w:rsidRDefault="00DA1491" w:rsidP="00DA1491">
      <w:pPr>
        <w:ind w:firstLine="709"/>
        <w:jc w:val="both"/>
      </w:pPr>
      <m:oMathPara>
        <m:oMath>
          <m:r>
            <w:rPr>
              <w:rFonts w:ascii="Cambria Math" w:hAnsi="Cambria Math"/>
            </w:rPr>
            <m:t>y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M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1+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</w:rPr>
                    <m:t>a</m:t>
                  </m:r>
                </m:sup>
              </m:sSup>
            </m:den>
          </m:f>
          <m:r>
            <m:rPr>
              <m:sty m:val="p"/>
            </m:rPr>
            <w:rPr>
              <w:rFonts w:ascii="Cambria Math" w:hAnsi="Cambria Math"/>
            </w:rPr>
            <m:t>.</m:t>
          </m:r>
        </m:oMath>
      </m:oMathPara>
    </w:p>
    <w:p w14:paraId="02160F88" w14:textId="77777777" w:rsidR="00DA1491" w:rsidRPr="0060789A" w:rsidRDefault="00DA1491" w:rsidP="00DA1491">
      <w:pPr>
        <w:ind w:firstLine="709"/>
        <w:jc w:val="both"/>
      </w:pPr>
      <w:r w:rsidRPr="0060789A">
        <w:t>Model II: an increasing or decreasing trend where the maximum is equal to the upper bound M:</w:t>
      </w:r>
    </w:p>
    <w:p w14:paraId="235E7706" w14:textId="77777777" w:rsidR="00DA1491" w:rsidRPr="0060789A" w:rsidRDefault="00DA1491" w:rsidP="00DA1491">
      <w:pPr>
        <w:ind w:firstLine="709"/>
        <w:jc w:val="both"/>
      </w:pPr>
      <m:oMathPara>
        <m:oMath>
          <m:r>
            <w:rPr>
              <w:rFonts w:ascii="Cambria Math" w:hAnsi="Cambria Math"/>
            </w:rPr>
            <m:t>y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M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1+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</w:rPr>
                    <m:t>a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</m:t>
                  </m:r>
                  <m:r>
                    <w:rPr>
                      <w:rFonts w:ascii="Cambria Math" w:hAnsi="Cambria Math"/>
                    </w:rPr>
                    <m:t>bx</m:t>
                  </m:r>
                </m:sup>
              </m:sSup>
            </m:den>
          </m:f>
          <m:r>
            <m:rPr>
              <m:sty m:val="p"/>
            </m:rPr>
            <w:rPr>
              <w:rFonts w:ascii="Cambria Math" w:hAnsi="Cambria Math"/>
            </w:rPr>
            <m:t>.</m:t>
          </m:r>
        </m:oMath>
      </m:oMathPara>
    </w:p>
    <w:p w14:paraId="7A08F7DF" w14:textId="77777777" w:rsidR="00DA1491" w:rsidRPr="0060789A" w:rsidRDefault="00DA1491" w:rsidP="00DA1491">
      <w:pPr>
        <w:ind w:firstLine="709"/>
        <w:jc w:val="both"/>
      </w:pPr>
      <w:r w:rsidRPr="0060789A">
        <w:t>Model III: an increasing or decreasing trend where the maximum is below the upper bound M:</w:t>
      </w:r>
    </w:p>
    <w:p w14:paraId="451A1CEC" w14:textId="77777777" w:rsidR="00DA1491" w:rsidRPr="0060789A" w:rsidRDefault="00DA1491" w:rsidP="00DA1491">
      <w:pPr>
        <w:ind w:firstLine="709"/>
        <w:jc w:val="both"/>
      </w:pPr>
      <m:oMathPara>
        <m:oMath>
          <m:r>
            <w:rPr>
              <w:rFonts w:ascii="Cambria Math" w:hAnsi="Cambria Math"/>
            </w:rPr>
            <m:t>y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M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1+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</w:rPr>
                    <m:t>a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</m:t>
                  </m:r>
                  <m:r>
                    <w:rPr>
                      <w:rFonts w:ascii="Cambria Math" w:hAnsi="Cambria Math"/>
                    </w:rPr>
                    <m:t>bx</m:t>
                  </m:r>
                </m:sup>
              </m:sSup>
            </m:den>
          </m:f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1+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</w:rPr>
                    <m:t>c</m:t>
                  </m:r>
                </m:sup>
              </m:sSup>
            </m:den>
          </m:f>
          <m:r>
            <m:rPr>
              <m:sty m:val="p"/>
            </m:rPr>
            <w:rPr>
              <w:rFonts w:ascii="Cambria Math" w:hAnsi="Cambria Math"/>
            </w:rPr>
            <m:t>.</m:t>
          </m:r>
        </m:oMath>
      </m:oMathPara>
    </w:p>
    <w:p w14:paraId="15D46DC4" w14:textId="77777777" w:rsidR="00DA1491" w:rsidRPr="0060789A" w:rsidRDefault="00DA1491" w:rsidP="00DA1491">
      <w:pPr>
        <w:ind w:firstLine="709"/>
        <w:jc w:val="both"/>
      </w:pPr>
      <w:r w:rsidRPr="0060789A">
        <w:t>Model IV: increase and decrease by the same rate – symmetrical response curve:</w:t>
      </w:r>
    </w:p>
    <w:p w14:paraId="1183BE7D" w14:textId="77777777" w:rsidR="00DA1491" w:rsidRPr="0060789A" w:rsidRDefault="00DA1491" w:rsidP="00DA1491">
      <w:pPr>
        <w:ind w:firstLine="709"/>
        <w:jc w:val="both"/>
      </w:pPr>
      <m:oMathPara>
        <m:oMath>
          <m:r>
            <w:rPr>
              <w:rFonts w:ascii="Cambria Math" w:hAnsi="Cambria Math"/>
            </w:rPr>
            <m:t>y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M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1+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</w:rPr>
                    <m:t>a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</m:t>
                  </m:r>
                  <m:r>
                    <w:rPr>
                      <w:rFonts w:ascii="Cambria Math" w:hAnsi="Cambria Math"/>
                    </w:rPr>
                    <m:t>bx</m:t>
                  </m:r>
                </m:sup>
              </m:sSup>
            </m:den>
          </m:f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1+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</w:rPr>
                    <m:t>c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bx</m:t>
                  </m:r>
                </m:sup>
              </m:sSup>
            </m:den>
          </m:f>
          <m:r>
            <m:rPr>
              <m:sty m:val="p"/>
            </m:rPr>
            <w:rPr>
              <w:rFonts w:ascii="Cambria Math" w:hAnsi="Cambria Math"/>
            </w:rPr>
            <m:t>.</m:t>
          </m:r>
        </m:oMath>
      </m:oMathPara>
    </w:p>
    <w:p w14:paraId="062F836D" w14:textId="77777777" w:rsidR="00DA1491" w:rsidRPr="0060789A" w:rsidRDefault="00DA1491" w:rsidP="00DA1491">
      <w:pPr>
        <w:ind w:firstLine="709"/>
        <w:jc w:val="both"/>
      </w:pPr>
      <w:r w:rsidRPr="0060789A">
        <w:t>Model V: increase and decrease by different rates – skewed response curve:</w:t>
      </w:r>
    </w:p>
    <w:p w14:paraId="67D1A10C" w14:textId="77777777" w:rsidR="00DA1491" w:rsidRPr="0060789A" w:rsidRDefault="00DA1491" w:rsidP="00DA1491">
      <w:pPr>
        <w:ind w:firstLine="709"/>
        <w:jc w:val="both"/>
      </w:pPr>
      <m:oMathPara>
        <m:oMath>
          <m:r>
            <w:rPr>
              <w:rFonts w:ascii="Cambria Math" w:hAnsi="Cambria Math"/>
            </w:rPr>
            <m:t>y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M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1+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</w:rPr>
                    <m:t>a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</m:t>
                  </m:r>
                  <m:r>
                    <w:rPr>
                      <w:rFonts w:ascii="Cambria Math" w:hAnsi="Cambria Math"/>
                    </w:rPr>
                    <m:t>bx</m:t>
                  </m:r>
                </m:sup>
              </m:sSup>
            </m:den>
          </m:f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1+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</w:rPr>
                    <m:t>c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</m:t>
                  </m:r>
                  <m:r>
                    <w:rPr>
                      <w:rFonts w:ascii="Cambria Math" w:hAnsi="Cambria Math"/>
                    </w:rPr>
                    <m:t>dx</m:t>
                  </m:r>
                </m:sup>
              </m:sSup>
            </m:den>
          </m:f>
          <m:r>
            <m:rPr>
              <m:sty m:val="p"/>
            </m:rPr>
            <w:rPr>
              <w:rFonts w:ascii="Cambria Math" w:hAnsi="Cambria Math"/>
            </w:rPr>
            <m:t>.</m:t>
          </m:r>
        </m:oMath>
      </m:oMathPara>
    </w:p>
    <w:p w14:paraId="701C28E4" w14:textId="77777777" w:rsidR="00DA1491" w:rsidRPr="00D7151A" w:rsidRDefault="00DA1491" w:rsidP="00DA1491">
      <w:pPr>
        <w:ind w:firstLine="709"/>
        <w:jc w:val="both"/>
        <w:rPr>
          <w:lang w:val="da-DK"/>
        </w:rPr>
      </w:pPr>
      <w:r w:rsidRPr="00D7151A">
        <w:rPr>
          <w:lang w:val="da-DK"/>
        </w:rPr>
        <w:t>Model VI: bimodal symmetric responses:</w:t>
      </w:r>
    </w:p>
    <w:p w14:paraId="0359A360" w14:textId="77777777" w:rsidR="00DA1491" w:rsidRPr="0060789A" w:rsidRDefault="00DA1491" w:rsidP="00DA1491">
      <w:pPr>
        <w:ind w:firstLine="709"/>
        <w:jc w:val="both"/>
      </w:pPr>
      <m:oMathPara>
        <m:oMath>
          <m:r>
            <w:rPr>
              <w:rFonts w:ascii="Cambria Math" w:hAnsi="Cambria Math"/>
            </w:rPr>
            <m:t>y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M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1+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</w:rPr>
                    <m:t>a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</m:t>
                  </m:r>
                  <m:r>
                    <w:rPr>
                      <w:rFonts w:ascii="Cambria Math" w:hAnsi="Cambria Math"/>
                    </w:rPr>
                    <m:t>bx</m:t>
                  </m:r>
                </m:sup>
              </m:sSup>
            </m:den>
          </m:f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1+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</w:rPr>
                    <m:t>c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</m:t>
                  </m:r>
                  <m:r>
                    <w:rPr>
                      <w:rFonts w:ascii="Cambria Math" w:hAnsi="Cambria Math"/>
                    </w:rPr>
                    <m:t>b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(</m:t>
                  </m:r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d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)</m:t>
                  </m:r>
                </m:sup>
              </m:sSup>
            </m:den>
          </m:f>
          <m:r>
            <m:rPr>
              <m:sty m:val="p"/>
            </m:rP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1+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</w:rPr>
                    <m:t>a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</m:t>
                  </m:r>
                  <m:r>
                    <w:rPr>
                      <w:rFonts w:ascii="Cambria Math" w:hAnsi="Cambria Math"/>
                    </w:rPr>
                    <m:t>b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(</m:t>
                  </m:r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d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)</m:t>
                  </m:r>
                </m:sup>
              </m:sSup>
            </m:den>
          </m:f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1+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</w:rPr>
                    <m:t>c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b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(</m:t>
                  </m:r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d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)</m:t>
                  </m:r>
                </m:sup>
              </m:sSup>
            </m:den>
          </m:f>
          <m:r>
            <m:rPr>
              <m:sty m:val="p"/>
            </m:rPr>
            <w:rPr>
              <w:rFonts w:ascii="Cambria Math" w:hAnsi="Cambria Math"/>
            </w:rPr>
            <m:t>.</m:t>
          </m:r>
        </m:oMath>
      </m:oMathPara>
    </w:p>
    <w:p w14:paraId="20DD46C2" w14:textId="77777777" w:rsidR="00DA1491" w:rsidRPr="0060789A" w:rsidRDefault="00DA1491" w:rsidP="00DA1491">
      <w:pPr>
        <w:ind w:firstLine="709"/>
        <w:jc w:val="both"/>
      </w:pPr>
      <w:r w:rsidRPr="0060789A">
        <w:t>Model VII: bimodal skewed responses:</w:t>
      </w:r>
    </w:p>
    <w:p w14:paraId="63F052BF" w14:textId="77777777" w:rsidR="00DA1491" w:rsidRPr="0060789A" w:rsidRDefault="00DA1491" w:rsidP="00DA1491">
      <w:pPr>
        <w:ind w:firstLine="709"/>
        <w:jc w:val="both"/>
      </w:pPr>
      <m:oMathPara>
        <m:oMath>
          <m:r>
            <w:rPr>
              <w:rFonts w:ascii="Cambria Math" w:hAnsi="Cambria Math"/>
            </w:rPr>
            <m:t>y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M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1+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</w:rPr>
                    <m:t>a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</m:t>
                  </m:r>
                  <m:r>
                    <w:rPr>
                      <w:rFonts w:ascii="Cambria Math" w:hAnsi="Cambria Math"/>
                    </w:rPr>
                    <m:t>bx</m:t>
                  </m:r>
                </m:sup>
              </m:sSup>
            </m:den>
          </m:f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1+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</w:rPr>
                    <m:t>c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</m:t>
                  </m:r>
                  <m:r>
                    <w:rPr>
                      <w:rFonts w:ascii="Cambria Math" w:hAnsi="Cambria Math"/>
                    </w:rPr>
                    <m:t>b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(</m:t>
                  </m:r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d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)</m:t>
                  </m:r>
                </m:sup>
              </m:sSup>
            </m:den>
          </m:f>
          <m:r>
            <m:rPr>
              <m:sty m:val="p"/>
            </m:rPr>
            <w:rPr>
              <w:rFonts w:ascii="Cambria Math" w:hAnsi="Cambria Math"/>
            </w:rPr>
            <m:t>+</m:t>
          </m:r>
          <m:r>
            <w:rPr>
              <w:rFonts w:ascii="Cambria Math" w:hAnsi="Cambria Math"/>
            </w:rPr>
            <m:t>L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1+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</w:rPr>
                    <m:t>a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</m:t>
                  </m:r>
                  <m:r>
                    <w:rPr>
                      <w:rFonts w:ascii="Cambria Math" w:hAnsi="Cambria Math"/>
                    </w:rPr>
                    <m:t>b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(</m:t>
                  </m:r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d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)</m:t>
                  </m:r>
                </m:sup>
              </m:sSup>
            </m:den>
          </m:f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1+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</w:rPr>
                    <m:t>c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b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(</m:t>
                  </m:r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d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)</m:t>
                  </m:r>
                </m:sup>
              </m:sSup>
            </m:den>
          </m:f>
          <m:r>
            <m:rPr>
              <m:sty m:val="p"/>
            </m:rPr>
            <w:rPr>
              <w:rFonts w:ascii="Cambria Math" w:hAnsi="Cambria Math"/>
            </w:rPr>
            <m:t>,</m:t>
          </m:r>
        </m:oMath>
      </m:oMathPara>
    </w:p>
    <w:p w14:paraId="15A3542A" w14:textId="77777777" w:rsidR="00DA1491" w:rsidRPr="0060789A" w:rsidRDefault="00DA1491" w:rsidP="00DA1491">
      <w:pPr>
        <w:jc w:val="both"/>
      </w:pPr>
      <w:r w:rsidRPr="0060789A">
        <w:t>where y and x are the response and the explanatory variable respectively, a, b, c and d the parameters to be estimated (b and d have opposite signs), and M – a constant which equals the maximal value which can be attained (for relative frequencies M = 1, for percentages M = 100), L – a constant which equals the maximal value for minor extreme value.</w:t>
      </w:r>
    </w:p>
    <w:p w14:paraId="35E07C84" w14:textId="77777777" w:rsidR="00DA1491" w:rsidRPr="0060789A" w:rsidRDefault="00DA1491" w:rsidP="00DA1491"/>
    <w:p w14:paraId="0015A2B5" w14:textId="77777777" w:rsidR="00DA1491" w:rsidRPr="0060789A" w:rsidRDefault="00DA1491" w:rsidP="00DA1491">
      <w:pPr>
        <w:jc w:val="both"/>
      </w:pPr>
    </w:p>
    <w:p w14:paraId="590FA98F" w14:textId="77777777" w:rsidR="00DA1491" w:rsidRPr="0060789A" w:rsidRDefault="00DA1491" w:rsidP="00DA1491">
      <w:pPr>
        <w:ind w:firstLine="567"/>
        <w:jc w:val="both"/>
      </w:pPr>
    </w:p>
    <w:p w14:paraId="48E8A872" w14:textId="77777777" w:rsidR="00487F49" w:rsidRDefault="00487F49"/>
    <w:sectPr w:rsidR="00487F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18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491"/>
    <w:rsid w:val="00487F49"/>
    <w:rsid w:val="00DA1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E7EC5"/>
  <w15:chartTrackingRefBased/>
  <w15:docId w15:val="{D09677F1-E896-4AE5-9366-E55857ED2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1491"/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1060</Characters>
  <Application>Microsoft Office Word</Application>
  <DocSecurity>0</DocSecurity>
  <Lines>8</Lines>
  <Paragraphs>2</Paragraphs>
  <ScaleCrop>false</ScaleCrop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Олександр Жуков</dc:creator>
  <cp:keywords/>
  <dc:description/>
  <cp:lastModifiedBy>Олександр Жуков</cp:lastModifiedBy>
  <cp:revision>1</cp:revision>
  <dcterms:created xsi:type="dcterms:W3CDTF">2024-03-31T15:09:00Z</dcterms:created>
  <dcterms:modified xsi:type="dcterms:W3CDTF">2024-03-31T15:09:00Z</dcterms:modified>
</cp:coreProperties>
</file>