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BB71D" w14:textId="4DC325CE" w:rsidR="00012CB8" w:rsidRPr="001768C3" w:rsidRDefault="00012CB8" w:rsidP="00012CB8">
      <w:pPr>
        <w:pStyle w:val="Caption"/>
        <w:spacing w:before="0" w:beforeAutospacing="0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Supplementary t</w:t>
      </w:r>
      <w:r w:rsidRPr="001768C3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able 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1</w:t>
      </w:r>
      <w:r w:rsidRPr="001768C3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: Comparison of outcomes among survivors and non-survivors (n=100)</w:t>
      </w:r>
    </w:p>
    <w:tbl>
      <w:tblPr>
        <w:tblStyle w:val="DefaultTable"/>
        <w:tblW w:w="0" w:type="auto"/>
        <w:tblInd w:w="0" w:type="dxa"/>
        <w:tblLayout w:type="fixed"/>
        <w:tblLook w:val="0420" w:firstRow="1" w:lastRow="0" w:firstColumn="0" w:lastColumn="0" w:noHBand="0" w:noVBand="1"/>
      </w:tblPr>
      <w:tblGrid>
        <w:gridCol w:w="3196"/>
        <w:gridCol w:w="1917"/>
        <w:gridCol w:w="1586"/>
        <w:gridCol w:w="1766"/>
        <w:gridCol w:w="1093"/>
      </w:tblGrid>
      <w:tr w:rsidR="00012CB8" w:rsidRPr="001768C3" w14:paraId="455C4EED" w14:textId="77777777" w:rsidTr="00FF1884">
        <w:trPr>
          <w:trHeight w:val="735"/>
        </w:trPr>
        <w:tc>
          <w:tcPr>
            <w:tcW w:w="3196" w:type="dxa"/>
            <w:hideMark/>
          </w:tcPr>
          <w:p w14:paraId="6EECC653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Outcome</w:t>
            </w:r>
          </w:p>
        </w:tc>
        <w:tc>
          <w:tcPr>
            <w:tcW w:w="1917" w:type="dxa"/>
            <w:hideMark/>
          </w:tcPr>
          <w:p w14:paraId="0C81427C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Non-Survivor (65)</w:t>
            </w:r>
          </w:p>
        </w:tc>
        <w:tc>
          <w:tcPr>
            <w:tcW w:w="1586" w:type="dxa"/>
            <w:hideMark/>
          </w:tcPr>
          <w:p w14:paraId="55E04AEA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Survivor (35)</w:t>
            </w:r>
          </w:p>
        </w:tc>
        <w:tc>
          <w:tcPr>
            <w:tcW w:w="1766" w:type="dxa"/>
          </w:tcPr>
          <w:p w14:paraId="18A6D1DF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Total (100)</w:t>
            </w:r>
          </w:p>
        </w:tc>
        <w:tc>
          <w:tcPr>
            <w:tcW w:w="1093" w:type="dxa"/>
            <w:hideMark/>
          </w:tcPr>
          <w:p w14:paraId="52CE09D7" w14:textId="77777777" w:rsidR="00012CB8" w:rsidRPr="001768C3" w:rsidRDefault="00012CB8" w:rsidP="00FF1884">
            <w:pPr>
              <w:rPr>
                <w:sz w:val="22"/>
                <w:szCs w:val="22"/>
              </w:rPr>
            </w:pPr>
          </w:p>
        </w:tc>
      </w:tr>
      <w:tr w:rsidR="00012CB8" w:rsidRPr="001768C3" w14:paraId="4F2ED246" w14:textId="77777777" w:rsidTr="00FF1884">
        <w:trPr>
          <w:trHeight w:val="735"/>
        </w:trPr>
        <w:tc>
          <w:tcPr>
            <w:tcW w:w="3196" w:type="dxa"/>
          </w:tcPr>
          <w:p w14:paraId="014CC16E" w14:textId="77777777" w:rsidR="00012CB8" w:rsidRPr="001768C3" w:rsidRDefault="00012CB8" w:rsidP="00FF1884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14:paraId="78A53894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Median (IQR)</w:t>
            </w:r>
          </w:p>
        </w:tc>
        <w:tc>
          <w:tcPr>
            <w:tcW w:w="1586" w:type="dxa"/>
          </w:tcPr>
          <w:p w14:paraId="757878A1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Median (IQR)</w:t>
            </w:r>
          </w:p>
        </w:tc>
        <w:tc>
          <w:tcPr>
            <w:tcW w:w="1766" w:type="dxa"/>
          </w:tcPr>
          <w:p w14:paraId="29B8AF67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Median (IQR)</w:t>
            </w:r>
          </w:p>
        </w:tc>
        <w:tc>
          <w:tcPr>
            <w:tcW w:w="1093" w:type="dxa"/>
          </w:tcPr>
          <w:p w14:paraId="2D2DC01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P value</w:t>
            </w:r>
          </w:p>
        </w:tc>
      </w:tr>
      <w:tr w:rsidR="00012CB8" w:rsidRPr="001768C3" w14:paraId="29A5A1CF" w14:textId="77777777" w:rsidTr="00FF1884">
        <w:trPr>
          <w:trHeight w:val="735"/>
        </w:trPr>
        <w:tc>
          <w:tcPr>
            <w:tcW w:w="3196" w:type="dxa"/>
            <w:hideMark/>
          </w:tcPr>
          <w:p w14:paraId="5245AFCE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Duration of mechanical ventilation</w:t>
            </w:r>
          </w:p>
        </w:tc>
        <w:tc>
          <w:tcPr>
            <w:tcW w:w="1917" w:type="dxa"/>
            <w:hideMark/>
          </w:tcPr>
          <w:p w14:paraId="56764CA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7 (3,15)</w:t>
            </w:r>
          </w:p>
        </w:tc>
        <w:tc>
          <w:tcPr>
            <w:tcW w:w="1586" w:type="dxa"/>
            <w:hideMark/>
          </w:tcPr>
          <w:p w14:paraId="13675BD7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3 (2,6)</w:t>
            </w:r>
          </w:p>
        </w:tc>
        <w:tc>
          <w:tcPr>
            <w:tcW w:w="1766" w:type="dxa"/>
          </w:tcPr>
          <w:p w14:paraId="7F3B1148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5 (2,12)</w:t>
            </w:r>
          </w:p>
        </w:tc>
        <w:tc>
          <w:tcPr>
            <w:tcW w:w="1093" w:type="dxa"/>
            <w:hideMark/>
          </w:tcPr>
          <w:p w14:paraId="1812F09E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0.019</w:t>
            </w:r>
          </w:p>
        </w:tc>
      </w:tr>
      <w:tr w:rsidR="00012CB8" w:rsidRPr="001768C3" w14:paraId="2F65D107" w14:textId="77777777" w:rsidTr="00FF1884">
        <w:trPr>
          <w:trHeight w:val="735"/>
        </w:trPr>
        <w:tc>
          <w:tcPr>
            <w:tcW w:w="3196" w:type="dxa"/>
            <w:hideMark/>
          </w:tcPr>
          <w:p w14:paraId="523D55D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Length of hospital stay (in days)</w:t>
            </w:r>
          </w:p>
        </w:tc>
        <w:tc>
          <w:tcPr>
            <w:tcW w:w="1917" w:type="dxa"/>
            <w:hideMark/>
          </w:tcPr>
          <w:p w14:paraId="1612280B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9 (4,20)</w:t>
            </w:r>
          </w:p>
        </w:tc>
        <w:tc>
          <w:tcPr>
            <w:tcW w:w="1586" w:type="dxa"/>
            <w:hideMark/>
          </w:tcPr>
          <w:p w14:paraId="5196DDCD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16 (7,23)</w:t>
            </w:r>
          </w:p>
        </w:tc>
        <w:tc>
          <w:tcPr>
            <w:tcW w:w="1766" w:type="dxa"/>
          </w:tcPr>
          <w:p w14:paraId="23C7D6F8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11 (5,21.5)</w:t>
            </w:r>
          </w:p>
        </w:tc>
        <w:tc>
          <w:tcPr>
            <w:tcW w:w="1093" w:type="dxa"/>
            <w:hideMark/>
          </w:tcPr>
          <w:p w14:paraId="448EA53C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0.04</w:t>
            </w:r>
          </w:p>
        </w:tc>
      </w:tr>
      <w:tr w:rsidR="00012CB8" w:rsidRPr="001768C3" w14:paraId="7CD771A9" w14:textId="77777777" w:rsidTr="00FF1884">
        <w:trPr>
          <w:trHeight w:val="735"/>
        </w:trPr>
        <w:tc>
          <w:tcPr>
            <w:tcW w:w="3196" w:type="dxa"/>
          </w:tcPr>
          <w:p w14:paraId="7010D86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Tracheostomized</w:t>
            </w:r>
          </w:p>
        </w:tc>
        <w:tc>
          <w:tcPr>
            <w:tcW w:w="1917" w:type="dxa"/>
          </w:tcPr>
          <w:p w14:paraId="514ABF9C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8 (12.3%)</w:t>
            </w:r>
          </w:p>
        </w:tc>
        <w:tc>
          <w:tcPr>
            <w:tcW w:w="1586" w:type="dxa"/>
          </w:tcPr>
          <w:p w14:paraId="3BA5959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4 (11.3%)</w:t>
            </w:r>
          </w:p>
        </w:tc>
        <w:tc>
          <w:tcPr>
            <w:tcW w:w="1766" w:type="dxa"/>
          </w:tcPr>
          <w:p w14:paraId="5A67C9F8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12 (12%)</w:t>
            </w:r>
          </w:p>
        </w:tc>
        <w:tc>
          <w:tcPr>
            <w:tcW w:w="1093" w:type="dxa"/>
          </w:tcPr>
          <w:p w14:paraId="5ABC1751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0.897</w:t>
            </w:r>
          </w:p>
        </w:tc>
      </w:tr>
    </w:tbl>
    <w:p w14:paraId="70306E88" w14:textId="77777777" w:rsidR="00012CB8" w:rsidRDefault="00012CB8" w:rsidP="00012CB8">
      <w:pPr>
        <w:pStyle w:val="Caption"/>
        <w:spacing w:before="0" w:beforeAutospacing="0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</w:p>
    <w:p w14:paraId="0D0D4747" w14:textId="754A283A" w:rsidR="00012CB8" w:rsidRPr="001768C3" w:rsidRDefault="00012CB8" w:rsidP="00012CB8">
      <w:pPr>
        <w:pStyle w:val="Caption"/>
        <w:spacing w:before="0" w:beforeAutospacing="0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Supplementary t</w:t>
      </w:r>
      <w:r w:rsidRPr="001768C3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able 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2</w:t>
      </w:r>
      <w:r w:rsidRPr="001768C3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: Cut-off points for APACHE II and SOFA</w:t>
      </w:r>
    </w:p>
    <w:tbl>
      <w:tblPr>
        <w:tblStyle w:val="DefaultTable"/>
        <w:tblW w:w="5000" w:type="pct"/>
        <w:tblInd w:w="0" w:type="dxa"/>
        <w:tblLook w:val="0420" w:firstRow="1" w:lastRow="0" w:firstColumn="0" w:lastColumn="0" w:noHBand="0" w:noVBand="1"/>
      </w:tblPr>
      <w:tblGrid>
        <w:gridCol w:w="3959"/>
        <w:gridCol w:w="921"/>
        <w:gridCol w:w="3639"/>
        <w:gridCol w:w="1057"/>
      </w:tblGrid>
      <w:tr w:rsidR="00012CB8" w:rsidRPr="001768C3" w14:paraId="46A35E10" w14:textId="77777777" w:rsidTr="00FF1884">
        <w:trPr>
          <w:trHeight w:val="584"/>
        </w:trPr>
        <w:tc>
          <w:tcPr>
            <w:tcW w:w="2067" w:type="pct"/>
            <w:hideMark/>
          </w:tcPr>
          <w:p w14:paraId="5174299C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Empirical cut point by Liu method</w:t>
            </w:r>
          </w:p>
        </w:tc>
        <w:tc>
          <w:tcPr>
            <w:tcW w:w="481" w:type="pct"/>
            <w:hideMark/>
          </w:tcPr>
          <w:p w14:paraId="706D3610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Value</w:t>
            </w:r>
          </w:p>
        </w:tc>
        <w:tc>
          <w:tcPr>
            <w:tcW w:w="1900" w:type="pct"/>
            <w:hideMark/>
          </w:tcPr>
          <w:p w14:paraId="28BFEF5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Sensitivity/ Specificity</w:t>
            </w:r>
          </w:p>
        </w:tc>
        <w:tc>
          <w:tcPr>
            <w:tcW w:w="552" w:type="pct"/>
            <w:hideMark/>
          </w:tcPr>
          <w:p w14:paraId="664D82E4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AUC at cut off</w:t>
            </w:r>
          </w:p>
        </w:tc>
      </w:tr>
      <w:tr w:rsidR="00012CB8" w:rsidRPr="001768C3" w14:paraId="271C0F1D" w14:textId="77777777" w:rsidTr="00FF1884">
        <w:trPr>
          <w:trHeight w:val="584"/>
        </w:trPr>
        <w:tc>
          <w:tcPr>
            <w:tcW w:w="2067" w:type="pct"/>
            <w:hideMark/>
          </w:tcPr>
          <w:p w14:paraId="045C619C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APACHE II</w:t>
            </w:r>
          </w:p>
        </w:tc>
        <w:tc>
          <w:tcPr>
            <w:tcW w:w="481" w:type="pct"/>
            <w:hideMark/>
          </w:tcPr>
          <w:p w14:paraId="6719505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22.5</w:t>
            </w:r>
          </w:p>
        </w:tc>
        <w:tc>
          <w:tcPr>
            <w:tcW w:w="1900" w:type="pct"/>
            <w:hideMark/>
          </w:tcPr>
          <w:p w14:paraId="512B51E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0.60/0.63</w:t>
            </w:r>
          </w:p>
        </w:tc>
        <w:tc>
          <w:tcPr>
            <w:tcW w:w="552" w:type="pct"/>
            <w:hideMark/>
          </w:tcPr>
          <w:p w14:paraId="05F1C4EB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0.61</w:t>
            </w:r>
          </w:p>
        </w:tc>
      </w:tr>
      <w:tr w:rsidR="00012CB8" w:rsidRPr="001768C3" w14:paraId="53ED6796" w14:textId="77777777" w:rsidTr="00FF1884">
        <w:trPr>
          <w:trHeight w:val="584"/>
        </w:trPr>
        <w:tc>
          <w:tcPr>
            <w:tcW w:w="2067" w:type="pct"/>
            <w:hideMark/>
          </w:tcPr>
          <w:p w14:paraId="7A7C97A9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 xml:space="preserve">SOFA </w:t>
            </w:r>
          </w:p>
        </w:tc>
        <w:tc>
          <w:tcPr>
            <w:tcW w:w="481" w:type="pct"/>
            <w:hideMark/>
          </w:tcPr>
          <w:p w14:paraId="18D31D37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7.5</w:t>
            </w:r>
          </w:p>
        </w:tc>
        <w:tc>
          <w:tcPr>
            <w:tcW w:w="1900" w:type="pct"/>
            <w:hideMark/>
          </w:tcPr>
          <w:p w14:paraId="76149354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0.57/0.57</w:t>
            </w:r>
          </w:p>
        </w:tc>
        <w:tc>
          <w:tcPr>
            <w:tcW w:w="552" w:type="pct"/>
            <w:hideMark/>
          </w:tcPr>
          <w:p w14:paraId="0E65013E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0.57</w:t>
            </w:r>
          </w:p>
        </w:tc>
      </w:tr>
      <w:tr w:rsidR="00012CB8" w:rsidRPr="001768C3" w14:paraId="3C091C4A" w14:textId="77777777" w:rsidTr="00FF1884">
        <w:trPr>
          <w:trHeight w:val="584"/>
        </w:trPr>
        <w:tc>
          <w:tcPr>
            <w:tcW w:w="2067" w:type="pct"/>
          </w:tcPr>
          <w:p w14:paraId="55ABCAF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CRP (mg/dl)</w:t>
            </w:r>
          </w:p>
        </w:tc>
        <w:tc>
          <w:tcPr>
            <w:tcW w:w="481" w:type="pct"/>
          </w:tcPr>
          <w:p w14:paraId="3A957D8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83</w:t>
            </w:r>
          </w:p>
        </w:tc>
        <w:tc>
          <w:tcPr>
            <w:tcW w:w="1900" w:type="pct"/>
          </w:tcPr>
          <w:p w14:paraId="13FCA4AB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0.71/0.63</w:t>
            </w:r>
          </w:p>
        </w:tc>
        <w:tc>
          <w:tcPr>
            <w:tcW w:w="552" w:type="pct"/>
          </w:tcPr>
          <w:p w14:paraId="5E45EFB0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0.67</w:t>
            </w:r>
          </w:p>
        </w:tc>
      </w:tr>
      <w:tr w:rsidR="00012CB8" w:rsidRPr="001768C3" w14:paraId="581106DE" w14:textId="77777777" w:rsidTr="00FF1884">
        <w:trPr>
          <w:trHeight w:val="584"/>
        </w:trPr>
        <w:tc>
          <w:tcPr>
            <w:tcW w:w="2067" w:type="pct"/>
          </w:tcPr>
          <w:p w14:paraId="448F0532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LDH (U/l)</w:t>
            </w:r>
          </w:p>
        </w:tc>
        <w:tc>
          <w:tcPr>
            <w:tcW w:w="481" w:type="pct"/>
          </w:tcPr>
          <w:p w14:paraId="3DC71F7D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470.5</w:t>
            </w:r>
          </w:p>
        </w:tc>
        <w:tc>
          <w:tcPr>
            <w:tcW w:w="1900" w:type="pct"/>
          </w:tcPr>
          <w:p w14:paraId="1B0FCD76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0.49/0.83</w:t>
            </w:r>
          </w:p>
        </w:tc>
        <w:tc>
          <w:tcPr>
            <w:tcW w:w="552" w:type="pct"/>
          </w:tcPr>
          <w:p w14:paraId="4849F38B" w14:textId="77777777" w:rsidR="00012CB8" w:rsidRPr="001768C3" w:rsidRDefault="00012CB8" w:rsidP="00FF1884">
            <w:pPr>
              <w:rPr>
                <w:sz w:val="22"/>
                <w:szCs w:val="22"/>
              </w:rPr>
            </w:pPr>
            <w:r w:rsidRPr="001768C3">
              <w:rPr>
                <w:sz w:val="22"/>
                <w:szCs w:val="22"/>
              </w:rPr>
              <w:t>0.66</w:t>
            </w:r>
          </w:p>
        </w:tc>
      </w:tr>
    </w:tbl>
    <w:p w14:paraId="204157A7" w14:textId="77777777" w:rsidR="00012CB8" w:rsidRDefault="00012CB8" w:rsidP="00012CB8">
      <w:pPr>
        <w:pStyle w:val="Caption"/>
        <w:spacing w:before="0" w:beforeAutospacing="0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</w:p>
    <w:p w14:paraId="7A816D86" w14:textId="77777777" w:rsidR="00237F9D" w:rsidRPr="001768C3" w:rsidRDefault="00237F9D" w:rsidP="00237F9D"/>
    <w:p w14:paraId="5253AC28" w14:textId="77777777" w:rsidR="00237F9D" w:rsidRPr="001768C3" w:rsidRDefault="00237F9D" w:rsidP="00237F9D">
      <w:r w:rsidRPr="001768C3">
        <w:rPr>
          <w:rFonts w:ascii="Times New Roman" w:eastAsia="Calibri"/>
          <w:bCs/>
          <w:noProof/>
          <w:color w:val="000000"/>
        </w:rPr>
        <w:lastRenderedPageBreak/>
        <w:drawing>
          <wp:inline distT="0" distB="0" distL="0" distR="0" wp14:anchorId="6F12FC7F" wp14:editId="466D9889">
            <wp:extent cx="5710868" cy="3095413"/>
            <wp:effectExtent l="95250" t="95250" r="80645" b="673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66" cy="310440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F006BBF" w14:textId="509D0DE3" w:rsidR="00237F9D" w:rsidRDefault="00237F9D" w:rsidP="00237F9D">
      <w:pPr>
        <w:spacing w:after="200"/>
        <w:jc w:val="center"/>
        <w:rPr>
          <w:rFonts w:ascii="Times New Roman" w:eastAsia="Calibri"/>
          <w:color w:val="000000"/>
        </w:rPr>
      </w:pPr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 1: Bar diagram demonstrating the sensorium (GCS) at the time of intubation (n=100)</w:t>
      </w:r>
    </w:p>
    <w:p w14:paraId="1A0A1A2A" w14:textId="77777777" w:rsidR="00237F9D" w:rsidRPr="001768C3" w:rsidRDefault="00237F9D" w:rsidP="00237F9D">
      <w:pPr>
        <w:spacing w:after="200" w:line="480" w:lineRule="auto"/>
        <w:rPr>
          <w:rFonts w:ascii="Times New Roman" w:eastAsia="Calibri"/>
          <w:b/>
          <w:bCs/>
          <w:color w:val="000000"/>
        </w:rPr>
      </w:pPr>
    </w:p>
    <w:p w14:paraId="109A79F4" w14:textId="77777777" w:rsidR="00237F9D" w:rsidRPr="001768C3" w:rsidRDefault="00237F9D" w:rsidP="00237F9D">
      <w:r w:rsidRPr="001768C3">
        <w:rPr>
          <w:rFonts w:ascii="Times New Roman" w:eastAsia="Calibri"/>
          <w:bCs/>
          <w:noProof/>
          <w:color w:val="000000"/>
        </w:rPr>
        <w:drawing>
          <wp:inline distT="0" distB="0" distL="0" distR="0" wp14:anchorId="21E2D837" wp14:editId="168D7692">
            <wp:extent cx="4876800" cy="35872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3577" cy="359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53E11" w14:textId="69ED865E" w:rsidR="00237F9D" w:rsidRDefault="00237F9D" w:rsidP="00237F9D">
      <w:pPr>
        <w:spacing w:after="200"/>
        <w:jc w:val="center"/>
        <w:rPr>
          <w:rFonts w:ascii="Times New Roman" w:eastAsia="Calibri"/>
          <w:color w:val="000000"/>
        </w:rPr>
      </w:pPr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 2: ROC curve for mortality scores and inflammatory markers</w:t>
      </w:r>
    </w:p>
    <w:p w14:paraId="29574071" w14:textId="77777777" w:rsidR="00237F9D" w:rsidRDefault="00237F9D" w:rsidP="00237F9D">
      <w:r>
        <w:rPr>
          <w:noProof/>
        </w:rPr>
        <w:lastRenderedPageBreak/>
        <w:drawing>
          <wp:inline distT="0" distB="0" distL="0" distR="0" wp14:anchorId="00BF8103" wp14:editId="4DC506F0">
            <wp:extent cx="4584700" cy="2755900"/>
            <wp:effectExtent l="0" t="0" r="0" b="0"/>
            <wp:docPr id="138044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00AEA" w14:textId="18747AC6" w:rsidR="00237F9D" w:rsidRDefault="00237F9D" w:rsidP="00237F9D"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</w:t>
      </w:r>
      <w:r>
        <w:t xml:space="preserve"> 3: Predicted versus actual mortality across SOFA scores</w:t>
      </w:r>
    </w:p>
    <w:p w14:paraId="3B3A7161" w14:textId="77777777" w:rsidR="00237F9D" w:rsidRDefault="00237F9D" w:rsidP="00237F9D">
      <w:r>
        <w:rPr>
          <w:noProof/>
        </w:rPr>
        <w:drawing>
          <wp:inline distT="0" distB="0" distL="0" distR="0" wp14:anchorId="23D23953" wp14:editId="52EDFBD8">
            <wp:extent cx="4584700" cy="2755900"/>
            <wp:effectExtent l="0" t="0" r="0" b="0"/>
            <wp:docPr id="1829105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C6A15" w14:textId="6CDE7E0B" w:rsidR="00237F9D" w:rsidRDefault="00237F9D" w:rsidP="00237F9D"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</w:t>
      </w:r>
      <w:r>
        <w:t xml:space="preserve"> 4: Predicted versus actual mortality across APACHE II scores</w:t>
      </w:r>
    </w:p>
    <w:p w14:paraId="00FAECA8" w14:textId="77777777" w:rsidR="00237F9D" w:rsidRDefault="00237F9D" w:rsidP="00237F9D">
      <w:r w:rsidRPr="002E2DE1">
        <w:rPr>
          <w:noProof/>
        </w:rPr>
        <w:lastRenderedPageBreak/>
        <w:drawing>
          <wp:inline distT="0" distB="0" distL="0" distR="0" wp14:anchorId="30A415ED" wp14:editId="21E9F7EF">
            <wp:extent cx="4984651" cy="3627718"/>
            <wp:effectExtent l="0" t="0" r="0" b="0"/>
            <wp:docPr id="710169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697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4651" cy="362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5CC4A" w14:textId="5FFD3960" w:rsidR="00237F9D" w:rsidRDefault="00237F9D" w:rsidP="00237F9D"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</w:t>
      </w:r>
      <w:r>
        <w:t xml:space="preserve"> 5: CRP (mg/dl) and LDH (IU/L) values across SOFA score</w:t>
      </w:r>
      <w:r>
        <w:t>s</w:t>
      </w:r>
    </w:p>
    <w:p w14:paraId="699C5AAB" w14:textId="77777777" w:rsidR="00237F9D" w:rsidRDefault="00237F9D" w:rsidP="00237F9D">
      <w:r w:rsidRPr="00503BF7">
        <w:rPr>
          <w:noProof/>
        </w:rPr>
        <w:drawing>
          <wp:inline distT="0" distB="0" distL="0" distR="0" wp14:anchorId="2DE5C198" wp14:editId="6240AF25">
            <wp:extent cx="4969290" cy="3579906"/>
            <wp:effectExtent l="0" t="0" r="0" b="0"/>
            <wp:docPr id="2143134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343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9477" cy="35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F3AA6" w14:textId="1FF7518B" w:rsidR="00237F9D" w:rsidRDefault="00237F9D" w:rsidP="00237F9D">
      <w:r>
        <w:rPr>
          <w:rFonts w:ascii="Times New Roman" w:eastAsia="Calibri"/>
          <w:color w:val="000000"/>
        </w:rPr>
        <w:t>Supplementary f</w:t>
      </w:r>
      <w:r w:rsidRPr="001768C3">
        <w:rPr>
          <w:rFonts w:ascii="Times New Roman" w:eastAsia="Calibri"/>
          <w:color w:val="000000"/>
        </w:rPr>
        <w:t>igure</w:t>
      </w:r>
      <w:r>
        <w:t xml:space="preserve"> 6: CRP (mg/l) and LDH (IU/l) across APACHE II scores</w:t>
      </w:r>
    </w:p>
    <w:p w14:paraId="3089B4B1" w14:textId="77777777" w:rsidR="00237F9D" w:rsidRDefault="00237F9D" w:rsidP="00237F9D"/>
    <w:p w14:paraId="6CD95B9C" w14:textId="77777777" w:rsidR="00237F9D" w:rsidRDefault="00237F9D" w:rsidP="00237F9D"/>
    <w:p w14:paraId="791E8B48" w14:textId="77777777" w:rsidR="00237F9D" w:rsidRDefault="00237F9D" w:rsidP="00237F9D"/>
    <w:p w14:paraId="6E548335" w14:textId="77777777" w:rsidR="00237F9D" w:rsidRDefault="00237F9D" w:rsidP="00237F9D"/>
    <w:p w14:paraId="31692257" w14:textId="77777777" w:rsidR="00237F9D" w:rsidRPr="001768C3" w:rsidRDefault="00237F9D" w:rsidP="00237F9D">
      <w:pPr>
        <w:spacing w:after="200"/>
        <w:jc w:val="center"/>
        <w:rPr>
          <w:rFonts w:ascii="Times New Roman" w:eastAsia="Times New Roman"/>
          <w:kern w:val="0"/>
          <w:lang w:val="en-IN" w:eastAsia="en-IN"/>
        </w:rPr>
      </w:pPr>
    </w:p>
    <w:p w14:paraId="286ABD09" w14:textId="77777777" w:rsidR="00237F9D" w:rsidRDefault="00237F9D" w:rsidP="00237F9D"/>
    <w:p w14:paraId="7E3269D5" w14:textId="77777777" w:rsidR="00237F9D" w:rsidRDefault="00237F9D" w:rsidP="00237F9D"/>
    <w:p w14:paraId="39D851CD" w14:textId="77777777" w:rsidR="00C47AB8" w:rsidRDefault="00C47AB8"/>
    <w:sectPr w:rsidR="00C47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DEC"/>
    <w:rsid w:val="00012CB8"/>
    <w:rsid w:val="00237F9D"/>
    <w:rsid w:val="00281D60"/>
    <w:rsid w:val="00383B65"/>
    <w:rsid w:val="00C47AB8"/>
    <w:rsid w:val="00C6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71041"/>
  <w15:chartTrackingRefBased/>
  <w15:docId w15:val="{45461E58-0256-4A6E-9286-D3501437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012CB8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012CB8"/>
    <w:pPr>
      <w:spacing w:before="100" w:beforeAutospacing="1" w:after="200" w:line="240" w:lineRule="auto"/>
    </w:pPr>
    <w:rPr>
      <w:rFonts w:ascii="Calibri" w:eastAsia="Times New Roman" w:hAnsi="Calibri" w:cs="Mangal"/>
      <w:i/>
      <w:iCs/>
      <w:color w:val="44546A"/>
      <w:kern w:val="0"/>
      <w:sz w:val="18"/>
      <w:szCs w:val="18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</Words>
  <Characters>986</Characters>
  <Application>Microsoft Office Word</Application>
  <DocSecurity>0</DocSecurity>
  <Lines>75</Lines>
  <Paragraphs>61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SENGUPTA</dc:creator>
  <cp:keywords/>
  <dc:description/>
  <cp:lastModifiedBy>ABHISHEK SENGUPTA</cp:lastModifiedBy>
  <cp:revision>4</cp:revision>
  <dcterms:created xsi:type="dcterms:W3CDTF">2024-03-31T09:52:00Z</dcterms:created>
  <dcterms:modified xsi:type="dcterms:W3CDTF">2024-03-31T09:55:00Z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cd3848731233b2d969d4a742155640b7a3281b769e4e2338ff4ce64fc3e7446b</vt:lpwstr>
  </property>
</Properties>
</file>