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3907B" w14:textId="77777777" w:rsidR="00395418" w:rsidRDefault="00395418" w:rsidP="00395418">
      <w:pPr>
        <w:spacing w:line="480" w:lineRule="auto"/>
      </w:pPr>
      <w:r w:rsidRPr="007172D4">
        <w:rPr>
          <w:noProof/>
        </w:rPr>
        <w:drawing>
          <wp:inline distT="0" distB="0" distL="0" distR="0" wp14:anchorId="3E55A4EA" wp14:editId="76A47315">
            <wp:extent cx="5943600" cy="7739380"/>
            <wp:effectExtent l="0" t="0" r="0" b="0"/>
            <wp:docPr id="1420951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951491" name=""/>
                    <pic:cNvPicPr/>
                  </pic:nvPicPr>
                  <pic:blipFill>
                    <a:blip r:embed="rId4"/>
                    <a:stretch>
                      <a:fillRect/>
                    </a:stretch>
                  </pic:blipFill>
                  <pic:spPr>
                    <a:xfrm>
                      <a:off x="0" y="0"/>
                      <a:ext cx="5943600" cy="7739380"/>
                    </a:xfrm>
                    <a:prstGeom prst="rect">
                      <a:avLst/>
                    </a:prstGeom>
                  </pic:spPr>
                </pic:pic>
              </a:graphicData>
            </a:graphic>
          </wp:inline>
        </w:drawing>
      </w:r>
    </w:p>
    <w:p w14:paraId="6D6A79CD" w14:textId="77777777" w:rsidR="00395418" w:rsidRDefault="00395418" w:rsidP="00395418">
      <w:pPr>
        <w:spacing w:line="480" w:lineRule="auto"/>
      </w:pPr>
    </w:p>
    <w:p w14:paraId="28CF9360" w14:textId="77777777" w:rsidR="00395418" w:rsidRDefault="00395418" w:rsidP="00395418">
      <w:pPr>
        <w:spacing w:line="480" w:lineRule="auto"/>
      </w:pPr>
      <w:r w:rsidRPr="006D32F6">
        <w:rPr>
          <w:b/>
          <w:bCs/>
        </w:rPr>
        <w:lastRenderedPageBreak/>
        <w:t>Table 1</w:t>
      </w:r>
      <w:r>
        <w:t xml:space="preserve">: Top brain regions of interest (ROIs) for major depressive disorder (MDD) for different feature selection methods. Analyses were done using the Brainnetome Atlas (top table) and AAL atlas (bottom table). Feature selection methods include correlation-diff NPDR with LASSO penalty, correlation-diff-NPDR with adjusted p-value, centrality NPDR with adjusted p-value and degree, and centrality random-forest with degree (top values chosen to match length of other methods). ROIs involving MTG (middle temporal gyrus) are highlighted. </w:t>
      </w:r>
    </w:p>
    <w:p w14:paraId="6675B354"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418"/>
    <w:rsid w:val="00395418"/>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1EA1A"/>
  <w15:chartTrackingRefBased/>
  <w15:docId w15:val="{84AA156C-6F63-4923-8A17-BF6C84346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418"/>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Words>
  <Characters>462</Characters>
  <Application>Microsoft Office Word</Application>
  <DocSecurity>0</DocSecurity>
  <Lines>3</Lines>
  <Paragraphs>1</Paragraphs>
  <ScaleCrop>false</ScaleCrop>
  <Company>Springer Nature</Company>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2024-04-01T07:53:00Z</dcterms:created>
  <dcterms:modified xsi:type="dcterms:W3CDTF">2024-04-01T07:53:00Z</dcterms:modified>
</cp:coreProperties>
</file>