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2A3F">
        <w:rPr>
          <w:rFonts w:ascii="Times New Roman" w:eastAsia="Times New Roman" w:hAnsi="Times New Roman" w:cs="Times New Roman"/>
          <w:b/>
          <w:sz w:val="24"/>
          <w:szCs w:val="24"/>
        </w:rPr>
        <w:t>Supplemental Material</w:t>
      </w: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62A3F">
        <w:rPr>
          <w:rFonts w:ascii="Times New Roman" w:eastAsia="Times New Roman" w:hAnsi="Times New Roman" w:cs="Times New Roman"/>
          <w:b/>
          <w:sz w:val="24"/>
          <w:szCs w:val="24"/>
        </w:rPr>
        <w:t>Supplemental Table 1.</w:t>
      </w:r>
      <w:r w:rsidRPr="00862A3F">
        <w:rPr>
          <w:rFonts w:ascii="Times New Roman" w:eastAsia="Times New Roman" w:hAnsi="Times New Roman" w:cs="Times New Roman"/>
          <w:sz w:val="24"/>
          <w:szCs w:val="24"/>
        </w:rPr>
        <w:t xml:space="preserve"> Time in EHR for diabetes cases identified by the rule-based ICD-10 status and type algorithm.</w:t>
      </w:r>
    </w:p>
    <w:tbl>
      <w:tblPr>
        <w:tblStyle w:val="TableGrid"/>
        <w:tblW w:w="9745" w:type="dxa"/>
        <w:tblInd w:w="-5" w:type="dxa"/>
        <w:tblLook w:val="04A0" w:firstRow="1" w:lastRow="0" w:firstColumn="1" w:lastColumn="0" w:noHBand="0" w:noVBand="1"/>
      </w:tblPr>
      <w:tblGrid>
        <w:gridCol w:w="3510"/>
        <w:gridCol w:w="1558"/>
        <w:gridCol w:w="1559"/>
        <w:gridCol w:w="1559"/>
        <w:gridCol w:w="1559"/>
      </w:tblGrid>
      <w:tr w:rsidR="00862A3F" w:rsidRPr="00862A3F" w:rsidTr="00412AC7">
        <w:trPr>
          <w:trHeight w:val="413"/>
        </w:trPr>
        <w:tc>
          <w:tcPr>
            <w:tcW w:w="3510" w:type="dxa"/>
          </w:tcPr>
          <w:p w:rsidR="00862A3F" w:rsidRPr="00862A3F" w:rsidRDefault="00862A3F" w:rsidP="00862A3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Rule-based ICD-10 Algorithm Diabetes Type</w:t>
            </w:r>
          </w:p>
        </w:tc>
        <w:tc>
          <w:tcPr>
            <w:tcW w:w="1558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62A3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Type 1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62A3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Type 2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62A3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Other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62A3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Total</w:t>
            </w:r>
          </w:p>
        </w:tc>
      </w:tr>
      <w:tr w:rsidR="00862A3F" w:rsidRPr="00862A3F" w:rsidTr="00412AC7">
        <w:trPr>
          <w:trHeight w:val="413"/>
        </w:trPr>
        <w:tc>
          <w:tcPr>
            <w:tcW w:w="3510" w:type="dxa"/>
            <w:vAlign w:val="center"/>
          </w:tcPr>
          <w:p w:rsidR="00862A3F" w:rsidRPr="00862A3F" w:rsidRDefault="00862A3F" w:rsidP="00862A3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Case Count</w:t>
            </w:r>
          </w:p>
        </w:tc>
        <w:tc>
          <w:tcPr>
            <w:tcW w:w="1558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3314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419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3777</w:t>
            </w:r>
          </w:p>
        </w:tc>
      </w:tr>
      <w:tr w:rsidR="00862A3F" w:rsidRPr="00862A3F" w:rsidTr="00412AC7">
        <w:trPr>
          <w:trHeight w:val="720"/>
        </w:trPr>
        <w:tc>
          <w:tcPr>
            <w:tcW w:w="3510" w:type="dxa"/>
            <w:vAlign w:val="center"/>
          </w:tcPr>
          <w:p w:rsidR="00862A3F" w:rsidRPr="00862A3F" w:rsidRDefault="00862A3F" w:rsidP="00862A3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Mean total months in EHR</w:t>
            </w:r>
          </w:p>
          <w:p w:rsidR="00862A3F" w:rsidRPr="00862A3F" w:rsidRDefault="00862A3F" w:rsidP="00862A3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(SD)</w:t>
            </w:r>
          </w:p>
        </w:tc>
        <w:tc>
          <w:tcPr>
            <w:tcW w:w="1558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60.5 (30.3)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57.2 (32.6)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51.2 (32.5)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60.0 (30.6)</w:t>
            </w:r>
          </w:p>
        </w:tc>
      </w:tr>
      <w:tr w:rsidR="00862A3F" w:rsidRPr="00862A3F" w:rsidTr="00412AC7">
        <w:trPr>
          <w:trHeight w:val="720"/>
        </w:trPr>
        <w:tc>
          <w:tcPr>
            <w:tcW w:w="3510" w:type="dxa"/>
            <w:vAlign w:val="center"/>
          </w:tcPr>
          <w:p w:rsidR="00862A3F" w:rsidRPr="00862A3F" w:rsidRDefault="00862A3F" w:rsidP="00862A3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Diagnosis calendar month/year is same as EHR entry </w:t>
            </w:r>
          </w:p>
          <w:p w:rsidR="00862A3F" w:rsidRPr="00862A3F" w:rsidRDefault="00862A3F" w:rsidP="00862A3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 (%)</w:t>
            </w:r>
          </w:p>
        </w:tc>
        <w:tc>
          <w:tcPr>
            <w:tcW w:w="1558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1799 (54.3)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111 (26.5)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 (13.6)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1916 (50.7)</w:t>
            </w:r>
          </w:p>
        </w:tc>
      </w:tr>
      <w:tr w:rsidR="00862A3F" w:rsidRPr="00862A3F" w:rsidTr="00412AC7">
        <w:trPr>
          <w:trHeight w:val="720"/>
        </w:trPr>
        <w:tc>
          <w:tcPr>
            <w:tcW w:w="9745" w:type="dxa"/>
            <w:gridSpan w:val="5"/>
            <w:vAlign w:val="center"/>
          </w:tcPr>
          <w:p w:rsidR="00862A3F" w:rsidRPr="00862A3F" w:rsidRDefault="00862A3F" w:rsidP="00862A3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Evidence: Time occurrence of two or more ICD diabetes codes</w:t>
            </w:r>
          </w:p>
        </w:tc>
      </w:tr>
      <w:tr w:rsidR="00862A3F" w:rsidRPr="00862A3F" w:rsidTr="00412AC7">
        <w:trPr>
          <w:trHeight w:val="720"/>
        </w:trPr>
        <w:tc>
          <w:tcPr>
            <w:tcW w:w="3510" w:type="dxa"/>
            <w:vAlign w:val="center"/>
          </w:tcPr>
          <w:p w:rsidR="00862A3F" w:rsidRPr="00862A3F" w:rsidRDefault="00862A3F" w:rsidP="00862A3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Mean months without evidence in months (SD)</w:t>
            </w:r>
          </w:p>
        </w:tc>
        <w:tc>
          <w:tcPr>
            <w:tcW w:w="1558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14.1 (24.6)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32.70 (32.13)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26.11 (28.19)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16.24 (26.22)</w:t>
            </w:r>
          </w:p>
        </w:tc>
      </w:tr>
      <w:tr w:rsidR="00862A3F" w:rsidRPr="00862A3F" w:rsidTr="00412AC7">
        <w:trPr>
          <w:trHeight w:val="720"/>
        </w:trPr>
        <w:tc>
          <w:tcPr>
            <w:tcW w:w="3510" w:type="dxa"/>
            <w:vAlign w:val="center"/>
          </w:tcPr>
          <w:p w:rsidR="00862A3F" w:rsidRPr="00862A3F" w:rsidRDefault="00862A3F" w:rsidP="00862A3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Enter EHR and evidence within the same month </w:t>
            </w:r>
          </w:p>
          <w:p w:rsidR="00862A3F" w:rsidRPr="00862A3F" w:rsidRDefault="00862A3F" w:rsidP="00862A3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 (%)</w:t>
            </w:r>
          </w:p>
        </w:tc>
        <w:tc>
          <w:tcPr>
            <w:tcW w:w="1558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2114 (63.8)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133 (31.7)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 (18.2)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2255 (59.7)</w:t>
            </w:r>
          </w:p>
        </w:tc>
      </w:tr>
      <w:tr w:rsidR="00862A3F" w:rsidRPr="00862A3F" w:rsidTr="00412AC7">
        <w:trPr>
          <w:trHeight w:val="720"/>
        </w:trPr>
        <w:tc>
          <w:tcPr>
            <w:tcW w:w="3510" w:type="dxa"/>
            <w:vAlign w:val="center"/>
          </w:tcPr>
          <w:p w:rsidR="00862A3F" w:rsidRPr="00862A3F" w:rsidRDefault="00862A3F" w:rsidP="00862A3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Entry into EHR and first diabetes evidence within 6 months</w:t>
            </w:r>
          </w:p>
          <w:p w:rsidR="00862A3F" w:rsidRPr="00862A3F" w:rsidRDefault="00862A3F" w:rsidP="00862A3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 (%)</w:t>
            </w:r>
          </w:p>
        </w:tc>
        <w:tc>
          <w:tcPr>
            <w:tcW w:w="1558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2258 (68.1)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161 (38.4)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 (36.4)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2435 (64.5)</w:t>
            </w:r>
          </w:p>
        </w:tc>
      </w:tr>
      <w:tr w:rsidR="00862A3F" w:rsidRPr="00862A3F" w:rsidTr="00412AC7">
        <w:trPr>
          <w:trHeight w:val="720"/>
        </w:trPr>
        <w:tc>
          <w:tcPr>
            <w:tcW w:w="3510" w:type="dxa"/>
            <w:vAlign w:val="center"/>
          </w:tcPr>
          <w:p w:rsidR="00862A3F" w:rsidRPr="00862A3F" w:rsidRDefault="00862A3F" w:rsidP="00862A3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Entry into EHR and first diabetes evidence within 12 months</w:t>
            </w:r>
          </w:p>
          <w:p w:rsidR="00862A3F" w:rsidRPr="00862A3F" w:rsidRDefault="00862A3F" w:rsidP="00862A3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 (%)</w:t>
            </w:r>
          </w:p>
        </w:tc>
        <w:tc>
          <w:tcPr>
            <w:tcW w:w="1558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2357 (71.1)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177 (42.2)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 (40.9)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2552 (67.6)</w:t>
            </w:r>
          </w:p>
        </w:tc>
      </w:tr>
      <w:tr w:rsidR="00862A3F" w:rsidRPr="00862A3F" w:rsidTr="00412AC7">
        <w:trPr>
          <w:trHeight w:val="720"/>
        </w:trPr>
        <w:tc>
          <w:tcPr>
            <w:tcW w:w="9745" w:type="dxa"/>
            <w:gridSpan w:val="5"/>
            <w:vAlign w:val="center"/>
          </w:tcPr>
          <w:p w:rsidR="00862A3F" w:rsidRPr="00862A3F" w:rsidRDefault="00862A3F" w:rsidP="00862A3F">
            <w:pPr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</w:pPr>
            <w:r w:rsidRPr="00862A3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  <w:t>Evidence: First occurrence of any item in the multiple-criteria algorithm</w:t>
            </w:r>
          </w:p>
        </w:tc>
      </w:tr>
      <w:tr w:rsidR="00862A3F" w:rsidRPr="00862A3F" w:rsidTr="00412AC7">
        <w:trPr>
          <w:trHeight w:val="720"/>
        </w:trPr>
        <w:tc>
          <w:tcPr>
            <w:tcW w:w="3510" w:type="dxa"/>
            <w:vAlign w:val="center"/>
          </w:tcPr>
          <w:p w:rsidR="00862A3F" w:rsidRPr="00862A3F" w:rsidRDefault="00862A3F" w:rsidP="00862A3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Mean months without evidence in months (SD)</w:t>
            </w:r>
          </w:p>
        </w:tc>
        <w:tc>
          <w:tcPr>
            <w:tcW w:w="1558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13.7 (24.4)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26.6 (29.9)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18.89 (23.0)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15.2 (25.4)</w:t>
            </w:r>
          </w:p>
        </w:tc>
      </w:tr>
      <w:tr w:rsidR="00862A3F" w:rsidRPr="00862A3F" w:rsidTr="00412AC7">
        <w:trPr>
          <w:trHeight w:val="720"/>
        </w:trPr>
        <w:tc>
          <w:tcPr>
            <w:tcW w:w="3510" w:type="dxa"/>
            <w:vAlign w:val="center"/>
          </w:tcPr>
          <w:p w:rsidR="00862A3F" w:rsidRPr="00862A3F" w:rsidRDefault="00862A3F" w:rsidP="00862A3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Enter EHR and evidence within the same month </w:t>
            </w:r>
          </w:p>
          <w:p w:rsidR="00862A3F" w:rsidRPr="00862A3F" w:rsidRDefault="00862A3F" w:rsidP="00862A3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 (%)</w:t>
            </w:r>
          </w:p>
        </w:tc>
        <w:tc>
          <w:tcPr>
            <w:tcW w:w="1558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2165 (65.3)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152 (36.3)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 (31.8)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2331 (61.7)</w:t>
            </w:r>
          </w:p>
        </w:tc>
      </w:tr>
      <w:tr w:rsidR="00862A3F" w:rsidRPr="00862A3F" w:rsidTr="00412AC7">
        <w:trPr>
          <w:trHeight w:val="720"/>
        </w:trPr>
        <w:tc>
          <w:tcPr>
            <w:tcW w:w="3510" w:type="dxa"/>
            <w:vAlign w:val="center"/>
          </w:tcPr>
          <w:p w:rsidR="00862A3F" w:rsidRPr="00862A3F" w:rsidRDefault="00862A3F" w:rsidP="00862A3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Entry into EHR and first diabetes evidence within 6 months</w:t>
            </w:r>
          </w:p>
          <w:p w:rsidR="00862A3F" w:rsidRPr="00862A3F" w:rsidRDefault="00862A3F" w:rsidP="00862A3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 (%)</w:t>
            </w:r>
          </w:p>
        </w:tc>
        <w:tc>
          <w:tcPr>
            <w:tcW w:w="1558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2281 (68.8)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178 (42.5)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 (45.5)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2479 (65.6)</w:t>
            </w:r>
          </w:p>
        </w:tc>
      </w:tr>
      <w:tr w:rsidR="00862A3F" w:rsidRPr="00862A3F" w:rsidTr="00412AC7">
        <w:trPr>
          <w:trHeight w:val="720"/>
        </w:trPr>
        <w:tc>
          <w:tcPr>
            <w:tcW w:w="3510" w:type="dxa"/>
            <w:vAlign w:val="center"/>
          </w:tcPr>
          <w:p w:rsidR="00862A3F" w:rsidRPr="00862A3F" w:rsidRDefault="00862A3F" w:rsidP="00862A3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Entry into EHR and first diabetes evidence within 12 months</w:t>
            </w:r>
          </w:p>
          <w:p w:rsidR="00862A3F" w:rsidRPr="00862A3F" w:rsidRDefault="00862A3F" w:rsidP="00862A3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 (%)</w:t>
            </w:r>
          </w:p>
        </w:tc>
        <w:tc>
          <w:tcPr>
            <w:tcW w:w="1558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2379 (71.8)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195 (46.5)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 (52.3)</w:t>
            </w:r>
          </w:p>
        </w:tc>
        <w:tc>
          <w:tcPr>
            <w:tcW w:w="1559" w:type="dxa"/>
            <w:vAlign w:val="center"/>
          </w:tcPr>
          <w:p w:rsidR="00862A3F" w:rsidRPr="00862A3F" w:rsidRDefault="00862A3F" w:rsidP="00862A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A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2597 (68.8)</w:t>
            </w:r>
          </w:p>
        </w:tc>
      </w:tr>
    </w:tbl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62A3F">
        <w:rPr>
          <w:rFonts w:ascii="Times New Roman" w:eastAsia="Times New Roman" w:hAnsi="Times New Roman" w:cs="Times New Roman"/>
          <w:sz w:val="24"/>
          <w:szCs w:val="24"/>
        </w:rPr>
        <w:lastRenderedPageBreak/>
        <w:t>Start of time in the EHR was considered the first month and year in which a patient had any recorded EHR measurement within any domain (diagnosis codes, vitals, laboratory measurements, and medications.)</w:t>
      </w: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62A3F">
        <w:rPr>
          <w:rFonts w:ascii="Times New Roman" w:eastAsia="Times New Roman" w:hAnsi="Times New Roman" w:cs="Times New Roman"/>
          <w:b/>
          <w:sz w:val="24"/>
          <w:szCs w:val="24"/>
        </w:rPr>
        <w:t>Supplemental Figure 1</w:t>
      </w:r>
      <w:r w:rsidRPr="00862A3F">
        <w:rPr>
          <w:rFonts w:ascii="Times New Roman" w:eastAsia="Times New Roman" w:hAnsi="Times New Roman" w:cs="Times New Roman"/>
          <w:sz w:val="24"/>
          <w:szCs w:val="24"/>
        </w:rPr>
        <w:t>: Diabetes status and type classification matrix of rule-based ICD-10 status/type algorithm.</w:t>
      </w:r>
    </w:p>
    <w:p w:rsidR="00862A3F" w:rsidRPr="00862A3F" w:rsidRDefault="00862A3F" w:rsidP="00862A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A3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C0B142" wp14:editId="125CE8CD">
            <wp:extent cx="5943600" cy="25711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 figure 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62A3F">
        <w:rPr>
          <w:rFonts w:ascii="Times New Roman" w:eastAsia="Times New Roman" w:hAnsi="Times New Roman" w:cs="Times New Roman"/>
          <w:sz w:val="24"/>
          <w:szCs w:val="24"/>
        </w:rPr>
        <w:t>This ICD-10 algorithm identified a sub-population of cases within which date of diagnosis algorithms were tested.</w:t>
      </w:r>
      <w:r w:rsidRPr="00862A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This classification matrix shows comparison </w:t>
      </w:r>
      <w:r w:rsidRPr="00862A3F">
        <w:rPr>
          <w:rFonts w:ascii="Times New Roman" w:eastAsia="Times New Roman" w:hAnsi="Times New Roman" w:cs="Times New Roman"/>
          <w:sz w:val="24"/>
          <w:szCs w:val="24"/>
        </w:rPr>
        <w:t>to gold standard status and type identified.</w:t>
      </w: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62A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Supplemental Figure 2:</w:t>
      </w:r>
      <w:r w:rsidRPr="00862A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Algorithm percent agreement with gold standard year of diagnosis by sit</w:t>
      </w:r>
      <w:r w:rsidRPr="00862A3F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115BC051" wp14:editId="07ED8D9D">
            <wp:extent cx="5930020" cy="38749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ysite.tif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359" r="229"/>
                    <a:stretch/>
                  </pic:blipFill>
                  <pic:spPr bwMode="auto">
                    <a:xfrm>
                      <a:off x="0" y="0"/>
                      <a:ext cx="5930020" cy="3874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62A3F">
        <w:rPr>
          <w:rFonts w:ascii="Times New Roman" w:eastAsia="Times New Roman" w:hAnsi="Times New Roman" w:cs="Times New Roman"/>
          <w:sz w:val="24"/>
          <w:szCs w:val="24"/>
        </w:rPr>
        <w:t>Non-diabetes observations (n=107) incorrectly identified by the rule-based ICD-10 algorithm and diabetes cases (n=119) with gold standard date of diagnosis preceding 2009 are not visualized.</w:t>
      </w: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62A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Supplemental Figure 3</w:t>
      </w:r>
      <w:r w:rsidRPr="00862A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Algorithm percent agreement with calendar month/year (</w:t>
      </w:r>
      <w:r w:rsidRPr="00862A3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+</w:t>
      </w:r>
      <w:r w:rsidRPr="00862A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One Month).</w:t>
      </w:r>
    </w:p>
    <w:p w:rsidR="00862A3F" w:rsidRPr="00862A3F" w:rsidRDefault="00862A3F" w:rsidP="00862A3F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62A3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F5E7DA0" wp14:editId="270648CE">
            <wp:extent cx="5943600" cy="41706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al Figure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62A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Results aggregated by diagnosis year. Non-diabetes observations (n=107) incorrectly identified by the ICD-10 rule-based algorithm and diabetes cases (n=119) with gold standard date of diagnosis preceding 2009 are not visualized.</w:t>
      </w: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62A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62A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Supplemental Figure 4: </w:t>
      </w:r>
      <w:r w:rsidRPr="00862A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Algorithm percent agreement with calendar month/year (</w:t>
      </w:r>
      <w:r w:rsidRPr="00862A3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+</w:t>
      </w:r>
      <w:r w:rsidRPr="00862A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One Month).</w:t>
      </w: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62A3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723CCF8" wp14:editId="737B2088">
            <wp:extent cx="5943600" cy="38138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l Figure 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62A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Results aggregated by diagnosis year. Non-diabetes observations (n=107) incorrectly identified by the ICD-10 rule-based algorithm and diabetes cases (n=119) with gold standard date of diagnosis preceding 2009 are not visualized.</w:t>
      </w: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62A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Supplemental Figure 5</w:t>
      </w:r>
      <w:r w:rsidRPr="00862A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Multiple-criteria algorithm and gold standard date of diagnosis concordance.</w:t>
      </w: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62A3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59BE476" wp14:editId="589861CD">
            <wp:extent cx="475234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l Figure 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A3F" w:rsidRPr="00862A3F" w:rsidRDefault="00862A3F" w:rsidP="00862A3F">
      <w:pPr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62A3F">
        <w:rPr>
          <w:rFonts w:ascii="Times New Roman" w:eastAsia="Times New Roman" w:hAnsi="Times New Roman" w:cs="Times New Roman"/>
          <w:sz w:val="24"/>
          <w:szCs w:val="24"/>
        </w:rPr>
        <w:lastRenderedPageBreak/>
        <w:t>In Panel A, the diagonal line represents perfect alignment of calendar month/year between the predicted and gold standard date of diagnosis for diabetes cases. The accompanying histogram in Panel B demonstrates frequency of diabetes cases by type and within each year as the intensity of the 45 degree line is not easily discernable.</w:t>
      </w:r>
    </w:p>
    <w:p w:rsidR="00E811CA" w:rsidRDefault="00862A3F">
      <w:bookmarkStart w:id="0" w:name="_GoBack"/>
      <w:bookmarkEnd w:id="0"/>
    </w:p>
    <w:sectPr w:rsidR="00E811CA" w:rsidSect="003B461A">
      <w:footerReference w:type="default" r:id="rId9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41921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A749E" w:rsidRDefault="00862A3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A749E" w:rsidRDefault="00862A3F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A3F"/>
    <w:rsid w:val="002C6B88"/>
    <w:rsid w:val="00862A3F"/>
    <w:rsid w:val="00E2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767CB3-973B-40A3-B797-90B41C02E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862A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2A3F"/>
  </w:style>
  <w:style w:type="table" w:styleId="TableGrid">
    <w:name w:val="Table Grid"/>
    <w:basedOn w:val="TableNormal"/>
    <w:uiPriority w:val="39"/>
    <w:rsid w:val="00862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862A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WFBH</Company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Macfarlane Lenoir</dc:creator>
  <cp:keywords/>
  <dc:description/>
  <cp:lastModifiedBy>Kristin Macfarlane Lenoir</cp:lastModifiedBy>
  <cp:revision>1</cp:revision>
  <dcterms:created xsi:type="dcterms:W3CDTF">2021-04-13T14:36:00Z</dcterms:created>
  <dcterms:modified xsi:type="dcterms:W3CDTF">2021-04-13T14:36:00Z</dcterms:modified>
</cp:coreProperties>
</file>