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4F59" w14:textId="3EDEE15C" w:rsidR="00ED7A0B" w:rsidRDefault="00ED7A0B" w:rsidP="00ED7A0B">
      <w:pPr>
        <w:pStyle w:val="Heading1"/>
        <w:rPr>
          <w:b/>
          <w:bCs/>
          <w:sz w:val="48"/>
          <w:szCs w:val="48"/>
          <w:lang w:val="en-US"/>
        </w:rPr>
      </w:pPr>
      <w:r w:rsidRPr="00467A77">
        <w:rPr>
          <w:b/>
          <w:bCs/>
          <w:sz w:val="48"/>
          <w:szCs w:val="48"/>
          <w:lang w:val="en-US"/>
        </w:rPr>
        <w:t xml:space="preserve">Tables </w:t>
      </w:r>
    </w:p>
    <w:p w14:paraId="539FE48D" w14:textId="77777777" w:rsidR="00467A77" w:rsidRPr="00467A77" w:rsidRDefault="00467A77" w:rsidP="00467A77">
      <w:pPr>
        <w:rPr>
          <w:lang w:val="en-US"/>
        </w:rPr>
      </w:pPr>
    </w:p>
    <w:p w14:paraId="5BF8C0B4" w14:textId="3D5212A4" w:rsidR="00ED7A0B" w:rsidRDefault="00ED7A0B" w:rsidP="00ED7A0B">
      <w:pPr>
        <w:keepNext/>
        <w:spacing w:after="200"/>
        <w:rPr>
          <w:rFonts w:ascii="Arial" w:eastAsia="Arial" w:hAnsi="Arial" w:cs="Arial"/>
          <w:b/>
          <w:bCs/>
          <w:color w:val="003F75"/>
          <w:sz w:val="24"/>
          <w:szCs w:val="24"/>
        </w:rPr>
      </w:pPr>
      <w:r w:rsidRPr="0F580835">
        <w:rPr>
          <w:rFonts w:ascii="Arial" w:eastAsia="Arial" w:hAnsi="Arial" w:cs="Arial"/>
          <w:b/>
          <w:bCs/>
          <w:color w:val="003F75"/>
          <w:sz w:val="24"/>
          <w:szCs w:val="24"/>
          <w:lang w:val="en-US"/>
        </w:rPr>
        <w:t>Table 1</w:t>
      </w:r>
      <w:r w:rsidR="00D864C4">
        <w:rPr>
          <w:rFonts w:ascii="Arial" w:eastAsia="Arial" w:hAnsi="Arial" w:cs="Arial"/>
          <w:b/>
          <w:bCs/>
          <w:color w:val="003F75"/>
          <w:sz w:val="24"/>
          <w:szCs w:val="24"/>
          <w:lang w:val="en-US"/>
        </w:rPr>
        <w:t xml:space="preserve"> </w:t>
      </w:r>
      <w:r w:rsidRPr="0F580835">
        <w:rPr>
          <w:rFonts w:ascii="Arial" w:eastAsia="Arial" w:hAnsi="Arial" w:cs="Arial"/>
          <w:color w:val="003F75"/>
          <w:sz w:val="24"/>
          <w:szCs w:val="24"/>
          <w:lang w:val="en-US"/>
        </w:rPr>
        <w:t xml:space="preserve">Description of the selected SOC monitoring approaches </w:t>
      </w:r>
    </w:p>
    <w:tbl>
      <w:tblPr>
        <w:tblW w:w="9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66"/>
        <w:gridCol w:w="1325"/>
        <w:gridCol w:w="1325"/>
        <w:gridCol w:w="1325"/>
        <w:gridCol w:w="2203"/>
        <w:gridCol w:w="770"/>
      </w:tblGrid>
      <w:tr w:rsidR="00ED7A0B" w14:paraId="340BA59D" w14:textId="77777777" w:rsidTr="005757BC">
        <w:trPr>
          <w:trHeight w:val="105"/>
        </w:trPr>
        <w:tc>
          <w:tcPr>
            <w:tcW w:w="20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  <w:vAlign w:val="center"/>
          </w:tcPr>
          <w:p w14:paraId="71059C25" w14:textId="77777777" w:rsidR="00ED7A0B" w:rsidRDefault="00ED7A0B" w:rsidP="005B61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 xml:space="preserve">Code </w:t>
            </w: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(Definition)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F4420B6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Data collection</w:t>
            </w:r>
          </w:p>
        </w:tc>
        <w:tc>
          <w:tcPr>
            <w:tcW w:w="22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  <w:vAlign w:val="center"/>
          </w:tcPr>
          <w:p w14:paraId="73A7EE42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Analysis</w:t>
            </w:r>
          </w:p>
        </w:tc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  <w:vAlign w:val="center"/>
          </w:tcPr>
          <w:p w14:paraId="0C6C5BD5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Domain</w:t>
            </w:r>
          </w:p>
        </w:tc>
      </w:tr>
      <w:tr w:rsidR="00ED7A0B" w14:paraId="7FE8583B" w14:textId="77777777" w:rsidTr="005757BC">
        <w:trPr>
          <w:trHeight w:val="105"/>
        </w:trPr>
        <w:tc>
          <w:tcPr>
            <w:tcW w:w="2066" w:type="dxa"/>
            <w:vMerge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  <w:vAlign w:val="center"/>
          </w:tcPr>
          <w:p w14:paraId="3DDD4A75" w14:textId="77777777" w:rsidR="00ED7A0B" w:rsidRDefault="00ED7A0B" w:rsidP="005B61CA"/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D7E3CD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Procedure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EF14293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Sample size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2893D10E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Frequency</w:t>
            </w:r>
          </w:p>
        </w:tc>
        <w:tc>
          <w:tcPr>
            <w:tcW w:w="2203" w:type="dxa"/>
            <w:vMerge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  <w:vAlign w:val="center"/>
          </w:tcPr>
          <w:p w14:paraId="49C7BCC9" w14:textId="77777777" w:rsidR="00ED7A0B" w:rsidRDefault="00ED7A0B" w:rsidP="005B61CA"/>
        </w:tc>
        <w:tc>
          <w:tcPr>
            <w:tcW w:w="770" w:type="dxa"/>
            <w:vMerge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  <w:vAlign w:val="center"/>
          </w:tcPr>
          <w:p w14:paraId="0EA2356D" w14:textId="77777777" w:rsidR="00ED7A0B" w:rsidRDefault="00ED7A0B" w:rsidP="005B61CA"/>
        </w:tc>
      </w:tr>
      <w:tr w:rsidR="00ED7A0B" w14:paraId="742DC58E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0F8DD423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00E9208" wp14:editId="0A0501C5">
                  <wp:extent cx="342900" cy="342900"/>
                  <wp:effectExtent l="0" t="0" r="0" b="0"/>
                  <wp:docPr id="958125291" name="Picture 958125291" descr="Beak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FEA34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L1</w:t>
            </w:r>
          </w:p>
          <w:p w14:paraId="30989C2B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(Laboratory Analysis 1)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9ABD7D7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Soil samples collected professionally.</w:t>
            </w:r>
          </w:p>
          <w:p w14:paraId="0084321E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A8368A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E530B57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Every 4 years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2E6D5C8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Wet chemistry</w:t>
            </w:r>
          </w:p>
          <w:p w14:paraId="4CA436F1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(Dry combustion)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52DC9AD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</w:t>
            </w:r>
          </w:p>
        </w:tc>
      </w:tr>
      <w:tr w:rsidR="00ED7A0B" w14:paraId="6B28C195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B00DE6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219344" wp14:editId="0C1B9A75">
                  <wp:extent cx="447675" cy="266700"/>
                  <wp:effectExtent l="0" t="0" r="0" b="0"/>
                  <wp:docPr id="294030609" name="Picture 294030609" descr="A close-up of a machin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12582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L2</w:t>
            </w:r>
          </w:p>
          <w:p w14:paraId="28E8AB05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(Laboratory Analysis 2)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F59A8A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Soil samples collected professionally.</w:t>
            </w:r>
          </w:p>
          <w:p w14:paraId="69364AB1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2DC48B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37DF30D6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Every 4 years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086141B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Dry chemistry (MIR spectroscopy)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623816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</w:t>
            </w:r>
          </w:p>
        </w:tc>
      </w:tr>
      <w:tr w:rsidR="00ED7A0B" w14:paraId="09B66519" w14:textId="77777777" w:rsidTr="00ED7A0B">
        <w:trPr>
          <w:trHeight w:val="82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597578F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A012CA2" wp14:editId="3A1A0A2F">
                  <wp:extent cx="276225" cy="438150"/>
                  <wp:effectExtent l="0" t="0" r="0" b="0"/>
                  <wp:docPr id="1980132263" name="Picture 1980132263" descr="A picture containing opener, 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6C81D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PS1</w:t>
            </w:r>
          </w:p>
          <w:p w14:paraId="2137DF1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(Proximal sensing 1)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7767E65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Soils scanned in-field by trained farmer representatives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7DBF15D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BC73C3F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Every 4 years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555F3752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In-field (Vis-NIR) spectroscopy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0DA1723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</w:t>
            </w:r>
          </w:p>
        </w:tc>
      </w:tr>
      <w:tr w:rsidR="00ED7A0B" w14:paraId="260871EB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35511938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40583EB" wp14:editId="32A295DB">
                  <wp:extent cx="276225" cy="438150"/>
                  <wp:effectExtent l="0" t="0" r="0" b="0"/>
                  <wp:docPr id="249539957" name="Picture 249539957" descr="A picture containing opener, 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41487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PS2</w:t>
            </w:r>
          </w:p>
          <w:p w14:paraId="7A85F63D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(Proximal sensing 2)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44696B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Soils scanned in-field by hired professional service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5B8CDD9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61E2B7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Every 4 years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0E76909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In-field (Vis-NIR) spectroscopy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7596675E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</w:t>
            </w:r>
          </w:p>
        </w:tc>
      </w:tr>
      <w:tr w:rsidR="00ED7A0B" w14:paraId="0A00F0A6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2D070616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5BB0FA" wp14:editId="32A12610">
                  <wp:extent cx="266700" cy="266700"/>
                  <wp:effectExtent l="0" t="0" r="0" b="0"/>
                  <wp:docPr id="521770038" name="Picture 521770038" descr="Satellit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8138F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RS1</w:t>
            </w:r>
          </w:p>
          <w:p w14:paraId="5571F27A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lastRenderedPageBreak/>
              <w:t>(Remote Sensing)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F70215E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Spectral reflectance </w:t>
            </w:r>
            <w:r w:rsidRPr="0F580835">
              <w:rPr>
                <w:rFonts w:ascii="Arial" w:eastAsia="Arial" w:hAnsi="Arial" w:cs="Arial"/>
                <w:sz w:val="20"/>
                <w:szCs w:val="20"/>
              </w:rPr>
              <w:lastRenderedPageBreak/>
              <w:t>imagery from satellite data.</w:t>
            </w:r>
          </w:p>
          <w:p w14:paraId="5BBCD96E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 xml:space="preserve">Local ‘ground-truth’ soil samples collected professionally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76EE3955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lastRenderedPageBreak/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2C1A730F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Yearly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0DBCBF9F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 xml:space="preserve">Spectral analysis of satellite reflectance imagery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D1000F1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</w:t>
            </w:r>
          </w:p>
        </w:tc>
      </w:tr>
      <w:tr w:rsidR="00ED7A0B" w14:paraId="66C7079B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11CD4A3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B3DF2FA" wp14:editId="429F3F61">
                  <wp:extent cx="247650" cy="247650"/>
                  <wp:effectExtent l="0" t="0" r="0" b="0"/>
                  <wp:docPr id="1194836521" name="Picture 119483652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6643B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AM1</w:t>
            </w:r>
          </w:p>
          <w:p w14:paraId="380FFE4E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(Activity Modelling 1)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89BCC21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Land management data submitted by farmers and verified via random spot-checks / surveys.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BF2E70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6094E31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Yearly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AD9899B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Tier 2 process modelling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680D062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b</w:t>
            </w:r>
          </w:p>
        </w:tc>
      </w:tr>
      <w:tr w:rsidR="00ED7A0B" w14:paraId="1214D010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7C7BB48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24F4F11" wp14:editId="67992F6B">
                  <wp:extent cx="228600" cy="228600"/>
                  <wp:effectExtent l="0" t="0" r="0" b="0"/>
                  <wp:docPr id="1561090953" name="Picture 1561090953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C8819F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AM2</w:t>
            </w:r>
          </w:p>
          <w:p w14:paraId="172172A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(Activity Modelling 2)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937310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 xml:space="preserve">Land management data collected </w:t>
            </w: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by enumerators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555FB4C6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53A6FFCC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Yearly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8B01637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Tier 2 process modelling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26512568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b</w:t>
            </w:r>
          </w:p>
        </w:tc>
      </w:tr>
      <w:tr w:rsidR="00ED7A0B" w14:paraId="2EB371EA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37EC204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BCF99A" wp14:editId="3EC09211">
                  <wp:extent cx="209550" cy="209550"/>
                  <wp:effectExtent l="0" t="0" r="0" b="0"/>
                  <wp:docPr id="1724736237" name="Picture 1724736237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5E2E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AM3</w:t>
            </w:r>
          </w:p>
          <w:p w14:paraId="3E3D99E5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(Activity Modelling 3)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C45BD08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 xml:space="preserve">Land management data collected </w:t>
            </w: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by enumerators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7A71C9BF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stratified random</w:t>
            </w:r>
            <w:r w:rsidRPr="0F5808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sample</w:t>
            </w:r>
            <w:r w:rsidRPr="0F580835">
              <w:rPr>
                <w:rFonts w:ascii="Arial" w:eastAsia="Arial" w:hAnsi="Arial" w:cs="Arial"/>
                <w:sz w:val="20"/>
                <w:szCs w:val="20"/>
              </w:rPr>
              <w:t xml:space="preserve"> of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7A55AF86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yearly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43BB3B9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Tier 2 process modelling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16A866A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b</w:t>
            </w:r>
          </w:p>
        </w:tc>
      </w:tr>
      <w:tr w:rsidR="00ED7A0B" w14:paraId="4E28C626" w14:textId="77777777" w:rsidTr="00ED7A0B">
        <w:trPr>
          <w:trHeight w:val="465"/>
        </w:trPr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3525FCF1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CB0593C" wp14:editId="145C4271">
                  <wp:extent cx="285750" cy="285750"/>
                  <wp:effectExtent l="0" t="0" r="0" b="0"/>
                  <wp:docPr id="151530257" name="Picture 151530257" descr="Satellit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6588B7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b/>
                <w:bCs/>
                <w:sz w:val="20"/>
                <w:szCs w:val="20"/>
                <w:lang w:val="de-DE"/>
              </w:rPr>
              <w:t>AM4/RS2</w:t>
            </w:r>
          </w:p>
          <w:p w14:paraId="0B3A7BD2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(Activity Modelling 4)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DACE8A0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Land management data collected via satellite remote sensing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4D652AF3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All participating farms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3D2D8A8A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</w:rPr>
              <w:t>Yearly; &amp; verified through periodic (3-5 year) field surveys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172896F1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Tier 2 process modelling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90" w:type="dxa"/>
              <w:bottom w:w="90" w:type="dxa"/>
            </w:tcMar>
          </w:tcPr>
          <w:p w14:paraId="0B3367FB" w14:textId="77777777" w:rsidR="00ED7A0B" w:rsidRDefault="00ED7A0B" w:rsidP="005B61CA">
            <w:pPr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F580835">
              <w:rPr>
                <w:rFonts w:ascii="Arial" w:eastAsia="Arial" w:hAnsi="Arial" w:cs="Arial"/>
                <w:sz w:val="20"/>
                <w:szCs w:val="20"/>
                <w:lang w:val="de-DE"/>
              </w:rPr>
              <w:t>b</w:t>
            </w:r>
          </w:p>
        </w:tc>
      </w:tr>
    </w:tbl>
    <w:p w14:paraId="0D4681F7" w14:textId="77777777" w:rsidR="00ED7A0B" w:rsidRDefault="00ED7A0B" w:rsidP="00ED7A0B">
      <w:pPr>
        <w:spacing w:after="20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64F49242" w14:textId="77777777" w:rsidR="00ED7A0B" w:rsidRDefault="00ED7A0B" w:rsidP="00ED7A0B">
      <w:pPr>
        <w:spacing w:after="20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159BCA4B" w14:textId="10A1FDA4" w:rsidR="00ED7A0B" w:rsidRPr="00E57281" w:rsidRDefault="00ED7A0B" w:rsidP="00ED7A0B">
      <w:pPr>
        <w:pStyle w:val="Caption"/>
        <w:keepNext/>
        <w:rPr>
          <w:b w:val="0"/>
        </w:rPr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</w:t>
      </w:r>
      <w:r w:rsidRPr="00E57281">
        <w:rPr>
          <w:b w:val="0"/>
        </w:rPr>
        <w:t>Evaluation criteria and indicators for comparison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1985"/>
        <w:gridCol w:w="5245"/>
        <w:gridCol w:w="1842"/>
      </w:tblGrid>
      <w:tr w:rsidR="00ED7A0B" w:rsidRPr="00E57281" w14:paraId="47434A81" w14:textId="77777777" w:rsidTr="005B61CA">
        <w:trPr>
          <w:trHeight w:val="113"/>
        </w:trPr>
        <w:tc>
          <w:tcPr>
            <w:tcW w:w="1985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C4A55" w14:textId="77777777" w:rsidR="00ED7A0B" w:rsidRPr="00E57281" w:rsidRDefault="00ED7A0B" w:rsidP="005B61CA">
            <w:pPr>
              <w:rPr>
                <w:rFonts w:eastAsia="Times New Roman" w:cs="Arial"/>
                <w:color w:val="333333"/>
                <w:sz w:val="20"/>
              </w:rPr>
            </w:pPr>
            <w:r w:rsidRPr="00E57281">
              <w:rPr>
                <w:rFonts w:eastAsia="Times New Roman" w:cs="Arial"/>
                <w:b/>
                <w:color w:val="333333"/>
                <w:sz w:val="20"/>
              </w:rPr>
              <w:t>Evaluation Criteria</w:t>
            </w:r>
          </w:p>
        </w:tc>
        <w:tc>
          <w:tcPr>
            <w:tcW w:w="5245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C635D" w14:textId="77777777" w:rsidR="00ED7A0B" w:rsidRPr="00E57281" w:rsidRDefault="00ED7A0B" w:rsidP="005B61CA">
            <w:pPr>
              <w:jc w:val="both"/>
              <w:rPr>
                <w:rFonts w:eastAsia="Times New Roman" w:cs="Arial"/>
                <w:color w:val="333333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color w:val="333333"/>
                <w:sz w:val="20"/>
              </w:rPr>
              <w:t>Definition and Indicator</w:t>
            </w:r>
          </w:p>
        </w:tc>
        <w:tc>
          <w:tcPr>
            <w:tcW w:w="1842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14:paraId="606CC15F" w14:textId="77777777" w:rsidR="00ED7A0B" w:rsidRPr="00E57281" w:rsidRDefault="00ED7A0B" w:rsidP="005B61CA">
            <w:pPr>
              <w:jc w:val="both"/>
              <w:rPr>
                <w:rFonts w:eastAsia="Times New Roman" w:cs="Arial"/>
                <w:b/>
                <w:bCs/>
                <w:color w:val="333333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color w:val="333333"/>
                <w:sz w:val="20"/>
              </w:rPr>
              <w:t xml:space="preserve">Source of data </w:t>
            </w:r>
          </w:p>
        </w:tc>
      </w:tr>
      <w:tr w:rsidR="00ED7A0B" w:rsidRPr="00BE2BFC" w14:paraId="3782BC2B" w14:textId="77777777" w:rsidTr="005B61CA">
        <w:trPr>
          <w:trHeight w:val="113"/>
        </w:trPr>
        <w:tc>
          <w:tcPr>
            <w:tcW w:w="1985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8E0D67" w14:textId="77777777" w:rsidR="00ED7A0B" w:rsidRPr="00E57281" w:rsidRDefault="00ED7A0B" w:rsidP="005B61CA">
            <w:pPr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sz w:val="20"/>
              </w:rPr>
              <w:t>Accuracy</w:t>
            </w:r>
          </w:p>
        </w:tc>
        <w:tc>
          <w:tcPr>
            <w:tcW w:w="5245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520C1" w14:textId="77777777" w:rsidR="00ED7A0B" w:rsidRPr="00E57281" w:rsidRDefault="00ED7A0B" w:rsidP="005B61CA">
            <w:pPr>
              <w:rPr>
                <w:rFonts w:eastAsia="Times New Roman" w:cs="Arial"/>
                <w:sz w:val="20"/>
                <w:szCs w:val="20"/>
              </w:rPr>
            </w:pPr>
            <w:r w:rsidRPr="7ED7F55E"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  <w:t>Definition.</w:t>
            </w:r>
            <w:r w:rsidRPr="7ED7F55E">
              <w:rPr>
                <w:rFonts w:eastAsia="Times New Roman" w:cs="Arial"/>
                <w:sz w:val="20"/>
                <w:szCs w:val="20"/>
              </w:rPr>
              <w:t xml:space="preserve"> The relative ability of the underlying technology to predict/ estimate SOC stock or stock changes </w:t>
            </w:r>
            <w:r>
              <w:rPr>
                <w:rFonts w:eastAsia="Times New Roman" w:cs="Arial"/>
                <w:sz w:val="20"/>
                <w:szCs w:val="20"/>
              </w:rPr>
              <w:t xml:space="preserve">which are </w:t>
            </w:r>
            <w:r w:rsidRPr="7ED7F55E">
              <w:rPr>
                <w:rFonts w:eastAsia="Times New Roman" w:cs="Arial"/>
                <w:sz w:val="20"/>
                <w:szCs w:val="20"/>
              </w:rPr>
              <w:t xml:space="preserve">close to observed values. </w:t>
            </w:r>
          </w:p>
          <w:p w14:paraId="40E65B2A" w14:textId="77777777" w:rsidR="00ED7A0B" w:rsidRPr="00E57281" w:rsidRDefault="00ED7A0B" w:rsidP="005B61CA">
            <w:pPr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i/>
                <w:iCs/>
                <w:sz w:val="20"/>
              </w:rPr>
              <w:t>Indicator.</w:t>
            </w:r>
            <w:r w:rsidRPr="00E57281">
              <w:rPr>
                <w:rFonts w:eastAsia="Times New Roman" w:cs="Arial"/>
                <w:sz w:val="20"/>
              </w:rPr>
              <w:t xml:space="preserve"> Mean R</w:t>
            </w:r>
            <w:r w:rsidRPr="00E57281">
              <w:rPr>
                <w:rFonts w:eastAsia="Times New Roman" w:cs="Arial"/>
                <w:sz w:val="20"/>
                <w:vertAlign w:val="superscript"/>
              </w:rPr>
              <w:t>2</w:t>
            </w:r>
            <w:r w:rsidRPr="00E57281">
              <w:rPr>
                <w:rFonts w:eastAsia="Times New Roman" w:cs="Arial"/>
                <w:sz w:val="20"/>
              </w:rPr>
              <w:t xml:space="preserve"> values from the </w:t>
            </w:r>
            <w:proofErr w:type="spellStart"/>
            <w:r w:rsidRPr="00E57281">
              <w:rPr>
                <w:rFonts w:eastAsia="Times New Roman" w:cs="Arial"/>
                <w:sz w:val="20"/>
              </w:rPr>
              <w:t>literature</w:t>
            </w:r>
            <w:r w:rsidRPr="00E57281">
              <w:rPr>
                <w:rStyle w:val="FootnoteReference"/>
                <w:rFonts w:cs="Arial"/>
                <w:sz w:val="20"/>
              </w:rPr>
              <w:t>a</w:t>
            </w:r>
            <w:proofErr w:type="spellEnd"/>
            <w:r w:rsidRPr="00E57281">
              <w:rPr>
                <w:rFonts w:eastAsia="Times New Roman" w:cs="Arial"/>
                <w:sz w:val="20"/>
              </w:rPr>
              <w:t>, scored according to the scale:</w:t>
            </w:r>
          </w:p>
          <w:p w14:paraId="604425EF" w14:textId="77777777" w:rsidR="00ED7A0B" w:rsidRPr="00E57281" w:rsidRDefault="00ED7A0B" w:rsidP="005B61CA">
            <w:pPr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sz w:val="20"/>
              </w:rPr>
              <w:t>5 = 0.9-1.0, 4 = 0.8-0.9, 3 = 0.7-0.8, 2 = 0.6-0.7, 1 = 0.5-0.6</w:t>
            </w:r>
          </w:p>
        </w:tc>
        <w:tc>
          <w:tcPr>
            <w:tcW w:w="1842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702D33" w14:textId="77777777" w:rsidR="00ED7A0B" w:rsidRPr="00E57281" w:rsidRDefault="00ED7A0B" w:rsidP="005B61CA">
            <w:pPr>
              <w:rPr>
                <w:rFonts w:eastAsia="Times New Roman" w:cs="Arial"/>
                <w:b/>
                <w:iCs/>
                <w:sz w:val="20"/>
              </w:rPr>
            </w:pPr>
            <w:r w:rsidRPr="00E57281">
              <w:rPr>
                <w:rFonts w:eastAsia="Times New Roman" w:cs="Arial"/>
                <w:b/>
                <w:iCs/>
                <w:sz w:val="20"/>
              </w:rPr>
              <w:t xml:space="preserve">Peer-reviewed literature from validation studies </w:t>
            </w:r>
          </w:p>
        </w:tc>
      </w:tr>
      <w:tr w:rsidR="00ED7A0B" w:rsidRPr="00BE2BFC" w14:paraId="565545A4" w14:textId="77777777" w:rsidTr="005B61CA">
        <w:trPr>
          <w:trHeight w:val="1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991C4" w14:textId="77777777" w:rsidR="00ED7A0B" w:rsidRPr="00E57281" w:rsidRDefault="00ED7A0B" w:rsidP="005B61CA">
            <w:pPr>
              <w:jc w:val="both"/>
              <w:rPr>
                <w:rFonts w:eastAsia="Times New Roman" w:cs="Arial"/>
                <w:b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sz w:val="20"/>
              </w:rPr>
              <w:t>Standardization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9E55F" w14:textId="77777777" w:rsidR="00ED7A0B" w:rsidRPr="00E57281" w:rsidRDefault="00ED7A0B" w:rsidP="005B61CA">
            <w:pPr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i/>
                <w:iCs/>
                <w:sz w:val="20"/>
              </w:rPr>
              <w:t xml:space="preserve">Definition. </w:t>
            </w:r>
            <w:r w:rsidRPr="00E57281">
              <w:rPr>
                <w:rFonts w:eastAsia="Times New Roman" w:cs="Arial"/>
                <w:sz w:val="20"/>
              </w:rPr>
              <w:t xml:space="preserve">The presence of uniformly accepted procedures and protocols, including recognition by official carbon standards. Reflects the IPCC principles of consistency, comparability, and transparency. </w:t>
            </w:r>
          </w:p>
          <w:p w14:paraId="614126D5" w14:textId="77777777" w:rsidR="00ED7A0B" w:rsidRPr="00E57281" w:rsidRDefault="00ED7A0B" w:rsidP="005B61CA">
            <w:pPr>
              <w:rPr>
                <w:rFonts w:eastAsia="Times New Roman" w:cs="Arial"/>
                <w:b/>
                <w:bCs/>
                <w:i/>
                <w:iCs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i/>
                <w:iCs/>
                <w:sz w:val="20"/>
              </w:rPr>
              <w:t xml:space="preserve">Indicator. </w:t>
            </w:r>
            <w:r w:rsidRPr="00E57281">
              <w:rPr>
                <w:rFonts w:eastAsia="Times New Roman" w:cs="Arial"/>
                <w:sz w:val="20"/>
              </w:rPr>
              <w:t>Cumulative Yes (1) or No (0) scores to each of the following:</w:t>
            </w:r>
          </w:p>
          <w:p w14:paraId="1B7B917F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rPr>
                <w:rFonts w:eastAsia="Times New Roman" w:cs="Arial"/>
                <w:sz w:val="20"/>
                <w:szCs w:val="22"/>
              </w:rPr>
            </w:pPr>
            <w:r w:rsidRPr="00E57281">
              <w:rPr>
                <w:rFonts w:eastAsia="Times New Roman" w:cs="Arial"/>
                <w:sz w:val="20"/>
                <w:szCs w:val="22"/>
              </w:rPr>
              <w:t xml:space="preserve">Comparable across different sites </w:t>
            </w:r>
          </w:p>
          <w:p w14:paraId="6E897FFD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rPr>
                <w:rFonts w:eastAsia="Times New Roman" w:cs="Arial"/>
                <w:sz w:val="20"/>
                <w:szCs w:val="22"/>
              </w:rPr>
            </w:pPr>
            <w:r w:rsidRPr="00E57281">
              <w:rPr>
                <w:rFonts w:eastAsia="Times New Roman" w:cs="Arial"/>
                <w:sz w:val="20"/>
                <w:szCs w:val="22"/>
              </w:rPr>
              <w:t>Consistent results over time</w:t>
            </w:r>
          </w:p>
          <w:p w14:paraId="2BFFF85C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Consistent &amp; transparent protocols for data collection</w:t>
            </w:r>
          </w:p>
          <w:p w14:paraId="15E7A72F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Consistent &amp; transparent protocols for data processing</w:t>
            </w:r>
          </w:p>
          <w:p w14:paraId="73056DAB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Consistent &amp; transparent protocols for data analysis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4D30C8" w14:textId="77777777" w:rsidR="00ED7A0B" w:rsidRPr="00E57281" w:rsidRDefault="00ED7A0B" w:rsidP="005B61CA">
            <w:pPr>
              <w:rPr>
                <w:rFonts w:eastAsia="Times New Roman" w:cs="Arial"/>
                <w:b/>
                <w:iCs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sz w:val="20"/>
              </w:rPr>
              <w:t xml:space="preserve">Key informant interviews, scientific peer-reviewed literature, documentation from Carbon </w:t>
            </w:r>
            <w:proofErr w:type="spellStart"/>
            <w:r w:rsidRPr="00E57281">
              <w:rPr>
                <w:rFonts w:eastAsia="Times New Roman" w:cs="Arial"/>
                <w:b/>
                <w:bCs/>
                <w:sz w:val="20"/>
              </w:rPr>
              <w:t>standards</w:t>
            </w:r>
            <w:r w:rsidRPr="00E57281">
              <w:rPr>
                <w:rFonts w:eastAsia="Times New Roman" w:cs="Arial"/>
                <w:b/>
                <w:bCs/>
                <w:sz w:val="20"/>
                <w:vertAlign w:val="superscript"/>
              </w:rPr>
              <w:t>b</w:t>
            </w:r>
            <w:proofErr w:type="spellEnd"/>
          </w:p>
        </w:tc>
      </w:tr>
      <w:tr w:rsidR="00ED7A0B" w:rsidRPr="00BE2BFC" w14:paraId="51931D14" w14:textId="77777777" w:rsidTr="005B61CA">
        <w:trPr>
          <w:trHeight w:val="1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D8E61" w14:textId="77777777" w:rsidR="00ED7A0B" w:rsidRPr="00E57281" w:rsidRDefault="00ED7A0B" w:rsidP="005B61CA">
            <w:pPr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sz w:val="20"/>
              </w:rPr>
              <w:t>Cost reduction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BE4FF" w14:textId="77777777" w:rsidR="00ED7A0B" w:rsidRPr="00E57281" w:rsidRDefault="00ED7A0B" w:rsidP="005B61CA">
            <w:pPr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i/>
                <w:sz w:val="20"/>
              </w:rPr>
              <w:t>Definition.</w:t>
            </w:r>
            <w:r w:rsidRPr="00E57281">
              <w:rPr>
                <w:rFonts w:eastAsia="Times New Roman" w:cs="Arial"/>
                <w:sz w:val="20"/>
              </w:rPr>
              <w:t xml:space="preserve"> The ability of the approach to reduce the amount of </w:t>
            </w:r>
            <w:proofErr w:type="spellStart"/>
            <w:r w:rsidRPr="00E57281">
              <w:rPr>
                <w:rFonts w:eastAsia="Times New Roman" w:cs="Arial"/>
                <w:sz w:val="20"/>
              </w:rPr>
              <w:t>labor</w:t>
            </w:r>
            <w:proofErr w:type="spellEnd"/>
            <w:r w:rsidRPr="00E57281">
              <w:rPr>
                <w:rFonts w:eastAsia="Times New Roman" w:cs="Arial"/>
                <w:sz w:val="20"/>
              </w:rPr>
              <w:t xml:space="preserve"> and financial investment required for monitoring.</w:t>
            </w:r>
          </w:p>
          <w:p w14:paraId="6EFCE898" w14:textId="77777777" w:rsidR="00ED7A0B" w:rsidRPr="00E57281" w:rsidRDefault="00ED7A0B" w:rsidP="005B61CA">
            <w:pPr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i/>
                <w:iCs/>
                <w:sz w:val="20"/>
              </w:rPr>
              <w:t xml:space="preserve">Indicator. </w:t>
            </w:r>
            <w:r w:rsidRPr="00E57281">
              <w:rPr>
                <w:rFonts w:eastAsia="Times New Roman" w:cs="Arial"/>
                <w:sz w:val="20"/>
              </w:rPr>
              <w:t xml:space="preserve">Own cost </w:t>
            </w:r>
            <w:proofErr w:type="spellStart"/>
            <w:r w:rsidRPr="00E57281">
              <w:rPr>
                <w:rFonts w:eastAsia="Times New Roman" w:cs="Arial"/>
                <w:sz w:val="20"/>
              </w:rPr>
              <w:t>estimates</w:t>
            </w:r>
            <w:r w:rsidRPr="00E57281">
              <w:rPr>
                <w:rFonts w:eastAsia="Times New Roman" w:cs="Arial"/>
                <w:sz w:val="20"/>
                <w:vertAlign w:val="superscript"/>
              </w:rPr>
              <w:t>c</w:t>
            </w:r>
            <w:proofErr w:type="spellEnd"/>
            <w:r w:rsidRPr="00E57281">
              <w:rPr>
                <w:rFonts w:eastAsia="Times New Roman" w:cs="Arial"/>
                <w:sz w:val="20"/>
              </w:rPr>
              <w:t xml:space="preserve"> in USD ha</w:t>
            </w:r>
            <w:r w:rsidRPr="00E57281">
              <w:rPr>
                <w:rFonts w:eastAsia="Times New Roman" w:cs="Arial"/>
                <w:sz w:val="20"/>
                <w:vertAlign w:val="superscript"/>
                <w:lang w:val="es-SV"/>
              </w:rPr>
              <w:t>-1</w:t>
            </w:r>
            <w:r w:rsidRPr="00E57281">
              <w:rPr>
                <w:rFonts w:eastAsia="Times New Roman" w:cs="Arial"/>
                <w:sz w:val="20"/>
              </w:rPr>
              <w:t xml:space="preserve"> and year, scored according to the scale:</w:t>
            </w:r>
          </w:p>
          <w:p w14:paraId="777406E0" w14:textId="77777777" w:rsidR="00ED7A0B" w:rsidRPr="00E57281" w:rsidRDefault="00ED7A0B" w:rsidP="005B61CA">
            <w:pPr>
              <w:jc w:val="both"/>
              <w:rPr>
                <w:rFonts w:eastAsia="Times New Roman" w:cs="Arial"/>
                <w:sz w:val="20"/>
                <w:lang w:val="es-SV"/>
              </w:rPr>
            </w:pPr>
            <w:r w:rsidRPr="00E57281">
              <w:rPr>
                <w:rFonts w:eastAsia="Times New Roman" w:cs="Arial"/>
                <w:sz w:val="20"/>
                <w:lang w:val="es-SV"/>
              </w:rPr>
              <w:t>5 = $0-1ha</w:t>
            </w:r>
            <w:r w:rsidRPr="00E57281">
              <w:rPr>
                <w:rFonts w:eastAsia="Times New Roman" w:cs="Arial"/>
                <w:sz w:val="20"/>
                <w:vertAlign w:val="superscript"/>
                <w:lang w:val="es-SV"/>
              </w:rPr>
              <w:t>-1</w:t>
            </w:r>
            <w:r w:rsidRPr="00E57281">
              <w:rPr>
                <w:rFonts w:eastAsia="Times New Roman" w:cs="Arial"/>
                <w:sz w:val="20"/>
                <w:lang w:val="es-SV"/>
              </w:rPr>
              <w:t>, 4 = $1-2ha</w:t>
            </w:r>
            <w:r w:rsidRPr="00E57281">
              <w:rPr>
                <w:rFonts w:eastAsia="Times New Roman" w:cs="Arial"/>
                <w:sz w:val="20"/>
                <w:vertAlign w:val="superscript"/>
                <w:lang w:val="es-SV"/>
              </w:rPr>
              <w:t>-1</w:t>
            </w:r>
            <w:r w:rsidRPr="00E57281">
              <w:rPr>
                <w:rFonts w:eastAsia="Times New Roman" w:cs="Arial"/>
                <w:sz w:val="20"/>
                <w:lang w:val="es-SV"/>
              </w:rPr>
              <w:t>, 3 = $2-3ha</w:t>
            </w:r>
            <w:r w:rsidRPr="00E57281">
              <w:rPr>
                <w:rFonts w:eastAsia="Times New Roman" w:cs="Arial"/>
                <w:sz w:val="20"/>
                <w:vertAlign w:val="superscript"/>
                <w:lang w:val="es-SV"/>
              </w:rPr>
              <w:t>-1</w:t>
            </w:r>
            <w:r w:rsidRPr="00E57281">
              <w:rPr>
                <w:rFonts w:eastAsia="Times New Roman" w:cs="Arial"/>
                <w:sz w:val="20"/>
                <w:lang w:val="es-SV"/>
              </w:rPr>
              <w:t>, 2 = $3-4ha</w:t>
            </w:r>
            <w:r w:rsidRPr="00E57281">
              <w:rPr>
                <w:rFonts w:eastAsia="Times New Roman" w:cs="Arial"/>
                <w:sz w:val="20"/>
                <w:vertAlign w:val="superscript"/>
                <w:lang w:val="es-SV"/>
              </w:rPr>
              <w:t>-1</w:t>
            </w:r>
            <w:r w:rsidRPr="00E57281">
              <w:rPr>
                <w:rFonts w:eastAsia="Times New Roman" w:cs="Arial"/>
                <w:sz w:val="20"/>
                <w:lang w:val="es-SV"/>
              </w:rPr>
              <w:t>, 1 = $4-5ha</w:t>
            </w:r>
            <w:r w:rsidRPr="00E57281">
              <w:rPr>
                <w:rFonts w:eastAsia="Times New Roman" w:cs="Arial"/>
                <w:sz w:val="20"/>
                <w:vertAlign w:val="superscript"/>
                <w:lang w:val="es-SV"/>
              </w:rPr>
              <w:t>-1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38C2BA" w14:textId="77777777" w:rsidR="00ED7A0B" w:rsidRPr="00E57281" w:rsidRDefault="00ED7A0B" w:rsidP="005B61CA">
            <w:pPr>
              <w:rPr>
                <w:rFonts w:eastAsia="Times New Roman" w:cs="Arial"/>
                <w:b/>
                <w:iCs/>
                <w:sz w:val="20"/>
              </w:rPr>
            </w:pPr>
            <w:r w:rsidRPr="00E57281">
              <w:rPr>
                <w:rFonts w:eastAsia="Times New Roman" w:cs="Arial"/>
                <w:b/>
                <w:iCs/>
                <w:sz w:val="20"/>
              </w:rPr>
              <w:t xml:space="preserve">Key informant interviews, project documents </w:t>
            </w:r>
          </w:p>
        </w:tc>
      </w:tr>
      <w:tr w:rsidR="00ED7A0B" w:rsidRPr="00E57281" w14:paraId="7F627012" w14:textId="77777777" w:rsidTr="005B61CA">
        <w:trPr>
          <w:trHeight w:val="1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F7B5C" w14:textId="77777777" w:rsidR="00ED7A0B" w:rsidRPr="00E57281" w:rsidRDefault="00ED7A0B" w:rsidP="005B61CA">
            <w:pPr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color w:val="333333"/>
                <w:sz w:val="20"/>
              </w:rPr>
              <w:t>Adoptability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C2BE6" w14:textId="77777777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i/>
                <w:iCs/>
                <w:sz w:val="20"/>
              </w:rPr>
              <w:t xml:space="preserve">Definition. </w:t>
            </w:r>
            <w:r w:rsidRPr="00E57281">
              <w:rPr>
                <w:rFonts w:eastAsia="Times New Roman" w:cs="Arial"/>
                <w:sz w:val="20"/>
              </w:rPr>
              <w:t>Likelihood of use by farmers and Implementing organizations</w:t>
            </w:r>
          </w:p>
          <w:p w14:paraId="62ECE83A" w14:textId="77777777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i/>
                <w:iCs/>
                <w:sz w:val="20"/>
              </w:rPr>
              <w:t xml:space="preserve">Indicator. </w:t>
            </w:r>
            <w:r w:rsidRPr="00E57281">
              <w:rPr>
                <w:rFonts w:eastAsia="Times New Roman" w:cs="Arial"/>
                <w:sz w:val="20"/>
              </w:rPr>
              <w:t xml:space="preserve">Cumulative Yes (1) or No (0) scores to each </w:t>
            </w:r>
            <w:sdt>
              <w:sdtPr>
                <w:rPr>
                  <w:rFonts w:cs="Arial"/>
                  <w:sz w:val="20"/>
                </w:rPr>
                <w:tag w:val="goog_rdk_7"/>
                <w:id w:val="-1712487392"/>
              </w:sdtPr>
              <w:sdtContent/>
            </w:sdt>
            <w:r w:rsidRPr="00E57281">
              <w:rPr>
                <w:rFonts w:eastAsia="Times New Roman" w:cs="Arial"/>
                <w:sz w:val="20"/>
              </w:rPr>
              <w:t xml:space="preserve">of the following: </w:t>
            </w:r>
          </w:p>
          <w:p w14:paraId="3595D276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Data collection requires low-medium effort.</w:t>
            </w:r>
          </w:p>
          <w:p w14:paraId="4FB7C717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Data collected is perceived beneficial by users.</w:t>
            </w:r>
          </w:p>
          <w:p w14:paraId="585DAF78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Understood and trusted by local experts.</w:t>
            </w:r>
          </w:p>
          <w:p w14:paraId="1D2180F0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 xml:space="preserve">Can be integrated with other monitoring activities e.g., other carbon pools / non-carbon variables in MRV system. </w:t>
            </w:r>
          </w:p>
          <w:p w14:paraId="295C31B5" w14:textId="77777777" w:rsidR="00ED7A0B" w:rsidRPr="00E57281" w:rsidRDefault="00ED7A0B" w:rsidP="005B61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Times New Roman" w:cs="Arial"/>
                <w:sz w:val="20"/>
                <w:szCs w:val="22"/>
                <w:lang w:val="en-GB"/>
              </w:rPr>
            </w:pPr>
            <w:r w:rsidRPr="00E57281">
              <w:rPr>
                <w:rFonts w:eastAsia="Times New Roman" w:cs="Arial"/>
                <w:sz w:val="20"/>
                <w:szCs w:val="22"/>
                <w:lang w:val="en-GB"/>
              </w:rPr>
              <w:t>Does not conflict with local practices, garners support at local and national level.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EBC146" w14:textId="77777777" w:rsidR="00ED7A0B" w:rsidRPr="00E57281" w:rsidRDefault="00ED7A0B" w:rsidP="005B61CA">
            <w:pPr>
              <w:rPr>
                <w:rFonts w:eastAsia="Times New Roman" w:cs="Arial"/>
                <w:b/>
                <w:bCs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sz w:val="20"/>
              </w:rPr>
              <w:t xml:space="preserve">Key informant interviews </w:t>
            </w:r>
          </w:p>
        </w:tc>
      </w:tr>
      <w:tr w:rsidR="00ED7A0B" w:rsidRPr="00BE2BFC" w14:paraId="278AB697" w14:textId="77777777" w:rsidTr="005B61CA">
        <w:trPr>
          <w:trHeight w:val="11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253FA" w14:textId="77777777" w:rsidR="00ED7A0B" w:rsidRPr="00E57281" w:rsidRDefault="00ED7A0B" w:rsidP="005B61CA">
            <w:pPr>
              <w:jc w:val="both"/>
              <w:rPr>
                <w:rFonts w:eastAsia="Times New Roman" w:cs="Arial"/>
                <w:color w:val="333333"/>
                <w:sz w:val="20"/>
              </w:rPr>
            </w:pPr>
            <w:r w:rsidRPr="00E57281">
              <w:rPr>
                <w:rFonts w:eastAsia="Times New Roman" w:cs="Arial"/>
                <w:b/>
                <w:color w:val="333333"/>
                <w:sz w:val="20"/>
              </w:rPr>
              <w:t>Community Benefits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0C9E54" w14:textId="77777777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Arial"/>
                <w:b/>
                <w:bCs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sz w:val="20"/>
              </w:rPr>
              <w:t xml:space="preserve">Definition. </w:t>
            </w:r>
            <w:r>
              <w:rPr>
                <w:rFonts w:eastAsia="Times New Roman" w:cs="Arial"/>
                <w:sz w:val="20"/>
              </w:rPr>
              <w:t>Enabling non-carbon</w:t>
            </w:r>
            <w:r w:rsidRPr="00E57281">
              <w:rPr>
                <w:rFonts w:eastAsia="Times New Roman" w:cs="Arial"/>
                <w:sz w:val="20"/>
              </w:rPr>
              <w:t xml:space="preserve"> benefits and/or avoidance of negative effects for communities.</w:t>
            </w:r>
          </w:p>
          <w:p w14:paraId="16229D69" w14:textId="77777777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Arial"/>
                <w:b/>
                <w:bCs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sz w:val="20"/>
              </w:rPr>
              <w:lastRenderedPageBreak/>
              <w:t xml:space="preserve">Indicator. </w:t>
            </w:r>
            <w:r w:rsidRPr="00E57281">
              <w:rPr>
                <w:rFonts w:eastAsia="Times New Roman" w:cs="Arial"/>
                <w:sz w:val="20"/>
              </w:rPr>
              <w:t xml:space="preserve">Cumulative Yes (1) or No (0) scores to each of the following: </w:t>
            </w:r>
          </w:p>
          <w:p w14:paraId="48FD9505" w14:textId="77777777" w:rsidR="00ED7A0B" w:rsidRPr="00E57281" w:rsidRDefault="00ED7A0B" w:rsidP="005B61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Arial"/>
                <w:sz w:val="20"/>
              </w:rPr>
            </w:pPr>
            <w:bookmarkStart w:id="0" w:name="_Hlk158796985"/>
            <w:r w:rsidRPr="00E57281">
              <w:rPr>
                <w:rFonts w:eastAsia="Times New Roman" w:cs="Arial"/>
                <w:sz w:val="20"/>
              </w:rPr>
              <w:t xml:space="preserve">Enables field-extension delivery. </w:t>
            </w:r>
          </w:p>
          <w:p w14:paraId="434AC36C" w14:textId="77777777" w:rsidR="00ED7A0B" w:rsidRPr="00E57281" w:rsidRDefault="00ED7A0B" w:rsidP="005B61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sz w:val="20"/>
              </w:rPr>
              <w:t xml:space="preserve">Integrates feedback loop to farmers. </w:t>
            </w:r>
          </w:p>
          <w:p w14:paraId="2637E193" w14:textId="77777777" w:rsidR="00ED7A0B" w:rsidRPr="00E57281" w:rsidRDefault="00ED7A0B" w:rsidP="005B61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sz w:val="20"/>
              </w:rPr>
              <w:t>Increases C revenue.</w:t>
            </w:r>
          </w:p>
          <w:p w14:paraId="48D587FD" w14:textId="77777777" w:rsidR="00ED7A0B" w:rsidRPr="00E57281" w:rsidRDefault="00ED7A0B" w:rsidP="005B61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sz w:val="20"/>
              </w:rPr>
              <w:t>Empowers community through involvement in the process.</w:t>
            </w:r>
          </w:p>
          <w:p w14:paraId="42CEC89B" w14:textId="77777777" w:rsidR="00ED7A0B" w:rsidRPr="00E57281" w:rsidRDefault="00ED7A0B" w:rsidP="005B61C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Arial"/>
                <w:sz w:val="20"/>
              </w:rPr>
            </w:pPr>
            <w:r w:rsidRPr="00E57281">
              <w:rPr>
                <w:rFonts w:eastAsia="Times New Roman" w:cs="Arial"/>
                <w:sz w:val="20"/>
              </w:rPr>
              <w:t>Other benefit</w:t>
            </w:r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F2B808" w14:textId="77777777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Arial"/>
                <w:b/>
                <w:bCs/>
                <w:sz w:val="20"/>
              </w:rPr>
            </w:pPr>
            <w:r w:rsidRPr="00E57281">
              <w:rPr>
                <w:rFonts w:eastAsia="Times New Roman" w:cs="Arial"/>
                <w:b/>
                <w:bCs/>
                <w:sz w:val="20"/>
              </w:rPr>
              <w:lastRenderedPageBreak/>
              <w:t>Key informant interviews, project documents and peer-</w:t>
            </w:r>
            <w:r w:rsidRPr="00E57281">
              <w:rPr>
                <w:rFonts w:eastAsia="Times New Roman" w:cs="Arial"/>
                <w:b/>
                <w:bCs/>
                <w:sz w:val="20"/>
              </w:rPr>
              <w:lastRenderedPageBreak/>
              <w:t>reviewed scientific literature</w:t>
            </w:r>
          </w:p>
        </w:tc>
      </w:tr>
      <w:tr w:rsidR="00ED7A0B" w:rsidRPr="00E57281" w14:paraId="371BAC55" w14:textId="77777777" w:rsidTr="005B61CA">
        <w:trPr>
          <w:trHeight w:val="113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B94BA" w14:textId="69F71522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both"/>
              <w:rPr>
                <w:rFonts w:eastAsia="Times New Roman" w:cs="Arial"/>
                <w:b/>
                <w:bCs/>
                <w:sz w:val="16"/>
              </w:rPr>
            </w:pPr>
            <w:r w:rsidRPr="00E57281">
              <w:rPr>
                <w:rFonts w:eastAsia="Times New Roman" w:cs="Arial"/>
                <w:b/>
                <w:bCs/>
                <w:sz w:val="16"/>
              </w:rPr>
              <w:lastRenderedPageBreak/>
              <w:t xml:space="preserve">a See </w:t>
            </w:r>
            <w:r w:rsidR="00467A77">
              <w:rPr>
                <w:rFonts w:cs="Arial"/>
                <w:sz w:val="16"/>
              </w:rPr>
              <w:t xml:space="preserve">Supplementary Information </w:t>
            </w:r>
            <w:r w:rsidRPr="00E57281">
              <w:rPr>
                <w:rFonts w:cs="Arial"/>
                <w:sz w:val="16"/>
              </w:rPr>
              <w:t xml:space="preserve"> </w:t>
            </w:r>
          </w:p>
          <w:p w14:paraId="78D55D30" w14:textId="77777777" w:rsidR="00ED7A0B" w:rsidRPr="00E57281" w:rsidRDefault="00ED7A0B" w:rsidP="005B6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6" w:hanging="276"/>
              <w:jc w:val="both"/>
              <w:rPr>
                <w:rFonts w:eastAsia="Times New Roman" w:cs="Arial"/>
                <w:b/>
                <w:bCs/>
                <w:sz w:val="16"/>
              </w:rPr>
            </w:pPr>
            <w:r w:rsidRPr="00E57281">
              <w:rPr>
                <w:rFonts w:eastAsia="Times New Roman" w:cs="Arial"/>
                <w:b/>
                <w:bCs/>
                <w:sz w:val="16"/>
              </w:rPr>
              <w:t xml:space="preserve">b </w:t>
            </w:r>
            <w:r w:rsidRPr="00E57281">
              <w:rPr>
                <w:rFonts w:eastAsia="Times New Roman" w:cs="Arial"/>
                <w:sz w:val="16"/>
              </w:rPr>
              <w:t>Documentation from 2 standards: VCS and Gold Standard were reviewed due to their dominant share of issued VCM credits</w:t>
            </w:r>
          </w:p>
          <w:p w14:paraId="2C64EE6E" w14:textId="138941F8" w:rsidR="00ED7A0B" w:rsidRPr="00467A77" w:rsidRDefault="00ED7A0B" w:rsidP="00467A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both"/>
              <w:rPr>
                <w:rFonts w:eastAsia="Times New Roman" w:cs="Arial"/>
                <w:b/>
                <w:bCs/>
                <w:sz w:val="16"/>
              </w:rPr>
            </w:pPr>
            <w:r w:rsidRPr="00E57281">
              <w:rPr>
                <w:rFonts w:eastAsia="Times New Roman" w:cs="Arial"/>
                <w:b/>
                <w:bCs/>
                <w:sz w:val="16"/>
              </w:rPr>
              <w:t xml:space="preserve">c See </w:t>
            </w:r>
            <w:r w:rsidR="00467A77">
              <w:rPr>
                <w:rFonts w:cs="Arial"/>
                <w:sz w:val="16"/>
              </w:rPr>
              <w:t xml:space="preserve">Supplementary Information </w:t>
            </w:r>
            <w:r w:rsidR="00467A77" w:rsidRPr="00E57281">
              <w:rPr>
                <w:rFonts w:cs="Arial"/>
                <w:sz w:val="16"/>
              </w:rPr>
              <w:t xml:space="preserve"> </w:t>
            </w:r>
          </w:p>
        </w:tc>
      </w:tr>
    </w:tbl>
    <w:p w14:paraId="3BAEFF76" w14:textId="77777777" w:rsidR="00ED7A0B" w:rsidRDefault="00ED7A0B" w:rsidP="00ED7A0B">
      <w:pPr>
        <w:pStyle w:val="UniHohenheimBlocksatz"/>
        <w:sectPr w:rsidR="00ED7A0B" w:rsidSect="00ED7A0B">
          <w:pgSz w:w="11906" w:h="16838"/>
          <w:pgMar w:top="1418" w:right="1418" w:bottom="1134" w:left="1701" w:header="709" w:footer="567" w:gutter="0"/>
          <w:cols w:space="708"/>
          <w:docGrid w:linePitch="360"/>
        </w:sectPr>
      </w:pPr>
    </w:p>
    <w:p w14:paraId="438B2FC1" w14:textId="318C2ACF" w:rsidR="00ED7A0B" w:rsidRPr="00E57281" w:rsidRDefault="00ED7A0B" w:rsidP="00ED7A0B">
      <w:pPr>
        <w:pStyle w:val="Caption"/>
        <w:keepNext/>
        <w:rPr>
          <w:b w:val="0"/>
          <w:szCs w:val="24"/>
        </w:rPr>
      </w:pPr>
      <w:bookmarkStart w:id="1" w:name="_Ref136632099"/>
      <w:r w:rsidRPr="00F404FA">
        <w:rPr>
          <w:szCs w:val="24"/>
        </w:rPr>
        <w:lastRenderedPageBreak/>
        <w:t xml:space="preserve">Table </w:t>
      </w:r>
      <w:r w:rsidRPr="00F404FA">
        <w:rPr>
          <w:szCs w:val="24"/>
        </w:rPr>
        <w:fldChar w:fldCharType="begin"/>
      </w:r>
      <w:r w:rsidRPr="00F404FA">
        <w:rPr>
          <w:szCs w:val="24"/>
        </w:rPr>
        <w:instrText xml:space="preserve"> SEQ Table \* ARABIC </w:instrText>
      </w:r>
      <w:r w:rsidRPr="00F404FA">
        <w:rPr>
          <w:szCs w:val="24"/>
        </w:rPr>
        <w:fldChar w:fldCharType="separate"/>
      </w:r>
      <w:r>
        <w:rPr>
          <w:noProof/>
          <w:szCs w:val="24"/>
        </w:rPr>
        <w:t>3</w:t>
      </w:r>
      <w:r w:rsidRPr="00F404FA">
        <w:rPr>
          <w:szCs w:val="24"/>
        </w:rPr>
        <w:fldChar w:fldCharType="end"/>
      </w:r>
      <w:bookmarkEnd w:id="1"/>
      <w:r w:rsidRPr="00F404FA">
        <w:rPr>
          <w:szCs w:val="24"/>
        </w:rPr>
        <w:t xml:space="preserve"> </w:t>
      </w:r>
      <w:r w:rsidRPr="00E57281">
        <w:rPr>
          <w:b w:val="0"/>
          <w:szCs w:val="24"/>
        </w:rPr>
        <w:t xml:space="preserve">Identified MRV needs of the key </w:t>
      </w:r>
      <w:proofErr w:type="gramStart"/>
      <w:r w:rsidR="00D864C4" w:rsidRPr="00E57281">
        <w:rPr>
          <w:b w:val="0"/>
          <w:szCs w:val="24"/>
        </w:rPr>
        <w:t>interviewee</w:t>
      </w:r>
      <w:r w:rsidR="00D864C4">
        <w:rPr>
          <w:b w:val="0"/>
          <w:szCs w:val="24"/>
        </w:rPr>
        <w:t>s</w:t>
      </w:r>
      <w:proofErr w:type="gram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2841"/>
        <w:gridCol w:w="2541"/>
        <w:gridCol w:w="3827"/>
      </w:tblGrid>
      <w:tr w:rsidR="00ED7A0B" w:rsidRPr="00BE2BFC" w14:paraId="72963E64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4DB3C971" w14:textId="77777777" w:rsidR="00ED7A0B" w:rsidRPr="00EB333C" w:rsidRDefault="00ED7A0B" w:rsidP="005B61CA">
            <w:pPr>
              <w:jc w:val="both"/>
              <w:rPr>
                <w:rFonts w:eastAsia="Times New Roman" w:cs="Arial"/>
                <w:b/>
                <w:bCs/>
              </w:rPr>
            </w:pPr>
            <w:r w:rsidRPr="00EB333C">
              <w:rPr>
                <w:rFonts w:eastAsia="Times New Roman" w:cs="Arial"/>
                <w:b/>
                <w:bCs/>
              </w:rPr>
              <w:t>Stakeholder group</w:t>
            </w:r>
          </w:p>
        </w:tc>
        <w:tc>
          <w:tcPr>
            <w:tcW w:w="2541" w:type="dxa"/>
            <w:shd w:val="clear" w:color="auto" w:fill="FFFFFF" w:themeFill="background1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0543D516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  <w:b/>
              </w:rPr>
              <w:t>Number of respondents</w:t>
            </w:r>
          </w:p>
        </w:tc>
        <w:tc>
          <w:tcPr>
            <w:tcW w:w="3827" w:type="dxa"/>
            <w:shd w:val="clear" w:color="auto" w:fill="FFFFFF" w:themeFill="background1"/>
            <w:tcMar>
              <w:top w:w="15" w:type="dxa"/>
              <w:left w:w="111" w:type="dxa"/>
              <w:bottom w:w="0" w:type="dxa"/>
              <w:right w:w="111" w:type="dxa"/>
            </w:tcMar>
            <w:vAlign w:val="center"/>
          </w:tcPr>
          <w:p w14:paraId="16526916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  <w:b/>
              </w:rPr>
              <w:t>Needs from an MRV system</w:t>
            </w:r>
          </w:p>
        </w:tc>
      </w:tr>
      <w:tr w:rsidR="00ED7A0B" w:rsidRPr="00BE2BFC" w14:paraId="15F77258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08E47486" w14:textId="5DB585F4" w:rsidR="00ED7A0B" w:rsidRPr="004D369F" w:rsidRDefault="00ED7A0B" w:rsidP="005B61CA">
            <w:pPr>
              <w:rPr>
                <w:rFonts w:eastAsia="Times New Roman" w:cs="Arial"/>
              </w:rPr>
            </w:pPr>
            <w:r w:rsidRPr="004D369F">
              <w:rPr>
                <w:rFonts w:eastAsia="Times New Roman" w:cs="Arial"/>
                <w:b/>
              </w:rPr>
              <w:t xml:space="preserve">Project developers (also called „project </w:t>
            </w:r>
            <w:r w:rsidR="00D864C4" w:rsidRPr="004D369F">
              <w:rPr>
                <w:rFonts w:eastAsia="Times New Roman" w:cs="Arial"/>
                <w:b/>
              </w:rPr>
              <w:t>proponents “</w:t>
            </w:r>
            <w:r w:rsidRPr="004D369F">
              <w:rPr>
                <w:rFonts w:eastAsia="Times New Roman" w:cs="Arial"/>
                <w:b/>
              </w:rPr>
              <w:t>)</w:t>
            </w:r>
          </w:p>
        </w:tc>
        <w:tc>
          <w:tcPr>
            <w:tcW w:w="2541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3F56E543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03A6181B" w14:textId="77777777" w:rsidR="00ED7A0B" w:rsidRPr="00EB333C" w:rsidRDefault="00ED7A0B" w:rsidP="005B61CA">
            <w:pPr>
              <w:jc w:val="both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Low cost, high accuracy (to satisfy standards &amp; buyers), generate useful information to report to stakeholders and to increase adoption</w:t>
            </w:r>
          </w:p>
        </w:tc>
      </w:tr>
      <w:tr w:rsidR="00ED7A0B" w:rsidRPr="00BE2BFC" w14:paraId="508389F1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50EA45BA" w14:textId="77777777" w:rsidR="00ED7A0B" w:rsidRPr="00EB333C" w:rsidRDefault="00ED7A0B" w:rsidP="005B61CA">
            <w:pPr>
              <w:rPr>
                <w:rFonts w:eastAsia="Times New Roman" w:cs="Arial"/>
                <w:b/>
              </w:rPr>
            </w:pPr>
            <w:r w:rsidRPr="00EB333C">
              <w:rPr>
                <w:rFonts w:eastAsia="Times New Roman" w:cs="Arial"/>
                <w:b/>
              </w:rPr>
              <w:t>Implementing organizations</w:t>
            </w:r>
            <w:r>
              <w:rPr>
                <w:rFonts w:eastAsia="Times New Roman" w:cs="Arial"/>
                <w:b/>
              </w:rPr>
              <w:t>. Also called Implementing partners (IPs). U</w:t>
            </w:r>
            <w:r w:rsidRPr="00EB333C">
              <w:rPr>
                <w:rFonts w:eastAsia="Times New Roman" w:cs="Arial"/>
                <w:b/>
              </w:rPr>
              <w:t>sually, NGOs and CBOs</w:t>
            </w:r>
          </w:p>
        </w:tc>
        <w:tc>
          <w:tcPr>
            <w:tcW w:w="2541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4681CD68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7CB1EAA4" w14:textId="77777777" w:rsidR="00ED7A0B" w:rsidRPr="00EB333C" w:rsidRDefault="00ED7A0B" w:rsidP="005B61CA">
            <w:pPr>
              <w:jc w:val="both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 xml:space="preserve">Low field effort, low complexity </w:t>
            </w:r>
          </w:p>
        </w:tc>
      </w:tr>
      <w:tr w:rsidR="00ED7A0B" w:rsidRPr="00BE2BFC" w14:paraId="160C72E2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614FBFD6" w14:textId="77777777" w:rsidR="00ED7A0B" w:rsidRPr="00EB333C" w:rsidRDefault="00ED7A0B" w:rsidP="005B61CA">
            <w:pPr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  <w:b/>
              </w:rPr>
              <w:t xml:space="preserve">Government / national research organizations </w:t>
            </w:r>
          </w:p>
        </w:tc>
        <w:tc>
          <w:tcPr>
            <w:tcW w:w="2541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4B7F540D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6EC8525C" w14:textId="77777777" w:rsidR="00ED7A0B" w:rsidRPr="00EB333C" w:rsidRDefault="00ED7A0B" w:rsidP="005B61CA">
            <w:pPr>
              <w:jc w:val="both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Information which supports policymaking (e.g., landscape health, yield, socio-economic data), capacity building of local community</w:t>
            </w:r>
          </w:p>
        </w:tc>
      </w:tr>
      <w:tr w:rsidR="00ED7A0B" w:rsidRPr="00BE2BFC" w14:paraId="2A0CF04C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76A00B76" w14:textId="77777777" w:rsidR="00ED7A0B" w:rsidRPr="00EB333C" w:rsidRDefault="00ED7A0B" w:rsidP="005B61CA">
            <w:pPr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  <w:b/>
              </w:rPr>
              <w:t xml:space="preserve">Technical experts </w:t>
            </w:r>
          </w:p>
        </w:tc>
        <w:tc>
          <w:tcPr>
            <w:tcW w:w="2541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74E49304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7FE9090B" w14:textId="77777777" w:rsidR="00ED7A0B" w:rsidRPr="00EB333C" w:rsidRDefault="00ED7A0B" w:rsidP="005B61CA">
            <w:pPr>
              <w:jc w:val="both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Accuracy, low cost, multipurpose data, accessibility for farmers</w:t>
            </w:r>
          </w:p>
        </w:tc>
      </w:tr>
      <w:tr w:rsidR="00ED7A0B" w:rsidRPr="00BE2BFC" w14:paraId="35675DA1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4D6B4C7B" w14:textId="77777777" w:rsidR="00ED7A0B" w:rsidRPr="00EB333C" w:rsidRDefault="00ED7A0B" w:rsidP="005B61CA">
            <w:pPr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  <w:b/>
              </w:rPr>
              <w:t>Farmers</w:t>
            </w:r>
          </w:p>
        </w:tc>
        <w:tc>
          <w:tcPr>
            <w:tcW w:w="2541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2861DF5B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102</w:t>
            </w:r>
          </w:p>
        </w:tc>
        <w:tc>
          <w:tcPr>
            <w:tcW w:w="3827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4DC26346" w14:textId="77777777" w:rsidR="00ED7A0B" w:rsidRPr="00EB333C" w:rsidRDefault="00ED7A0B" w:rsidP="005B61CA">
            <w:pPr>
              <w:jc w:val="both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Land health information, Land/farm management advice, skill acquisition</w:t>
            </w:r>
          </w:p>
        </w:tc>
      </w:tr>
      <w:tr w:rsidR="00ED7A0B" w:rsidRPr="00BE2BFC" w14:paraId="5D43AAB4" w14:textId="77777777" w:rsidTr="005B61CA">
        <w:trPr>
          <w:trHeight w:val="20"/>
        </w:trPr>
        <w:tc>
          <w:tcPr>
            <w:tcW w:w="0" w:type="auto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597FC43A" w14:textId="77777777" w:rsidR="00ED7A0B" w:rsidRPr="00EB333C" w:rsidRDefault="00ED7A0B" w:rsidP="005B61CA">
            <w:pPr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  <w:b/>
              </w:rPr>
              <w:t xml:space="preserve">Standard setting organizations </w:t>
            </w:r>
          </w:p>
        </w:tc>
        <w:tc>
          <w:tcPr>
            <w:tcW w:w="2541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1597BDA3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0</w:t>
            </w:r>
          </w:p>
          <w:p w14:paraId="7952E483" w14:textId="77777777" w:rsidR="00ED7A0B" w:rsidRPr="00EB333C" w:rsidRDefault="00ED7A0B" w:rsidP="005B61CA">
            <w:pPr>
              <w:jc w:val="center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>(From literature only)</w:t>
            </w:r>
          </w:p>
        </w:tc>
        <w:tc>
          <w:tcPr>
            <w:tcW w:w="3827" w:type="dxa"/>
            <w:shd w:val="clear" w:color="auto" w:fill="FFFFFF" w:themeFill="background1"/>
            <w:tcMar>
              <w:top w:w="216" w:type="dxa"/>
              <w:left w:w="216" w:type="dxa"/>
              <w:bottom w:w="216" w:type="dxa"/>
              <w:right w:w="216" w:type="dxa"/>
            </w:tcMar>
            <w:vAlign w:val="center"/>
          </w:tcPr>
          <w:p w14:paraId="7C156EAC" w14:textId="77777777" w:rsidR="00ED7A0B" w:rsidRPr="00EB333C" w:rsidRDefault="00ED7A0B" w:rsidP="005B61CA">
            <w:pPr>
              <w:jc w:val="both"/>
              <w:rPr>
                <w:rFonts w:eastAsia="Times New Roman" w:cs="Arial"/>
              </w:rPr>
            </w:pPr>
            <w:r w:rsidRPr="00EB333C">
              <w:rPr>
                <w:rFonts w:eastAsia="Times New Roman" w:cs="Arial"/>
              </w:rPr>
              <w:t xml:space="preserve">Accuracy, Conservativeness, Transparency, Completeness, Consistency, Relevance, Comparability </w:t>
            </w:r>
          </w:p>
        </w:tc>
      </w:tr>
    </w:tbl>
    <w:p w14:paraId="07F89CBA" w14:textId="77777777" w:rsidR="00ED7A0B" w:rsidRPr="003E0F50" w:rsidRDefault="00ED7A0B" w:rsidP="00ED7A0B">
      <w:pPr>
        <w:spacing w:after="200" w:line="360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67A13D2C" w14:textId="77777777" w:rsidR="00ED7A0B" w:rsidRDefault="00ED7A0B" w:rsidP="00ED7A0B">
      <w:pPr>
        <w:spacing w:after="20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2FB4A444" w14:textId="77777777" w:rsidR="00ED7A0B" w:rsidRPr="0033642A" w:rsidRDefault="00ED7A0B" w:rsidP="00ED7A0B">
      <w:pPr>
        <w:rPr>
          <w:lang w:val="en-US"/>
        </w:rPr>
      </w:pPr>
    </w:p>
    <w:p w14:paraId="70F957C0" w14:textId="77777777" w:rsidR="00ED7A0B" w:rsidRPr="00ED7A0B" w:rsidRDefault="00ED7A0B" w:rsidP="00ED7A0B">
      <w:pPr>
        <w:rPr>
          <w:lang w:val="en-US"/>
        </w:rPr>
      </w:pPr>
    </w:p>
    <w:sectPr w:rsidR="00ED7A0B" w:rsidRPr="00ED7A0B" w:rsidSect="000865E0">
      <w:pgSz w:w="11906" w:h="16838"/>
      <w:pgMar w:top="1418" w:right="1418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26050" w14:textId="77777777" w:rsidR="00F234E2" w:rsidRDefault="00F234E2">
      <w:pPr>
        <w:spacing w:after="0" w:line="240" w:lineRule="auto"/>
      </w:pPr>
      <w:r>
        <w:separator/>
      </w:r>
    </w:p>
  </w:endnote>
  <w:endnote w:type="continuationSeparator" w:id="0">
    <w:p w14:paraId="5153ADB8" w14:textId="77777777" w:rsidR="00F234E2" w:rsidRDefault="00F234E2">
      <w:pPr>
        <w:spacing w:after="0" w:line="240" w:lineRule="auto"/>
      </w:pPr>
      <w:r>
        <w:continuationSeparator/>
      </w:r>
    </w:p>
  </w:endnote>
  <w:endnote w:type="continuationNotice" w:id="1">
    <w:p w14:paraId="2DD9D5C8" w14:textId="77777777" w:rsidR="00F234E2" w:rsidRDefault="00F234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25E3" w14:textId="77777777" w:rsidR="00F234E2" w:rsidRDefault="00F234E2">
      <w:pPr>
        <w:spacing w:after="0" w:line="240" w:lineRule="auto"/>
      </w:pPr>
      <w:r>
        <w:separator/>
      </w:r>
    </w:p>
  </w:footnote>
  <w:footnote w:type="continuationSeparator" w:id="0">
    <w:p w14:paraId="4EB83D3A" w14:textId="77777777" w:rsidR="00F234E2" w:rsidRDefault="00F234E2">
      <w:pPr>
        <w:spacing w:after="0" w:line="240" w:lineRule="auto"/>
      </w:pPr>
      <w:r>
        <w:continuationSeparator/>
      </w:r>
    </w:p>
  </w:footnote>
  <w:footnote w:type="continuationNotice" w:id="1">
    <w:p w14:paraId="7D77490F" w14:textId="77777777" w:rsidR="00F234E2" w:rsidRDefault="00F234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A1A37"/>
    <w:multiLevelType w:val="multilevel"/>
    <w:tmpl w:val="C740651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658855F1"/>
    <w:multiLevelType w:val="hybridMultilevel"/>
    <w:tmpl w:val="80662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277408">
    <w:abstractNumId w:val="0"/>
  </w:num>
  <w:num w:numId="2" w16cid:durableId="51400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ED7674"/>
    <w:rsid w:val="000865E0"/>
    <w:rsid w:val="00117AAE"/>
    <w:rsid w:val="001C0A1D"/>
    <w:rsid w:val="00281AD2"/>
    <w:rsid w:val="002F287D"/>
    <w:rsid w:val="0033642A"/>
    <w:rsid w:val="0036099D"/>
    <w:rsid w:val="003E0F50"/>
    <w:rsid w:val="0041063C"/>
    <w:rsid w:val="00467A77"/>
    <w:rsid w:val="00546CDD"/>
    <w:rsid w:val="00546D54"/>
    <w:rsid w:val="0062511A"/>
    <w:rsid w:val="006B7C5F"/>
    <w:rsid w:val="00755DA5"/>
    <w:rsid w:val="008259A3"/>
    <w:rsid w:val="008450D3"/>
    <w:rsid w:val="009D13BA"/>
    <w:rsid w:val="00A61103"/>
    <w:rsid w:val="00BC098D"/>
    <w:rsid w:val="00CB146E"/>
    <w:rsid w:val="00D442D7"/>
    <w:rsid w:val="00D864C4"/>
    <w:rsid w:val="00E50824"/>
    <w:rsid w:val="00ED0F90"/>
    <w:rsid w:val="00ED7A0B"/>
    <w:rsid w:val="00F234E2"/>
    <w:rsid w:val="00FB792E"/>
    <w:rsid w:val="0F580835"/>
    <w:rsid w:val="1936F2A1"/>
    <w:rsid w:val="1D118A7A"/>
    <w:rsid w:val="3EED7674"/>
    <w:rsid w:val="4AE4C308"/>
    <w:rsid w:val="5FCEE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7674"/>
  <w15:chartTrackingRefBased/>
  <w15:docId w15:val="{8FD8443E-D7A5-4BA6-8A54-D2723CF0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iHohenheimBlocksatz">
    <w:name w:val="Uni Hohenheim Blocksatz"/>
    <w:basedOn w:val="Normal"/>
    <w:link w:val="UniHohenheimBlocksatzZchn"/>
    <w:qFormat/>
    <w:rsid w:val="0F580835"/>
    <w:pPr>
      <w:spacing w:after="200"/>
      <w:jc w:val="both"/>
    </w:pPr>
    <w:rPr>
      <w:rFonts w:eastAsiaTheme="minorEastAsia" w:cs="Arial"/>
      <w:lang w:val="en-US"/>
    </w:rPr>
  </w:style>
  <w:style w:type="character" w:customStyle="1" w:styleId="UniHohenheimBlocksatzZchn">
    <w:name w:val="Uni Hohenheim Blocksatz Zchn"/>
    <w:basedOn w:val="DefaultParagraphFont"/>
    <w:link w:val="UniHohenheimBlocksatz"/>
    <w:rsid w:val="0F580835"/>
    <w:rPr>
      <w:rFonts w:eastAsiaTheme="minorEastAsia" w:cs="Arial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aliases w:val="U-Literaturliste"/>
    <w:basedOn w:val="Normal"/>
    <w:next w:val="Normal"/>
    <w:uiPriority w:val="35"/>
    <w:unhideWhenUsed/>
    <w:qFormat/>
    <w:rsid w:val="0033642A"/>
    <w:pPr>
      <w:spacing w:after="200" w:line="240" w:lineRule="auto"/>
    </w:pPr>
    <w:rPr>
      <w:rFonts w:ascii="Arial" w:eastAsia="MS Mincho" w:hAnsi="Arial" w:cs="Times New Roman"/>
      <w:b/>
      <w:bCs/>
      <w:color w:val="4472C4" w:themeColor="accent1"/>
      <w:sz w:val="24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46CDD"/>
    <w:pPr>
      <w:spacing w:after="0" w:line="240" w:lineRule="auto"/>
      <w:ind w:left="720"/>
      <w:contextualSpacing/>
    </w:pPr>
    <w:rPr>
      <w:rFonts w:ascii="Arial" w:eastAsia="MS Mincho" w:hAnsi="Arial" w:cs="Times New Roman"/>
      <w:sz w:val="24"/>
      <w:szCs w:val="24"/>
      <w:lang w:val="de-DE"/>
    </w:rPr>
  </w:style>
  <w:style w:type="character" w:styleId="FootnoteReference">
    <w:name w:val="footnote reference"/>
    <w:basedOn w:val="DefaultParagraphFont"/>
    <w:uiPriority w:val="99"/>
    <w:qFormat/>
    <w:rsid w:val="00546C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E0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2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287D"/>
  </w:style>
  <w:style w:type="paragraph" w:styleId="Footer">
    <w:name w:val="footer"/>
    <w:basedOn w:val="Normal"/>
    <w:link w:val="FooterChar"/>
    <w:uiPriority w:val="99"/>
    <w:semiHidden/>
    <w:unhideWhenUsed/>
    <w:rsid w:val="002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2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713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Adaugo Okoli</dc:creator>
  <cp:keywords/>
  <dc:description/>
  <cp:lastModifiedBy>Adaugo Okoli</cp:lastModifiedBy>
  <cp:revision>3</cp:revision>
  <dcterms:created xsi:type="dcterms:W3CDTF">2024-03-20T11:12:00Z</dcterms:created>
  <dcterms:modified xsi:type="dcterms:W3CDTF">2024-03-20T11:12:00Z</dcterms:modified>
</cp:coreProperties>
</file>