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ind w:firstLine="2640" w:firstLineChars="1100"/>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 materials: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Topological organization of the brain network in patients with primary angle-closure glaucoma through graph theory analysis.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Validation Analysis via AAL116 Template</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3.5. Validation Analysis via AAL116 Template</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3.5.1. Global Metrics</w:t>
      </w:r>
    </w:p>
    <w:p>
      <w:pPr>
        <w:keepNext w:val="0"/>
        <w:keepLines w:val="0"/>
        <w:pageBreakBefore w:val="0"/>
        <w:widowControl w:val="0"/>
        <w:kinsoku/>
        <w:wordWrap/>
        <w:overflowPunct/>
        <w:topLinePunct w:val="0"/>
        <w:autoSpaceDE/>
        <w:autoSpaceDN/>
        <w:bidi w:val="0"/>
        <w:adjustRightInd/>
        <w:snapToGrid/>
        <w:spacing w:line="480" w:lineRule="auto"/>
        <w:ind w:firstLine="720" w:firstLineChars="300"/>
        <w:textAlignment w:val="auto"/>
        <w:rPr>
          <w:rFonts w:hint="default" w:ascii="Times New Roman" w:hAnsi="Times New Roman" w:cs="Times New Roman"/>
          <w:sz w:val="24"/>
          <w:szCs w:val="24"/>
        </w:rPr>
      </w:pPr>
      <w:r>
        <w:rPr>
          <w:rFonts w:hint="default" w:ascii="Times New Roman" w:hAnsi="Times New Roman" w:cs="Times New Roman"/>
          <w:sz w:val="24"/>
          <w:szCs w:val="24"/>
        </w:rPr>
        <w:t>In the examination of global indicators, a detailed investigation was conducted into the small-world property and network efficiency property. However, the statistical results indicate that these two indicators did not demonstrate significant differences, with p-values exceeding 0.05. This suggests that the similarities between the PACG group and the healthy control group cannot be disregarded with regard to these global indicators. (</w:t>
      </w:r>
      <w:bookmarkStart w:id="0" w:name="OLE_LINK14"/>
      <w:r>
        <w:rPr>
          <w:rFonts w:hint="default" w:ascii="Times New Roman" w:hAnsi="Times New Roman" w:cs="Times New Roman"/>
          <w:b/>
          <w:bCs/>
          <w:sz w:val="24"/>
          <w:szCs w:val="24"/>
        </w:rPr>
        <w:t>Supplementary Figure 1</w:t>
      </w:r>
      <w:bookmarkEnd w:id="0"/>
      <w:r>
        <w:rPr>
          <w:rFonts w:hint="default" w:ascii="Times New Roman" w:hAnsi="Times New Roman" w:cs="Times New Roman"/>
          <w:sz w:val="24"/>
          <w:szCs w:val="24"/>
        </w:rPr>
        <w:t>).small-world  properties and network efficiency</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properties.  small-world properties included clustering coefficient (Cp),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A</w:t>
      </w:r>
      <w:r>
        <w:rPr>
          <w:rFonts w:hint="default" w:ascii="Times New Roman" w:hAnsi="Times New Roman" w:cs="Times New Roman"/>
          <w:sz w:val="24"/>
          <w:szCs w:val="24"/>
        </w:rPr>
        <w:t>) normalized clustering coefficient (Gamma)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B</w:t>
      </w:r>
      <w:r>
        <w:rPr>
          <w:rFonts w:hint="default" w:ascii="Times New Roman" w:hAnsi="Times New Roman" w:cs="Times New Roman"/>
          <w:sz w:val="24"/>
          <w:szCs w:val="24"/>
        </w:rPr>
        <w:t>), normalized characteristic path length (Lambda)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C</w:t>
      </w:r>
      <w:r>
        <w:rPr>
          <w:rFonts w:hint="default" w:ascii="Times New Roman" w:hAnsi="Times New Roman" w:cs="Times New Roman"/>
          <w:sz w:val="24"/>
          <w:szCs w:val="24"/>
        </w:rPr>
        <w:t>), characteristic path length (Lp)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D</w:t>
      </w:r>
      <w:r>
        <w:rPr>
          <w:rFonts w:hint="default" w:ascii="Times New Roman" w:hAnsi="Times New Roman" w:cs="Times New Roman"/>
          <w:sz w:val="24"/>
          <w:szCs w:val="24"/>
        </w:rPr>
        <w:t>), and small-worldness (Sigma)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E</w:t>
      </w:r>
      <w:r>
        <w:rPr>
          <w:rFonts w:hint="default" w:ascii="Times New Roman" w:hAnsi="Times New Roman" w:cs="Times New Roman"/>
          <w:sz w:val="24"/>
          <w:szCs w:val="24"/>
        </w:rPr>
        <w:t>). Network efficiency properties comprised global efficiency (Eg)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F</w:t>
      </w:r>
      <w:r>
        <w:rPr>
          <w:rFonts w:hint="default" w:ascii="Times New Roman" w:hAnsi="Times New Roman" w:cs="Times New Roman"/>
          <w:sz w:val="24"/>
          <w:szCs w:val="24"/>
        </w:rPr>
        <w:t>) and local efficiency (Eloc) (</w:t>
      </w:r>
      <w:r>
        <w:rPr>
          <w:rFonts w:hint="default" w:ascii="Times New Roman" w:hAnsi="Times New Roman" w:cs="Times New Roman"/>
          <w:b/>
          <w:bCs/>
          <w:sz w:val="24"/>
          <w:szCs w:val="24"/>
        </w:rPr>
        <w:t>Supplementary Figure 1</w:t>
      </w:r>
      <w:r>
        <w:rPr>
          <w:rFonts w:hint="eastAsia" w:ascii="Times New Roman" w:hAnsi="Times New Roman" w:cs="Times New Roman"/>
          <w:b/>
          <w:bCs/>
          <w:sz w:val="24"/>
          <w:szCs w:val="24"/>
          <w:lang w:val="en-US" w:eastAsia="zh-CN"/>
        </w:rPr>
        <w:t>G</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3.5.2. Nodal Metrics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The study of local metrics revealed some interesting findings. In the region of the right middle temporal gyrus (MTG.R), there was a significant difference between the PACG group and the healthy control group. Specifically, there was a significant increase in network node centrality in the MTG.R region (t-value = 4.195465, p-value = 0.000066), as well as a significant increase in network node efficiency (t-value = 3.939366, p-value = 0.000166). These data imply that the PACG group exhibited stronger network connectivity in the right middle temporal gyrus region compared to the healthy control group. (</w:t>
      </w:r>
      <w:r>
        <w:rPr>
          <w:rFonts w:hint="default" w:ascii="Times New Roman" w:hAnsi="Times New Roman" w:cs="Times New Roman"/>
          <w:b/>
          <w:bCs/>
          <w:sz w:val="24"/>
          <w:szCs w:val="24"/>
        </w:rPr>
        <w:t>Supplementary Figure 2, Supplementary Table 4</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3.5.3. Network-Based Statistics Analysis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NBS analysis revealed a significant alteration in the strength of functional brain network connectivity in the PACG group compared to healthy controls, with a p-value of less than 0.05. This alteration involved 38 network nodes and 64 functional connections in the prefrontal, frontal, occipital, temporal, parietal, subcortical brain regions and cerebellum.</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 terms of positive connectivity, the enhanced connections were mainly located in Prefrontal, Temporal, Occipital, and Cerebellum regions. In particular, the connections between Prefrontal zone and Occipital zone, Prefrontal zone and Temporal zone, Temporal zone and Cerebellum zone, and Occipital zone and Cerebellum zone were significantly enhanced.  (</w:t>
      </w:r>
      <w:r>
        <w:rPr>
          <w:rFonts w:hint="default" w:ascii="Times New Roman" w:hAnsi="Times New Roman" w:cs="Times New Roman"/>
          <w:b/>
          <w:bCs/>
          <w:sz w:val="24"/>
          <w:szCs w:val="24"/>
        </w:rPr>
        <w:t>Supplementary Figure 3</w:t>
      </w:r>
      <w:r>
        <w:rPr>
          <w:rFonts w:hint="eastAsia" w:ascii="Times New Roman" w:hAnsi="Times New Roman" w:cs="Times New Roman"/>
          <w:b/>
          <w:bCs/>
          <w:sz w:val="24"/>
          <w:szCs w:val="24"/>
          <w:lang w:val="en-US" w:eastAsia="zh-CN"/>
        </w:rPr>
        <w:t>A</w:t>
      </w:r>
      <w:r>
        <w:rPr>
          <w:rFonts w:hint="default" w:ascii="Times New Roman" w:hAnsi="Times New Roman" w:cs="Times New Roman"/>
          <w:b/>
          <w:bCs/>
          <w:sz w:val="24"/>
          <w:szCs w:val="24"/>
        </w:rPr>
        <w:t>, Supplementary Table 5</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 contrast, in terms of negative connections, weakened connections were mainly found between Prefrontal area and Temporal area, Prefrontal area and Subcortical area, Frontal area and Temporal area, Frontal area and Cerebellum area, Temporal area and Subcortical area, Temporal zone with Occipital zone. (</w:t>
      </w:r>
      <w:r>
        <w:rPr>
          <w:rFonts w:hint="default" w:ascii="Times New Roman" w:hAnsi="Times New Roman" w:cs="Times New Roman"/>
          <w:b/>
          <w:bCs/>
          <w:sz w:val="24"/>
          <w:szCs w:val="24"/>
        </w:rPr>
        <w:t>Supplementary Figure 3</w:t>
      </w:r>
      <w:r>
        <w:rPr>
          <w:rFonts w:hint="eastAsia" w:ascii="Times New Roman" w:hAnsi="Times New Roman" w:cs="Times New Roman"/>
          <w:b/>
          <w:bCs/>
          <w:sz w:val="24"/>
          <w:szCs w:val="24"/>
          <w:lang w:val="en-US" w:eastAsia="zh-CN"/>
        </w:rPr>
        <w:t>B</w:t>
      </w:r>
      <w:r>
        <w:rPr>
          <w:rFonts w:hint="default" w:ascii="Times New Roman" w:hAnsi="Times New Roman" w:cs="Times New Roman"/>
          <w:b/>
          <w:bCs/>
          <w:sz w:val="24"/>
          <w:szCs w:val="24"/>
        </w:rPr>
        <w:t>, Supplementary Table 5</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w:t>
      </w:r>
      <w:r>
        <w:rPr>
          <w:rFonts w:hint="eastAsia" w:ascii="Times New Roman" w:hAnsi="Times New Roman" w:cs="Times New Roman"/>
          <w:sz w:val="24"/>
          <w:szCs w:val="24"/>
          <w:lang w:val="en-US" w:eastAsia="zh-CN"/>
        </w:rPr>
        <w:t xml:space="preserve"> </w:t>
      </w:r>
      <w:r>
        <w:rPr>
          <w:rFonts w:hint="default" w:ascii="Times New Roman" w:hAnsi="Times New Roman" w:cs="Times New Roman"/>
          <w:b/>
          <w:bCs/>
          <w:sz w:val="24"/>
          <w:szCs w:val="24"/>
        </w:rPr>
        <w:t xml:space="preserve">Table 1: </w:t>
      </w:r>
      <w:r>
        <w:rPr>
          <w:rFonts w:hint="default" w:ascii="Times New Roman" w:hAnsi="Times New Roman" w:cs="Times New Roman"/>
          <w:sz w:val="24"/>
          <w:szCs w:val="24"/>
        </w:rPr>
        <w:t>AAL 90 template</w:t>
      </w:r>
    </w:p>
    <w:tbl>
      <w:tblPr>
        <w:tblStyle w:val="3"/>
        <w:tblW w:w="0" w:type="auto"/>
        <w:tblInd w:w="-454"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17"/>
        <w:gridCol w:w="2161"/>
        <w:gridCol w:w="789"/>
        <w:gridCol w:w="1932"/>
        <w:gridCol w:w="819"/>
        <w:gridCol w:w="215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Label</w:t>
            </w:r>
          </w:p>
        </w:tc>
        <w:tc>
          <w:tcPr>
            <w:tcW w:w="2147"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Name</w:t>
            </w:r>
          </w:p>
        </w:tc>
        <w:tc>
          <w:tcPr>
            <w:tcW w:w="800"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Label</w:t>
            </w:r>
          </w:p>
        </w:tc>
        <w:tc>
          <w:tcPr>
            <w:tcW w:w="1919"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Name</w:t>
            </w:r>
          </w:p>
        </w:tc>
        <w:tc>
          <w:tcPr>
            <w:tcW w:w="831"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Label</w:t>
            </w:r>
          </w:p>
        </w:tc>
        <w:tc>
          <w:tcPr>
            <w:tcW w:w="2144"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Name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2147"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Precentral_L</w:t>
            </w:r>
          </w:p>
        </w:tc>
        <w:tc>
          <w:tcPr>
            <w:tcW w:w="80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31</w:t>
            </w:r>
          </w:p>
        </w:tc>
        <w:tc>
          <w:tcPr>
            <w:tcW w:w="191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Cingulum_Ant_L</w:t>
            </w:r>
          </w:p>
        </w:tc>
        <w:tc>
          <w:tcPr>
            <w:tcW w:w="831"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61</w:t>
            </w:r>
          </w:p>
        </w:tc>
        <w:tc>
          <w:tcPr>
            <w:tcW w:w="2144"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Parietal_Inf_L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Precentral_R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32</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Cingulum_Ant_R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62</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Parietal_Inf_R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33</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Cingulum_Mid_L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63</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SupraMarginal_L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34</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Cingulum_Mid_R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64</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SupraMarginal_R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Frontal_Sup_Orb_L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35</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Cingulum_Post_L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65</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Angular_L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Frontal_Sup_Orb_R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36</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Cingulum_Post_R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66</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Angular_R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37</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Hippocampus_L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67</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Precuneus_L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38</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Hippocampus_R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68</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Precuneus_R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9</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39</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ParaHippocampal_L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69</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Paracentral_Lobule_L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40</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ParaHippocampal_R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70</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Paracentral_Lobule_R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11</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Frontal_Inf_Oper_L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41</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Amygdala_L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71</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Caudate_L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12</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Frontal_Inf_Oper_R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42</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Amygdala_R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72</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Caudate_R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13</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Frontal_Inf_Tri_L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43</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Calcarine_L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73</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Putamen_L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14</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Frontal_Inf_Tri_R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44</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Calcarine_R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74</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Putamen_R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15</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Frontal_Inf_Orb_L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45</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Cuneus_L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75</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Pallidum_L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16</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Frontal_Inf_Orb_R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46</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Cuneus_R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76</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Pallidum_R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17</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Rolandic_Oper_L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47</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Lingual_L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77</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Thalamus_L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18</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Rolandic_Oper_R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48</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Lingual_R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78</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Thalamus_R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19</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Supp_Motor_Area_L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49</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Occipital_Sup_L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79</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Heschl_L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20</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Supp_Motor_Area_R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50</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Occipital_Sup_R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80</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Heschl_R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21</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Olfactory_L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51</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Occipital_Mid_L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81</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Temporal_Sup_L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22</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Olfactory_R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52</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Occipital_Mid_R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82</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Temporal_Sup_R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23</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Frontal_Sup_Medial_L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53</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Occipital_Inf_L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83</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Temporal_Pole_Sup_L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24</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Frontal_Sup_Medial_R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54</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Occipital_Inf_R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84</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Temporal_Pole_Sup_R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25</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55</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Fusiform_L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85</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Temporal_Mid_L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26</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56</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Fusiform_R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86</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Temporal_Mid_R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27</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Rectus_L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57</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Postcentral_L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87</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Temporal_Pole_Mid_L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28</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Rectus_R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58</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Postcentral_R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88</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Temporal_Pole_Mid_R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29</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Insula_L</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59</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Parietal_Sup_L</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89</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Temporal_Inf_L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30</w:t>
            </w:r>
          </w:p>
        </w:tc>
        <w:tc>
          <w:tcPr>
            <w:tcW w:w="2147"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Insula_R</w:t>
            </w:r>
          </w:p>
        </w:tc>
        <w:tc>
          <w:tcPr>
            <w:tcW w:w="8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91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Parietal_Sup_R</w:t>
            </w:r>
          </w:p>
        </w:tc>
        <w:tc>
          <w:tcPr>
            <w:tcW w:w="83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90</w:t>
            </w:r>
          </w:p>
        </w:tc>
        <w:tc>
          <w:tcPr>
            <w:tcW w:w="214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Temporal_Inf_R</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 Table 2: Modular Partitioning</w:t>
      </w:r>
    </w:p>
    <w:tbl>
      <w:tblPr>
        <w:tblStyle w:val="3"/>
        <w:tblpPr w:leftFromText="180" w:rightFromText="180" w:vertAnchor="text" w:horzAnchor="page" w:tblpX="1697" w:tblpY="17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74"/>
        <w:gridCol w:w="1186"/>
        <w:gridCol w:w="1075"/>
        <w:gridCol w:w="1140"/>
        <w:gridCol w:w="901"/>
        <w:gridCol w:w="1066"/>
        <w:gridCol w:w="901"/>
        <w:gridCol w:w="11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74"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Module</w:t>
            </w:r>
          </w:p>
        </w:tc>
        <w:tc>
          <w:tcPr>
            <w:tcW w:w="1186"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Region</w:t>
            </w:r>
          </w:p>
        </w:tc>
        <w:tc>
          <w:tcPr>
            <w:tcW w:w="1075"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Module</w:t>
            </w:r>
          </w:p>
        </w:tc>
        <w:tc>
          <w:tcPr>
            <w:tcW w:w="1140"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Region</w:t>
            </w:r>
          </w:p>
        </w:tc>
        <w:tc>
          <w:tcPr>
            <w:tcW w:w="901"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Module</w:t>
            </w:r>
          </w:p>
        </w:tc>
        <w:tc>
          <w:tcPr>
            <w:tcW w:w="1066"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Region</w:t>
            </w:r>
          </w:p>
        </w:tc>
        <w:tc>
          <w:tcPr>
            <w:tcW w:w="901"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Module</w:t>
            </w:r>
          </w:p>
        </w:tc>
        <w:tc>
          <w:tcPr>
            <w:tcW w:w="1179"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Region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1.Left frontal</w:t>
            </w:r>
          </w:p>
        </w:tc>
        <w:tc>
          <w:tcPr>
            <w:tcW w:w="118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Precentral_L</w:t>
            </w:r>
          </w:p>
        </w:tc>
        <w:tc>
          <w:tcPr>
            <w:tcW w:w="107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3.Frontal-subcortical</w:t>
            </w:r>
          </w:p>
        </w:tc>
        <w:tc>
          <w:tcPr>
            <w:tcW w:w="114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Rectus_R</w:t>
            </w:r>
          </w:p>
        </w:tc>
        <w:tc>
          <w:tcPr>
            <w:tcW w:w="90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5.Occipital</w:t>
            </w:r>
          </w:p>
        </w:tc>
        <w:tc>
          <w:tcPr>
            <w:tcW w:w="106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Cuneus_R</w:t>
            </w:r>
          </w:p>
        </w:tc>
        <w:tc>
          <w:tcPr>
            <w:tcW w:w="90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8.Left parieto-temporal</w:t>
            </w:r>
          </w:p>
        </w:tc>
        <w:tc>
          <w:tcPr>
            <w:tcW w:w="1179"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ParaHippocampal_L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Insula_L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Occipital_Sup_R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Amygdala_L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Cingulum_Ant_L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Occipital_Mid_R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Lingual_L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Frontal_Inf_Oper_L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Cingulum_Ant_R</w:t>
            </w:r>
          </w:p>
        </w:tc>
        <w:tc>
          <w:tcPr>
            <w:tcW w:w="90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6.Frontoorbital</w:t>
            </w: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Frontal_Sup_Orb_R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Occipital_Inf_L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Frontal_Inf_Tri_L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Caudate_L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Occipital_Inf_R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Frontal_Sup_Medial_L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Putamen_L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Frontal_Inf_Orb_R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Fusiform_L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Postcentral_L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Pallidum_L</w:t>
            </w:r>
          </w:p>
        </w:tc>
        <w:tc>
          <w:tcPr>
            <w:tcW w:w="90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7.Right parieto-temporal</w:t>
            </w: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Rolandic_Oper_R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PostcentraLR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2.Right frontal</w:t>
            </w: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Precentral_R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Thalamus_L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Insula_R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Parietal_Sup_R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Frontal_Sup_R</w:t>
            </w: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4.Central</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Supp_Motor_Area_L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Occipital_Mid_L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 Inf_R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Supp_Motor_Area_R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Parietal_Sup_L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Angular_R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Frontal_Inf_Oper_R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Cingulum_Mid_L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Parietal_Inf_L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Heschl_R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Frontal_Inf_Tri_R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Cingulum_Mid_R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SupraMarginal_L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Temporal_Sup_R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Frontal_Sup_Medial_R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Cingulum_Post_L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SupraMarginal_R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Temporal_Pole_Sup_L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3.Frontal-subcortical</w:t>
            </w: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Frontal_Sup_Orb_L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Cingulum_Post_R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Angular_L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Temporal_Mid_R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Calcarine_L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Caudate_R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Temporal_Pole_Mid_L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Frontal_Inf_Orb_L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Cuneus_L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Putamen_R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Temporal_Inf_L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Rolandic_Oper_L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Occipital_Sup_L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Pallidum_R</w:t>
            </w:r>
          </w:p>
        </w:tc>
        <w:tc>
          <w:tcPr>
            <w:tcW w:w="90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9.Temporal</w:t>
            </w: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Temporal_Inf_R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Olfactory_L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Precuneus_L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Thalamus_R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Hippocampus_R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Olfactory_R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Precuneus_R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Heschl_L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ParaHippocampal_R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Frontal_Mid_Orb_L</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Paracentral_Lobule_L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Temporal_Sup_L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Amygdala_R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74"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Frontal_Mid_Orb_R</w:t>
            </w:r>
          </w:p>
        </w:tc>
        <w:tc>
          <w:tcPr>
            <w:tcW w:w="1075"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Paracentral_Lobule_R</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06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Temporal_Mid_L</w:t>
            </w:r>
          </w:p>
        </w:tc>
        <w:tc>
          <w:tcPr>
            <w:tcW w:w="901"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Lingual_R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074"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8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Rectus_L</w:t>
            </w:r>
          </w:p>
        </w:tc>
        <w:tc>
          <w:tcPr>
            <w:tcW w:w="1075"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5.Occipital</w:t>
            </w:r>
          </w:p>
        </w:tc>
        <w:tc>
          <w:tcPr>
            <w:tcW w:w="114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Calcarine_R</w:t>
            </w:r>
          </w:p>
        </w:tc>
        <w:tc>
          <w:tcPr>
            <w:tcW w:w="90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8.Left parieto-temporal</w:t>
            </w:r>
          </w:p>
        </w:tc>
        <w:tc>
          <w:tcPr>
            <w:tcW w:w="106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Hippocampus_L</w:t>
            </w:r>
          </w:p>
        </w:tc>
        <w:tc>
          <w:tcPr>
            <w:tcW w:w="901"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p>
        </w:tc>
        <w:tc>
          <w:tcPr>
            <w:tcW w:w="117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t>Fusiform_R</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 Table 3: AAL 116 template</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1"/>
        <w:gridCol w:w="1315"/>
        <w:gridCol w:w="931"/>
        <w:gridCol w:w="1139"/>
        <w:gridCol w:w="887"/>
        <w:gridCol w:w="1273"/>
        <w:gridCol w:w="860"/>
        <w:gridCol w:w="15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91"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Label</w:t>
            </w:r>
          </w:p>
        </w:tc>
        <w:tc>
          <w:tcPr>
            <w:tcW w:w="1315"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Name</w:t>
            </w:r>
          </w:p>
        </w:tc>
        <w:tc>
          <w:tcPr>
            <w:tcW w:w="931"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Label</w:t>
            </w:r>
          </w:p>
        </w:tc>
        <w:tc>
          <w:tcPr>
            <w:tcW w:w="1139"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Name</w:t>
            </w:r>
          </w:p>
        </w:tc>
        <w:tc>
          <w:tcPr>
            <w:tcW w:w="887"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Label</w:t>
            </w:r>
          </w:p>
        </w:tc>
        <w:tc>
          <w:tcPr>
            <w:tcW w:w="1273"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Name</w:t>
            </w:r>
          </w:p>
        </w:tc>
        <w:tc>
          <w:tcPr>
            <w:tcW w:w="860"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Label</w:t>
            </w:r>
          </w:p>
        </w:tc>
        <w:tc>
          <w:tcPr>
            <w:tcW w:w="1526" w:type="dxa"/>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9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w:t>
            </w:r>
          </w:p>
        </w:tc>
        <w:tc>
          <w:tcPr>
            <w:tcW w:w="13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Precentral_L</w:t>
            </w:r>
          </w:p>
        </w:tc>
        <w:tc>
          <w:tcPr>
            <w:tcW w:w="93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30</w:t>
            </w:r>
          </w:p>
        </w:tc>
        <w:tc>
          <w:tcPr>
            <w:tcW w:w="1139"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Insula_R</w:t>
            </w:r>
          </w:p>
        </w:tc>
        <w:tc>
          <w:tcPr>
            <w:tcW w:w="88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59</w:t>
            </w:r>
          </w:p>
        </w:tc>
        <w:tc>
          <w:tcPr>
            <w:tcW w:w="127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Parietal_Sup_L</w:t>
            </w:r>
          </w:p>
        </w:tc>
        <w:tc>
          <w:tcPr>
            <w:tcW w:w="86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88</w:t>
            </w:r>
          </w:p>
        </w:tc>
        <w:tc>
          <w:tcPr>
            <w:tcW w:w="152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Tem_Pole_Mid_R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Precentral_R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31</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Cingulum_Ant_L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60</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Parietal_Sup_R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89</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Temporal_Inf_L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Frontal_Sup_L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32</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Cingulum_Ant_R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61</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Parietal_Inf_L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90</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Temporall_Inf_R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FrontalL_Sup_R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33</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Cingulum_Mid_L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62</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Parietal_Inf_R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91</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Cerebelm_Crus1_L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FrontalL_Sup_Orb_L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Cingulum_Mid_R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63</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SupraMarginal_L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92</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Cerebelm_Crus1_R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Frontal_Sup_Orb_R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Cingulum_Post_L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64</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SupraMarginal_R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93</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Cerebelm_Crus2_L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Frontal_Mid_L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Cingulum_Post_R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65</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Angular_L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94</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Cerebelm_Crus2_R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FrontaL_Mid_R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Hippocampus_L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66</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Angular_R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95</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Cerebelum_3_L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Frontal_Mid_Orb_L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38</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Hippocampus_R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67</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Precuneus_L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96</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Cerebelum_3_R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Frontal_Mid_Orb_R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ParaHippo_L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68</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Precuneus_R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97</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Cerebelum_4_5_L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Frontal_Inf_Oper_L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40</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ParaHippo_R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69</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Paracentral_Lob_L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98</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Cerebelum_4_5_R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12</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Frontal_Inf_Oper_R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Amygdala_L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70</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Paracentral_Lob_R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99</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Cerebelum_6_L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13</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Frontal_Inf_Tri_L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Amygdala_R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71</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Caudate_L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100</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Cerebelum_6_R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14</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Frontal_Inf_Tri_R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43</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Calcarine_L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72</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Caudate_R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101</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Cerebelum_7b_L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15</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Frontal_Inf_Orb_L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44</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Calcarine_R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73</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Putamen_L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102</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Cerebelum_7b_R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16</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Frontal_Inf_Orb_R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45</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Cuneus_L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74</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Putamen_R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103</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Cerebelum_8_I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17</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Rolandic_Oper_L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46</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Cuneus_R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75</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Pallidum_L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104</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Cerebelum_8_R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18</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Rolandic_Oper_R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47</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LinguaL_L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76</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Pallidum_R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105</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Cerebelum_9_L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19</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Supp_Motor_L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48</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Lingual_R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77</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Thalamus_L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106</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Cerebelum_9_R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20</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Supp_Motor_R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49</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OccipitaL_Sup_L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78</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Thalamus_R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107</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Cerebelum_10_L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21</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Olfactory_L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50</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OccipitaL_Sup_R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79</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Heschl_L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108</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Cerebelum_10_R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22</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Olfactory_R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51</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Occipital_Mid_L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80</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Heschl_R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109</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Vermis_1_2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23</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Frontl_Sup_MedL_L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52</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Occipital_Mid_R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81</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Temporal_Sup_L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110</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24</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FrontL_Sup_Med_R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53</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Occipital_Inf_L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82</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Temporal_Sup_R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111</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Vermis_4_5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25</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Frontal_Mid_Orb_L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54</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Occipital_Inf_R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83</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Templ_Pole_Sup_L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112</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26</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Frontal_Mid_Orb_R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55</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Fusiform_L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84</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Templ_Pole_Sup_R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113</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27</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Rectus_L</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56</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Fusiform_R</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85</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Temporal_Midl_L</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114</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9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28</w:t>
            </w:r>
          </w:p>
        </w:tc>
        <w:tc>
          <w:tcPr>
            <w:tcW w:w="1315"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Rectus_R</w:t>
            </w:r>
          </w:p>
        </w:tc>
        <w:tc>
          <w:tcPr>
            <w:tcW w:w="931"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57</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Postcentral_L</w:t>
            </w:r>
          </w:p>
        </w:tc>
        <w:tc>
          <w:tcPr>
            <w:tcW w:w="887"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86</w:t>
            </w:r>
          </w:p>
        </w:tc>
        <w:tc>
          <w:tcPr>
            <w:tcW w:w="1273"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Temporal_Mid_R</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115</w:t>
            </w:r>
          </w:p>
        </w:tc>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9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29</w:t>
            </w:r>
          </w:p>
        </w:tc>
        <w:tc>
          <w:tcPr>
            <w:tcW w:w="1315"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Insula_L</w:t>
            </w:r>
          </w:p>
        </w:tc>
        <w:tc>
          <w:tcPr>
            <w:tcW w:w="93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58</w:t>
            </w:r>
          </w:p>
        </w:tc>
        <w:tc>
          <w:tcPr>
            <w:tcW w:w="113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Postcentral_R</w:t>
            </w:r>
          </w:p>
        </w:tc>
        <w:tc>
          <w:tcPr>
            <w:tcW w:w="887"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87</w:t>
            </w:r>
          </w:p>
        </w:tc>
        <w:tc>
          <w:tcPr>
            <w:tcW w:w="1273"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Tem_Pole_Mid_L</w:t>
            </w:r>
          </w:p>
        </w:tc>
        <w:tc>
          <w:tcPr>
            <w:tcW w:w="86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116</w:t>
            </w:r>
          </w:p>
        </w:tc>
        <w:tc>
          <w:tcPr>
            <w:tcW w:w="152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Vermis_10</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6069330" cy="2084070"/>
            <wp:effectExtent l="0" t="0" r="11430" b="3810"/>
            <wp:docPr id="718547241" name="图片 8"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47241" name="图片 8" descr="图表, 箱线图&#10;&#10;描述已自动生成"/>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069330" cy="20840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w:t>
      </w:r>
      <w:r>
        <w:rPr>
          <w:rFonts w:hint="default" w:ascii="Times New Roman" w:hAnsi="Times New Roman" w:cs="Times New Roman"/>
          <w:b/>
          <w:bCs/>
          <w:sz w:val="24"/>
          <w:szCs w:val="24"/>
        </w:rPr>
        <w:t xml:space="preserve"> Figure 1</w:t>
      </w:r>
      <w:r>
        <w:rPr>
          <w:rFonts w:hint="default" w:ascii="Times New Roman" w:hAnsi="Times New Roman" w:cs="Times New Roman"/>
          <w:sz w:val="24"/>
          <w:szCs w:val="24"/>
        </w:rPr>
        <w:t>: Differences in Global metrics for validation analysis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Note: Figures 2A-2E illustrate that both the PACG and HC groups demonstrate small-world properties, while Figures 2F and 2G show that both groups exhibit network efficiency properties.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Histogram graphs present the AUC values for small-world properties and network efficiency (shown on the left side of Figures A-E, F, and G).</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Bar charts depict that both the PACG and HC groups display small-world properties within the defined sparsity range of 0.05&lt;S&lt;0.50. Mean values for each group are denoted by circles (PACG) and squares (HC), with error bars indicating the standard error for each subject group in every state (shown on the right side of Figures A-E).</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Abbreviations: Cp, clustering coefficient; Gamma, normalized clustering coefficient; Lambda, normalized shortest path length; Lp, characteristic path length; Sigma, small-worldness; Eg, global efficiency; Eloc, local efficiency; AUC, area under curve; PACG, primary angle-closure glaucoma; HC, healthy control.</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274310" cy="3955415"/>
            <wp:effectExtent l="0" t="0" r="13970" b="6985"/>
            <wp:docPr id="268089766"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089766" name="图片 9" descr="图示&#10;&#10;描述已自动生成"/>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310" cy="39554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w:t>
      </w:r>
      <w:r>
        <w:rPr>
          <w:rFonts w:hint="default" w:ascii="Times New Roman" w:hAnsi="Times New Roman" w:cs="Times New Roman"/>
          <w:b/>
          <w:bCs/>
          <w:sz w:val="24"/>
          <w:szCs w:val="24"/>
        </w:rPr>
        <w:t xml:space="preserve"> Figure 2</w:t>
      </w:r>
      <w:r>
        <w:rPr>
          <w:rFonts w:hint="default" w:ascii="Times New Roman" w:hAnsi="Times New Roman" w:cs="Times New Roman"/>
          <w:sz w:val="24"/>
          <w:szCs w:val="24"/>
        </w:rPr>
        <w:t>: Differences in nodal metrics for validation analysis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Note: A significant increase in both network node centrality and network node efficiency was observed in the MTG-R regions among PACG patients in comparison to healthy controls (PACG&gt;HC). (P&lt;0.05, Bonferroni-corrected).</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Abbreviations: MTG.R, right middle temporal gyrus.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 Table 4: Differences in nodal metrics between patients with PACG and healthy controls</w:t>
      </w:r>
    </w:p>
    <w:tbl>
      <w:tblPr>
        <w:tblStyle w:val="3"/>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82"/>
        <w:gridCol w:w="1382"/>
        <w:gridCol w:w="1383"/>
        <w:gridCol w:w="1383"/>
        <w:gridCol w:w="1383"/>
        <w:gridCol w:w="1383"/>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382"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382"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Brain Region</w:t>
            </w:r>
          </w:p>
        </w:tc>
        <w:tc>
          <w:tcPr>
            <w:tcW w:w="2766"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Degree Centrality</w:t>
            </w:r>
          </w:p>
        </w:tc>
        <w:tc>
          <w:tcPr>
            <w:tcW w:w="2766"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Nodal efficiency</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1382" w:type="dxa"/>
            <w:vMerge w:val="continue"/>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382" w:type="dxa"/>
            <w:vMerge w:val="continue"/>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38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t-Values</w:t>
            </w:r>
          </w:p>
        </w:tc>
        <w:tc>
          <w:tcPr>
            <w:tcW w:w="138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p-Values</w:t>
            </w:r>
          </w:p>
        </w:tc>
        <w:tc>
          <w:tcPr>
            <w:tcW w:w="138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t-Values</w:t>
            </w:r>
          </w:p>
        </w:tc>
        <w:tc>
          <w:tcPr>
            <w:tcW w:w="138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p-Values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82" w:type="dxa"/>
            <w:tcBorders>
              <w:top w:val="single" w:color="auto" w:sz="4" w:space="0"/>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PACG&gt;HC</w:t>
            </w:r>
          </w:p>
        </w:tc>
        <w:tc>
          <w:tcPr>
            <w:tcW w:w="1382" w:type="dxa"/>
            <w:tcBorders>
              <w:top w:val="single" w:color="auto" w:sz="4" w:space="0"/>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MTG.R</w:t>
            </w:r>
          </w:p>
        </w:tc>
        <w:tc>
          <w:tcPr>
            <w:tcW w:w="1383" w:type="dxa"/>
            <w:tcBorders>
              <w:top w:val="single" w:color="auto" w:sz="4" w:space="0"/>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4.195465</w:t>
            </w:r>
          </w:p>
        </w:tc>
        <w:tc>
          <w:tcPr>
            <w:tcW w:w="1383" w:type="dxa"/>
            <w:tcBorders>
              <w:top w:val="single" w:color="auto" w:sz="4" w:space="0"/>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0.000066</w:t>
            </w:r>
          </w:p>
        </w:tc>
        <w:tc>
          <w:tcPr>
            <w:tcW w:w="1383" w:type="dxa"/>
            <w:tcBorders>
              <w:top w:val="single" w:color="auto" w:sz="4" w:space="0"/>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3.939366</w:t>
            </w:r>
          </w:p>
        </w:tc>
        <w:tc>
          <w:tcPr>
            <w:tcW w:w="1383" w:type="dxa"/>
            <w:tcBorders>
              <w:top w:val="single" w:color="auto" w:sz="4" w:space="0"/>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0.000166</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Abbreviations: MTG.R, right middle temporal gyrus.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274310" cy="2415540"/>
            <wp:effectExtent l="0" t="0" r="13970" b="7620"/>
            <wp:docPr id="670695909" name="图片 10"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695909" name="图片 10" descr="图示&#10;&#10;中度可信度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241554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Supplementary </w:t>
      </w:r>
      <w:r>
        <w:rPr>
          <w:rFonts w:hint="default" w:ascii="Times New Roman" w:hAnsi="Times New Roman" w:cs="Times New Roman"/>
          <w:b/>
          <w:bCs/>
          <w:sz w:val="24"/>
          <w:szCs w:val="24"/>
        </w:rPr>
        <w:t>Figure 3</w:t>
      </w:r>
      <w:r>
        <w:rPr>
          <w:rFonts w:hint="default" w:ascii="Times New Roman" w:hAnsi="Times New Roman" w:cs="Times New Roman"/>
          <w:sz w:val="24"/>
          <w:szCs w:val="24"/>
        </w:rPr>
        <w:t xml:space="preserve">: Group differences in NBS components for validation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Note: NBS analysis identified a significantly altered network (both positive and negative) in PACG group relative to HC group.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Abbreviations: PACG, primary angle-closure glaucoma; HC, healthy control.</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Table 5</w:t>
      </w:r>
      <w:r>
        <w:rPr>
          <w:rFonts w:hint="default" w:ascii="Times New Roman" w:hAnsi="Times New Roman" w:cs="Times New Roman"/>
          <w:sz w:val="24"/>
          <w:szCs w:val="24"/>
        </w:rPr>
        <w:t>: Significant alterations in functional connectivities observed in PACG patients compared to HCs for validation analysis.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95"/>
        <w:gridCol w:w="1299"/>
        <w:gridCol w:w="1238"/>
        <w:gridCol w:w="1287"/>
        <w:gridCol w:w="1397"/>
        <w:gridCol w:w="1095"/>
        <w:gridCol w:w="11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Region 1</w:t>
            </w:r>
          </w:p>
        </w:tc>
        <w:tc>
          <w:tcPr>
            <w:tcW w:w="1200"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Category</w:t>
            </w:r>
          </w:p>
        </w:tc>
        <w:tc>
          <w:tcPr>
            <w:tcW w:w="1179"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Region 2</w:t>
            </w:r>
          </w:p>
        </w:tc>
        <w:tc>
          <w:tcPr>
            <w:tcW w:w="1200"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Category</w:t>
            </w:r>
          </w:p>
        </w:tc>
        <w:tc>
          <w:tcPr>
            <w:tcW w:w="1179"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p-Values</w:t>
            </w:r>
          </w:p>
        </w:tc>
        <w:tc>
          <w:tcPr>
            <w:tcW w:w="1180" w:type="dxa"/>
            <w:tcBorders>
              <w:top w:val="single" w:color="auto" w:sz="12"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t-Values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Positive</w:t>
            </w:r>
          </w:p>
        </w:tc>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REC-R</w:t>
            </w:r>
          </w:p>
        </w:tc>
        <w:tc>
          <w:tcPr>
            <w:tcW w:w="120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SOG-L</w:t>
            </w:r>
          </w:p>
        </w:tc>
        <w:tc>
          <w:tcPr>
            <w:tcW w:w="120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0.000190</w:t>
            </w:r>
          </w:p>
        </w:tc>
        <w:tc>
          <w:tcPr>
            <w:tcW w:w="118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3.900372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SOG-R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0.000180</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3.915268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SOG-R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0.000278</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3.791095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ORBsup-L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MOG-L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0.000986</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3.411795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MOG-L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0.000268</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3.802043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MOG-L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0.000797</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3.477073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CAL-R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MOG-L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0.000275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3.794489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0.000015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4.583946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MOG-L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Occipital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0.000249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3.822278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0.000052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4.258737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0.000088</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4.115239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0.000150</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3.968129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Simplex_R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0.000885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3.445057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Vermal_4_5</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0.000002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5.062215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Vermal_4_5</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0.000016</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4.567812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AMYG-R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Vermal_4_5</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0.000445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3.652998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Vermal_4_5</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0.000084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4.128176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Simplex_L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Vermal_4_5</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0.000085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4.127383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Vermal_6</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0.000031</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4.400071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Vermal_6</w:t>
            </w:r>
          </w:p>
        </w:tc>
        <w:tc>
          <w:tcPr>
            <w:tcW w:w="1200"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0.000122</w:t>
            </w:r>
          </w:p>
        </w:tc>
        <w:tc>
          <w:tcPr>
            <w:tcW w:w="1180"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4.024450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Negative</w:t>
            </w:r>
          </w:p>
        </w:tc>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ORBinf-L</w:t>
            </w:r>
          </w:p>
        </w:tc>
        <w:tc>
          <w:tcPr>
            <w:tcW w:w="120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SMA-L</w:t>
            </w:r>
          </w:p>
        </w:tc>
        <w:tc>
          <w:tcPr>
            <w:tcW w:w="120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0.000234</w:t>
            </w:r>
          </w:p>
        </w:tc>
        <w:tc>
          <w:tcPr>
            <w:tcW w:w="1180"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-3.840999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INS-L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0.000063</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-4.210209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INS-R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0.000442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-3.654754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INS-L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0.000174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-3.925042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ORBsup-R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0.000681</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-3.525294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SFGmed-R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0.000797</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-3.477034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REC-R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0.000602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-3.562249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0.000084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-4.130455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0.000042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-4.318366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0.000002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-5.143405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SFGmed-R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0.000213</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-3.868214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0.000134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-3.998533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HIP-R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0.000050</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-4.269656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PHG-R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0.000049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-4.278866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AMYG-R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0.000102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-4.075842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HIP-R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0.000039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-4.334760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AMYG-R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0.000729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-3.504382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IFGoperc-L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0.000805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-3.474173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IFGoperc-R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0.000241</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-3.832409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IFGtriang-L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0.000013</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-4.622485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0.000330</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-3.740598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CAU-L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PAL-R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0.000165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-3.940358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HES-R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0.000794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-3.478215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PUT-L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Subcortical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HES-R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0.000051</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-4.264613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STG-L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0.000412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-3.675556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STG-L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0.000749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-3.496267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IFGoperc-L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0.000635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-3.546113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IFGtriang-L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0.000374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-3.704562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SMA-L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0.000001</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-5.345547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SMA-R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0.000021</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-4.501363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TPOsup-R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0.000403</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-3.681919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SFGmed-L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0.000002</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-5.075402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SFGmed-R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0.000056</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-4.241922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SFGdor-L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0.000093</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-4.100319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IFGtriang-R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0.000714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-3.510565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SFGmed-L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0.000047</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-4.287020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SFGmed-R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TPOmid-R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Temporal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0.000034</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-4.371879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0.000065</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-4.200983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ACG-R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Prefontal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0.000727</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-3.505443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Simplex_L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0.000437</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-3.658370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Simplex_L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0.000989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-3.410768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Crus3_L</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Dentate_R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0.000019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-4.523432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Crus3_R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Frontal</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Dentate_R</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Motor</w:t>
            </w:r>
          </w:p>
        </w:tc>
        <w:tc>
          <w:tcPr>
            <w:tcW w:w="1179"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0.000469</w:t>
            </w:r>
          </w:p>
        </w:tc>
        <w:tc>
          <w:tcPr>
            <w:tcW w:w="1180" w:type="dxa"/>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-3.637498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79"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p>
        </w:tc>
        <w:tc>
          <w:tcPr>
            <w:tcW w:w="1179"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DCG-R</w:t>
            </w:r>
          </w:p>
        </w:tc>
        <w:tc>
          <w:tcPr>
            <w:tcW w:w="1200"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Frontal</w:t>
            </w:r>
          </w:p>
        </w:tc>
        <w:tc>
          <w:tcPr>
            <w:tcW w:w="1179"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Vermal_4_5</w:t>
            </w:r>
          </w:p>
        </w:tc>
        <w:tc>
          <w:tcPr>
            <w:tcW w:w="1200"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Cerebellum Sensorimotor</w:t>
            </w:r>
          </w:p>
        </w:tc>
        <w:tc>
          <w:tcPr>
            <w:tcW w:w="1179"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0.000871</w:t>
            </w:r>
          </w:p>
        </w:tc>
        <w:tc>
          <w:tcPr>
            <w:tcW w:w="1180" w:type="dxa"/>
            <w:tcBorders>
              <w:bottom w:val="single" w:color="auto" w:sz="12" w:space="0"/>
            </w:tcBorders>
            <w:noWrap/>
            <w:vAlign w:val="center"/>
          </w:tcPr>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-3.450117</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Note: NBS analysis results show that in the PACG group compared to the HC group, a significantly altered network consisting of 38 nodes and 64 connections was identified.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Abbreviations: REC-R, Right Rectus Gyrus; SOG-L, Left Superior Occipital Gyrus; REC-L, Left Rectus Gyrus; SOG-R, Right Superior Occipital Gyrus; ORBsup-L, Left Superior Orbital Gyrus; MOG-L, Left Middle Occipital Gyrus; CAL-R, Right Calcarine Fissure and Surrounding Cortex; PHG-L, Left Parahippocampal Gyrus; TPOsup-L, Left Superior Temporal Pole; Crus3_L, Left Lobule VI (Crus I) of the Cerebellum; Crus3_R, Right Lobule VI (Crus I) of the Cerebellum; Simplex_R, Right Simple Lobule of the Cerebellum; Vermal_4_5, Vermis Lobules IV-V of the Cerebellum; Vermal_6, Vermis Lobule VI of the Cerebellum; SMA-L, Left Supplementary Motor Area; ORBinf-L, Left Inferior Orbital Gyrus; INS-L, Left Insula; DCG-L, Left Dorsal Cingulate Gyrus; DCG-R, Right Dorsal Cingulate Gyrus; ORBsup-R, Right Superior Orbital Gyrus; SFGmed-R, Right Medial Superior Frontal Gyrus; ACG-L, Left Anterior Cingulate Gyrus; HIP-R, Right Hippocampus; CAU-L, Left Caudate Nucleus; CAU-R, Right Caudate Nucleus; PAL-R, Right Pallidum; HES-R, Right Heschl's Gyrus; PUT-L, Left Putamen; STG-L, Left Superior Temporal Gyrus; TPOsup-R, Right Superior Temporal Pole; SFGmed-L, Left Medial Superior Frontal Gyrus; TPOmid-L, Left Middle Temporal Pole; SFGdor-L, Left Dorsal Superior Frontal Gyrus; TPOmid-R, Right Middle Temporal Pole; IFGtriang-R, Right Inferior Frontal Gyrus, Triangular Part; ACG-R, Right Anterior Cingulate Gyrus; SFGmed-L, Left Medial Superior Frontal Gyrus; Dentate_R, Right Dentate Nucleus; PACG, primary angle-closure glaucoma; HC, healthy control.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wMmZjNzhiMThiZmQyMjczOGI3YWJlOTFkZGI1YjkifQ=="/>
  </w:docVars>
  <w:rsids>
    <w:rsidRoot w:val="00000000"/>
    <w:rsid w:val="01E44FDB"/>
    <w:rsid w:val="0FC92E5D"/>
    <w:rsid w:val="16265803"/>
    <w:rsid w:val="1BB03EA9"/>
    <w:rsid w:val="1EDA5674"/>
    <w:rsid w:val="342C61EA"/>
    <w:rsid w:val="42907FB1"/>
    <w:rsid w:val="55BB6F76"/>
    <w:rsid w:val="57A858DC"/>
    <w:rsid w:val="5A811EE0"/>
    <w:rsid w:val="6AA10091"/>
    <w:rsid w:val="7D364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黄兴</cp:lastModifiedBy>
  <dcterms:modified xsi:type="dcterms:W3CDTF">2024-02-14T09:37:39Z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7C81EFF13A6C476A8B4D6BDCAA0DB930_12</vt:lpwstr>
  </property>
</Properties>
</file>