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BBBFBA" w14:textId="10FCE4B0" w:rsidR="004D4603" w:rsidRPr="000673CB" w:rsidRDefault="000673CB" w:rsidP="000673CB">
      <w:pPr>
        <w:spacing w:line="360" w:lineRule="auto"/>
        <w:rPr>
          <w:rFonts w:ascii="Arial" w:hAnsi="Arial" w:cs="Arial"/>
        </w:rPr>
      </w:pPr>
      <w:r w:rsidRPr="000673CB">
        <w:rPr>
          <w:rFonts w:ascii="Arial" w:hAnsi="Arial" w:cs="Arial"/>
          <w:noProof/>
        </w:rPr>
        <w:drawing>
          <wp:inline distT="0" distB="0" distL="0" distR="0" wp14:anchorId="3DABCB61" wp14:editId="2D7FA9B1">
            <wp:extent cx="5274310" cy="3620135"/>
            <wp:effectExtent l="0" t="0" r="2540" b="0"/>
            <wp:docPr id="205866226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20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264A2E" w14:textId="77777777" w:rsidR="000673CB" w:rsidRPr="000673CB" w:rsidRDefault="000673CB" w:rsidP="000673CB">
      <w:pPr>
        <w:spacing w:line="360" w:lineRule="auto"/>
        <w:rPr>
          <w:rFonts w:ascii="Arial" w:hAnsi="Arial" w:cs="Arial"/>
        </w:rPr>
      </w:pPr>
      <w:r w:rsidRPr="000673CB">
        <w:rPr>
          <w:rFonts w:ascii="Arial" w:hAnsi="Arial" w:cs="Arial"/>
        </w:rPr>
        <w:t xml:space="preserve">Figure S1 Flow chart of </w:t>
      </w:r>
      <w:r w:rsidRPr="000673CB">
        <w:rPr>
          <w:rFonts w:ascii="Arial" w:hAnsi="Arial" w:cs="Arial"/>
          <w:i/>
          <w:iCs/>
        </w:rPr>
        <w:t xml:space="preserve">C. </w:t>
      </w:r>
      <w:proofErr w:type="spellStart"/>
      <w:r w:rsidRPr="000673CB">
        <w:rPr>
          <w:rFonts w:ascii="Arial" w:hAnsi="Arial" w:cs="Arial"/>
          <w:i/>
          <w:iCs/>
        </w:rPr>
        <w:t>moschata</w:t>
      </w:r>
      <w:proofErr w:type="spellEnd"/>
      <w:r w:rsidRPr="000673CB">
        <w:rPr>
          <w:rFonts w:ascii="Arial" w:hAnsi="Arial" w:cs="Arial"/>
        </w:rPr>
        <w:t xml:space="preserve"> seedling culture in this study.</w:t>
      </w:r>
    </w:p>
    <w:p w14:paraId="096F3446" w14:textId="77777777" w:rsidR="000673CB" w:rsidRPr="000673CB" w:rsidRDefault="000673CB" w:rsidP="000673CB">
      <w:pPr>
        <w:spacing w:line="360" w:lineRule="auto"/>
        <w:rPr>
          <w:rFonts w:ascii="Arial" w:hAnsi="Arial" w:cs="Arial"/>
        </w:rPr>
      </w:pPr>
    </w:p>
    <w:p w14:paraId="1A0CBEA1" w14:textId="77777777" w:rsidR="000673CB" w:rsidRPr="000673CB" w:rsidRDefault="000673CB" w:rsidP="000673CB">
      <w:pPr>
        <w:spacing w:line="360" w:lineRule="auto"/>
        <w:rPr>
          <w:rFonts w:ascii="Arial" w:hAnsi="Arial" w:cs="Arial"/>
        </w:rPr>
      </w:pPr>
    </w:p>
    <w:p w14:paraId="0F3F727B" w14:textId="77777777" w:rsidR="000673CB" w:rsidRPr="000673CB" w:rsidRDefault="000673CB" w:rsidP="000673CB">
      <w:pPr>
        <w:spacing w:line="360" w:lineRule="auto"/>
        <w:rPr>
          <w:rFonts w:ascii="Arial" w:hAnsi="Arial" w:cs="Arial"/>
        </w:rPr>
      </w:pPr>
    </w:p>
    <w:p w14:paraId="73154ACE" w14:textId="77777777" w:rsidR="000673CB" w:rsidRPr="000673CB" w:rsidRDefault="000673CB" w:rsidP="000673CB">
      <w:pPr>
        <w:spacing w:line="360" w:lineRule="auto"/>
        <w:rPr>
          <w:rFonts w:ascii="Arial" w:hAnsi="Arial" w:cs="Arial"/>
        </w:rPr>
      </w:pPr>
    </w:p>
    <w:p w14:paraId="43D0CCA4" w14:textId="77777777" w:rsidR="000673CB" w:rsidRPr="000673CB" w:rsidRDefault="000673CB" w:rsidP="000673CB">
      <w:pPr>
        <w:spacing w:line="360" w:lineRule="auto"/>
        <w:rPr>
          <w:rFonts w:ascii="Arial" w:hAnsi="Arial" w:cs="Arial"/>
        </w:rPr>
      </w:pPr>
    </w:p>
    <w:p w14:paraId="2132EB3E" w14:textId="77777777" w:rsidR="000673CB" w:rsidRPr="000673CB" w:rsidRDefault="000673CB" w:rsidP="000673CB">
      <w:pPr>
        <w:spacing w:line="360" w:lineRule="auto"/>
        <w:rPr>
          <w:rFonts w:ascii="Arial" w:hAnsi="Arial" w:cs="Arial"/>
        </w:rPr>
      </w:pPr>
    </w:p>
    <w:p w14:paraId="33ECB286" w14:textId="77777777" w:rsidR="000673CB" w:rsidRPr="000673CB" w:rsidRDefault="000673CB" w:rsidP="000673CB">
      <w:pPr>
        <w:spacing w:line="360" w:lineRule="auto"/>
        <w:rPr>
          <w:rFonts w:ascii="Arial" w:hAnsi="Arial" w:cs="Arial"/>
        </w:rPr>
      </w:pPr>
    </w:p>
    <w:p w14:paraId="2CF1C960" w14:textId="77777777" w:rsidR="000673CB" w:rsidRPr="000673CB" w:rsidRDefault="000673CB" w:rsidP="000673CB">
      <w:pPr>
        <w:spacing w:line="360" w:lineRule="auto"/>
        <w:rPr>
          <w:rFonts w:ascii="Arial" w:hAnsi="Arial" w:cs="Arial"/>
        </w:rPr>
      </w:pPr>
    </w:p>
    <w:p w14:paraId="4053851C" w14:textId="77777777" w:rsidR="000673CB" w:rsidRPr="000673CB" w:rsidRDefault="000673CB" w:rsidP="000673CB">
      <w:pPr>
        <w:spacing w:line="360" w:lineRule="auto"/>
        <w:rPr>
          <w:rFonts w:ascii="Arial" w:hAnsi="Arial" w:cs="Arial"/>
        </w:rPr>
      </w:pPr>
    </w:p>
    <w:p w14:paraId="5F495C8F" w14:textId="77777777" w:rsidR="000673CB" w:rsidRPr="000673CB" w:rsidRDefault="000673CB" w:rsidP="000673CB">
      <w:pPr>
        <w:spacing w:line="360" w:lineRule="auto"/>
        <w:rPr>
          <w:rFonts w:ascii="Arial" w:hAnsi="Arial" w:cs="Arial"/>
        </w:rPr>
      </w:pPr>
    </w:p>
    <w:p w14:paraId="2EB60FA1" w14:textId="77777777" w:rsidR="000673CB" w:rsidRPr="000673CB" w:rsidRDefault="000673CB" w:rsidP="000673CB">
      <w:pPr>
        <w:spacing w:line="360" w:lineRule="auto"/>
        <w:rPr>
          <w:rFonts w:ascii="Arial" w:hAnsi="Arial" w:cs="Arial"/>
        </w:rPr>
      </w:pPr>
    </w:p>
    <w:p w14:paraId="6C2C4FA9" w14:textId="21E8847C" w:rsidR="000673CB" w:rsidRPr="000673CB" w:rsidRDefault="000673CB" w:rsidP="000673CB">
      <w:pPr>
        <w:spacing w:line="360" w:lineRule="auto"/>
        <w:jc w:val="center"/>
        <w:rPr>
          <w:rFonts w:ascii="Arial" w:hAnsi="Arial" w:cs="Arial"/>
        </w:rPr>
      </w:pPr>
      <w:r w:rsidRPr="000673CB">
        <w:rPr>
          <w:rFonts w:ascii="Arial" w:hAnsi="Arial" w:cs="Arial"/>
          <w:noProof/>
        </w:rPr>
        <w:lastRenderedPageBreak/>
        <w:drawing>
          <wp:inline distT="0" distB="0" distL="0" distR="0" wp14:anchorId="4E812FEA" wp14:editId="63A8052A">
            <wp:extent cx="3253693" cy="3170255"/>
            <wp:effectExtent l="0" t="0" r="4445" b="0"/>
            <wp:docPr id="154763736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8383" cy="31845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23130E" w14:textId="77777777" w:rsidR="000673CB" w:rsidRPr="000673CB" w:rsidRDefault="000673CB" w:rsidP="000673CB">
      <w:pPr>
        <w:spacing w:line="360" w:lineRule="auto"/>
        <w:rPr>
          <w:rFonts w:ascii="Arial" w:hAnsi="Arial" w:cs="Arial"/>
        </w:rPr>
      </w:pPr>
      <w:r w:rsidRPr="000673CB">
        <w:rPr>
          <w:rFonts w:ascii="Arial" w:hAnsi="Arial" w:cs="Arial"/>
        </w:rPr>
        <w:t>Figure S2 The Pearson's correlation coefficients (R) between the three biological replicates of each sample.</w:t>
      </w:r>
    </w:p>
    <w:p w14:paraId="1EB24503" w14:textId="0E66089E" w:rsidR="000673CB" w:rsidRPr="000673CB" w:rsidRDefault="000673CB" w:rsidP="000673CB">
      <w:pPr>
        <w:spacing w:line="360" w:lineRule="auto"/>
        <w:jc w:val="center"/>
        <w:rPr>
          <w:rFonts w:ascii="Arial" w:hAnsi="Arial" w:cs="Arial"/>
        </w:rPr>
      </w:pPr>
      <w:r w:rsidRPr="000673CB">
        <w:rPr>
          <w:rFonts w:ascii="Arial" w:hAnsi="Arial" w:cs="Arial"/>
          <w:noProof/>
        </w:rPr>
        <w:drawing>
          <wp:inline distT="0" distB="0" distL="0" distR="0" wp14:anchorId="1E8509AE" wp14:editId="601C01D8">
            <wp:extent cx="4675973" cy="3506135"/>
            <wp:effectExtent l="0" t="0" r="0" b="0"/>
            <wp:docPr id="111423083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9664" cy="35089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2464C8" w14:textId="77777777" w:rsidR="000673CB" w:rsidRPr="000673CB" w:rsidRDefault="000673CB" w:rsidP="000673CB">
      <w:pPr>
        <w:spacing w:line="360" w:lineRule="auto"/>
        <w:rPr>
          <w:rFonts w:ascii="Arial" w:hAnsi="Arial" w:cs="Arial"/>
        </w:rPr>
      </w:pPr>
      <w:r w:rsidRPr="000673CB">
        <w:rPr>
          <w:rFonts w:ascii="Arial" w:hAnsi="Arial" w:cs="Arial"/>
        </w:rPr>
        <w:t>Figure S3 Volcano plot of differentially expressed genes (DEGs) in Se0 vs Se40. Horizontal axis means Log</w:t>
      </w:r>
      <w:r w:rsidRPr="000673CB">
        <w:rPr>
          <w:rFonts w:ascii="Arial" w:hAnsi="Arial" w:cs="Arial"/>
          <w:vertAlign w:val="subscript"/>
        </w:rPr>
        <w:t>2</w:t>
      </w:r>
      <w:r w:rsidRPr="000673CB">
        <w:rPr>
          <w:rFonts w:ascii="Arial" w:hAnsi="Arial" w:cs="Arial"/>
        </w:rPr>
        <w:t>(fold change) value, and vertical axis means the level of significance with false discovery rate (FDR). |log2 FC (fold change)|≥1 and FDR &lt;0.01 were used as thresholds for significantly up- or down-regulated genes.</w:t>
      </w:r>
    </w:p>
    <w:p w14:paraId="62C86DAD" w14:textId="49E307E5" w:rsidR="000673CB" w:rsidRPr="000673CB" w:rsidRDefault="000673CB" w:rsidP="000673CB">
      <w:pPr>
        <w:spacing w:line="360" w:lineRule="auto"/>
        <w:jc w:val="center"/>
        <w:rPr>
          <w:rFonts w:ascii="Arial" w:hAnsi="Arial" w:cs="Arial"/>
        </w:rPr>
      </w:pPr>
      <w:r w:rsidRPr="000673CB">
        <w:rPr>
          <w:rFonts w:ascii="Arial" w:hAnsi="Arial" w:cs="Arial"/>
          <w:noProof/>
        </w:rPr>
        <w:lastRenderedPageBreak/>
        <w:drawing>
          <wp:inline distT="0" distB="0" distL="0" distR="0" wp14:anchorId="2BCE1634" wp14:editId="7E56B99F">
            <wp:extent cx="5274310" cy="2533015"/>
            <wp:effectExtent l="0" t="0" r="2540" b="635"/>
            <wp:docPr id="93667253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33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BE35DF" w14:textId="7A259F79" w:rsidR="000673CB" w:rsidRPr="000673CB" w:rsidRDefault="000673CB" w:rsidP="000673CB">
      <w:pPr>
        <w:spacing w:line="360" w:lineRule="auto"/>
        <w:rPr>
          <w:rFonts w:ascii="Arial" w:hAnsi="Arial" w:cs="Arial"/>
        </w:rPr>
      </w:pPr>
      <w:r w:rsidRPr="000673CB">
        <w:rPr>
          <w:rFonts w:ascii="Arial" w:hAnsi="Arial" w:cs="Arial"/>
        </w:rPr>
        <w:t>Figure S4 Pie Graph showing the DEGs in Se0 vs Se40 annotated as different transporters in NR database. The proportions of different transporters were presented.</w:t>
      </w:r>
    </w:p>
    <w:sectPr w:rsidR="000673CB" w:rsidRPr="000673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73CB"/>
    <w:rsid w:val="000673CB"/>
    <w:rsid w:val="0032148C"/>
    <w:rsid w:val="004D4603"/>
    <w:rsid w:val="00565068"/>
    <w:rsid w:val="00C978E8"/>
    <w:rsid w:val="00E61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D5A2AC"/>
  <w15:chartTrackingRefBased/>
  <w15:docId w15:val="{1B2B99D4-28AE-40C1-B5FE-0AADF1EED2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101</Words>
  <Characters>578</Characters>
  <Application>Microsoft Office Word</Application>
  <DocSecurity>0</DocSecurity>
  <Lines>4</Lines>
  <Paragraphs>1</Paragraphs>
  <ScaleCrop>false</ScaleCrop>
  <Company/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yong wang</dc:creator>
  <cp:keywords/>
  <dc:description/>
  <cp:lastModifiedBy>yong wang</cp:lastModifiedBy>
  <cp:revision>1</cp:revision>
  <dcterms:created xsi:type="dcterms:W3CDTF">2024-03-23T15:10:00Z</dcterms:created>
  <dcterms:modified xsi:type="dcterms:W3CDTF">2024-03-23T15:16:00Z</dcterms:modified>
</cp:coreProperties>
</file>