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F494C" w14:textId="77777777" w:rsidR="000E6233" w:rsidRPr="000345EF" w:rsidRDefault="000E6233" w:rsidP="000E6233">
      <w:pPr>
        <w:jc w:val="center"/>
        <w:rPr>
          <w:rFonts w:ascii="Times New Roman" w:hAnsi="Times New Roman" w:cs="Times New Roman"/>
          <w:b/>
          <w:bCs/>
          <w:sz w:val="30"/>
          <w:szCs w:val="30"/>
        </w:rPr>
      </w:pPr>
      <w:r w:rsidRPr="000345EF">
        <w:rPr>
          <w:rFonts w:ascii="Times New Roman" w:hAnsi="Times New Roman" w:cs="Times New Roman"/>
          <w:b/>
          <w:bCs/>
          <w:sz w:val="30"/>
          <w:szCs w:val="30"/>
        </w:rPr>
        <w:t xml:space="preserve">Integrative analyses of DNA </w:t>
      </w:r>
      <w:r w:rsidRPr="00ED4771">
        <w:rPr>
          <w:rFonts w:ascii="Times New Roman" w:hAnsi="Times New Roman" w:cs="Times New Roman"/>
          <w:b/>
          <w:bCs/>
          <w:sz w:val="30"/>
          <w:szCs w:val="30"/>
        </w:rPr>
        <w:t>methylase</w:t>
      </w:r>
      <w:r w:rsidRPr="000345EF">
        <w:rPr>
          <w:rFonts w:ascii="Times New Roman" w:hAnsi="Times New Roman" w:cs="Times New Roman"/>
          <w:b/>
          <w:bCs/>
          <w:sz w:val="30"/>
          <w:szCs w:val="30"/>
        </w:rPr>
        <w:t xml:space="preserve"> expression and related immune landscape in Prostate Cancer</w:t>
      </w:r>
    </w:p>
    <w:p w14:paraId="167BCBF8" w14:textId="77777777" w:rsidR="000E6233" w:rsidRDefault="000E6233" w:rsidP="000E6233">
      <w:pPr>
        <w:jc w:val="center"/>
        <w:rPr>
          <w:rFonts w:ascii="Times New Roman" w:hAnsi="Times New Roman" w:cs="Times New Roman"/>
          <w:sz w:val="18"/>
          <w:szCs w:val="18"/>
        </w:rPr>
      </w:pPr>
      <w:r w:rsidRPr="00ED4771">
        <w:rPr>
          <w:rFonts w:ascii="Times New Roman" w:hAnsi="Times New Roman" w:cs="Times New Roman"/>
          <w:sz w:val="18"/>
          <w:szCs w:val="18"/>
        </w:rPr>
        <w:t>Jialong Zhang</w:t>
      </w:r>
      <w:r w:rsidRPr="00ED4771">
        <w:rPr>
          <w:rFonts w:ascii="Times New Roman" w:hAnsi="Times New Roman" w:cs="Times New Roman"/>
          <w:sz w:val="18"/>
          <w:szCs w:val="18"/>
          <w:vertAlign w:val="superscript"/>
        </w:rPr>
        <w:t>1</w:t>
      </w:r>
      <w:r>
        <w:rPr>
          <w:rFonts w:ascii="Times New Roman" w:hAnsi="Times New Roman" w:cs="Times New Roman"/>
          <w:sz w:val="18"/>
          <w:szCs w:val="18"/>
          <w:vertAlign w:val="superscript"/>
        </w:rPr>
        <w:t>,3</w:t>
      </w:r>
      <w:r w:rsidRPr="00ED4771">
        <w:rPr>
          <w:rFonts w:ascii="Times New Roman" w:hAnsi="Times New Roman" w:cs="Times New Roman"/>
          <w:sz w:val="18"/>
          <w:szCs w:val="18"/>
        </w:rPr>
        <w:t xml:space="preserve"> Hongzhi Wang</w:t>
      </w:r>
      <w:r w:rsidRPr="00ED4771">
        <w:rPr>
          <w:rFonts w:ascii="Times New Roman" w:hAnsi="Times New Roman" w:cs="Times New Roman"/>
          <w:sz w:val="18"/>
          <w:szCs w:val="18"/>
          <w:vertAlign w:val="superscript"/>
        </w:rPr>
        <w:t>1</w:t>
      </w:r>
      <w:r>
        <w:rPr>
          <w:rFonts w:ascii="Times New Roman" w:hAnsi="Times New Roman" w:cs="Times New Roman"/>
          <w:sz w:val="18"/>
          <w:szCs w:val="18"/>
          <w:vertAlign w:val="superscript"/>
        </w:rPr>
        <w:t>,3</w:t>
      </w:r>
      <w:r w:rsidRPr="00ED4771">
        <w:rPr>
          <w:rFonts w:ascii="Times New Roman" w:hAnsi="Times New Roman" w:cs="Times New Roman"/>
          <w:sz w:val="18"/>
          <w:szCs w:val="18"/>
        </w:rPr>
        <w:t xml:space="preserve"> Cong Huang</w:t>
      </w:r>
      <w:r w:rsidRPr="00ED4771">
        <w:rPr>
          <w:rFonts w:ascii="Times New Roman" w:hAnsi="Times New Roman" w:cs="Times New Roman"/>
          <w:sz w:val="18"/>
          <w:szCs w:val="18"/>
          <w:vertAlign w:val="superscript"/>
        </w:rPr>
        <w:t>1</w:t>
      </w:r>
      <w:r>
        <w:rPr>
          <w:rFonts w:ascii="Times New Roman" w:hAnsi="Times New Roman" w:cs="Times New Roman"/>
          <w:sz w:val="18"/>
          <w:szCs w:val="18"/>
          <w:vertAlign w:val="superscript"/>
        </w:rPr>
        <w:t>,3</w:t>
      </w:r>
      <w:r w:rsidRPr="00ED4771">
        <w:rPr>
          <w:rFonts w:ascii="Times New Roman" w:hAnsi="Times New Roman" w:cs="Times New Roman"/>
          <w:sz w:val="18"/>
          <w:szCs w:val="18"/>
        </w:rPr>
        <w:t xml:space="preserve"> </w:t>
      </w:r>
      <w:r w:rsidRPr="00B775FF">
        <w:rPr>
          <w:rFonts w:ascii="Times New Roman" w:hAnsi="Times New Roman" w:cs="Times New Roman"/>
          <w:sz w:val="18"/>
          <w:szCs w:val="18"/>
        </w:rPr>
        <w:t>Ying Zhang</w:t>
      </w:r>
      <w:r w:rsidRPr="00EB153F">
        <w:rPr>
          <w:rFonts w:ascii="Times New Roman" w:hAnsi="Times New Roman" w:cs="Times New Roman"/>
          <w:sz w:val="18"/>
          <w:szCs w:val="18"/>
          <w:vertAlign w:val="superscript"/>
        </w:rPr>
        <w:t>2</w:t>
      </w:r>
      <w:r>
        <w:rPr>
          <w:rFonts w:ascii="Times New Roman" w:hAnsi="Times New Roman" w:cs="Times New Roman" w:hint="eastAsia"/>
          <w:sz w:val="18"/>
          <w:szCs w:val="18"/>
          <w:vertAlign w:val="superscript"/>
        </w:rPr>
        <w:t>,</w:t>
      </w:r>
      <w:r>
        <w:rPr>
          <w:rFonts w:ascii="Times New Roman" w:hAnsi="Times New Roman" w:cs="Times New Roman"/>
          <w:sz w:val="18"/>
          <w:szCs w:val="18"/>
          <w:vertAlign w:val="superscript"/>
        </w:rPr>
        <w:t>4</w:t>
      </w:r>
      <w:r>
        <w:rPr>
          <w:rFonts w:ascii="Times New Roman" w:hAnsi="Times New Roman" w:cs="Times New Roman"/>
          <w:sz w:val="18"/>
          <w:szCs w:val="18"/>
        </w:rPr>
        <w:t xml:space="preserve"> </w:t>
      </w:r>
      <w:proofErr w:type="spellStart"/>
      <w:r w:rsidRPr="00ED4771">
        <w:rPr>
          <w:rFonts w:ascii="Times New Roman" w:hAnsi="Times New Roman" w:cs="Times New Roman"/>
          <w:sz w:val="18"/>
          <w:szCs w:val="18"/>
        </w:rPr>
        <w:t>Chaozhao</w:t>
      </w:r>
      <w:proofErr w:type="spellEnd"/>
      <w:r w:rsidRPr="00ED4771">
        <w:rPr>
          <w:rFonts w:ascii="Times New Roman" w:hAnsi="Times New Roman" w:cs="Times New Roman"/>
          <w:sz w:val="18"/>
          <w:szCs w:val="18"/>
        </w:rPr>
        <w:t xml:space="preserve"> Liang</w:t>
      </w:r>
      <w:r w:rsidRPr="00ED4771">
        <w:rPr>
          <w:rFonts w:ascii="Times New Roman" w:hAnsi="Times New Roman" w:cs="Times New Roman"/>
          <w:sz w:val="18"/>
          <w:szCs w:val="18"/>
          <w:vertAlign w:val="superscript"/>
        </w:rPr>
        <w:t>1</w:t>
      </w:r>
      <w:r>
        <w:rPr>
          <w:rFonts w:ascii="Times New Roman" w:hAnsi="Times New Roman" w:cs="Times New Roman" w:hint="eastAsia"/>
          <w:sz w:val="18"/>
          <w:szCs w:val="18"/>
          <w:vertAlign w:val="superscript"/>
        </w:rPr>
        <w:t>,</w:t>
      </w:r>
      <w:r>
        <w:rPr>
          <w:rFonts w:ascii="Times New Roman" w:hAnsi="Times New Roman" w:cs="Times New Roman"/>
          <w:sz w:val="18"/>
          <w:szCs w:val="18"/>
          <w:vertAlign w:val="superscript"/>
        </w:rPr>
        <w:t xml:space="preserve"> 5</w:t>
      </w:r>
      <w:r>
        <w:rPr>
          <w:rFonts w:ascii="MS Gothic" w:eastAsia="MS Gothic" w:hAnsi="MS Gothic" w:cs="MS Gothic"/>
          <w:sz w:val="15"/>
          <w:szCs w:val="15"/>
          <w:vertAlign w:val="superscript"/>
        </w:rPr>
        <w:t>*</w:t>
      </w:r>
      <w:r w:rsidRPr="00ED4771">
        <w:rPr>
          <w:rFonts w:ascii="Times New Roman" w:hAnsi="Times New Roman" w:cs="Times New Roman"/>
          <w:sz w:val="18"/>
          <w:szCs w:val="18"/>
        </w:rPr>
        <w:t xml:space="preserve"> </w:t>
      </w:r>
    </w:p>
    <w:p w14:paraId="264C9707" w14:textId="77777777" w:rsidR="000E6233" w:rsidRPr="00E7059D" w:rsidRDefault="000E6233" w:rsidP="000E6233">
      <w:pPr>
        <w:jc w:val="left"/>
        <w:rPr>
          <w:rFonts w:ascii="Times New Roman" w:hAnsi="Times New Roman" w:cs="Times New Roman"/>
          <w:sz w:val="15"/>
          <w:szCs w:val="15"/>
        </w:rPr>
      </w:pPr>
      <w:r w:rsidRPr="00E7059D">
        <w:rPr>
          <w:rFonts w:ascii="Times New Roman" w:hAnsi="Times New Roman" w:cs="Times New Roman"/>
          <w:sz w:val="15"/>
          <w:szCs w:val="15"/>
          <w:vertAlign w:val="superscript"/>
        </w:rPr>
        <w:t>1</w:t>
      </w:r>
      <w:r w:rsidRPr="00E7059D">
        <w:rPr>
          <w:rFonts w:ascii="Times New Roman" w:hAnsi="Times New Roman" w:cs="Times New Roman"/>
          <w:sz w:val="15"/>
          <w:szCs w:val="15"/>
        </w:rPr>
        <w:t xml:space="preserve"> Department of Urology, First Affiliated Hospital of Anhui Medical University, Institute of Urology, Anhui Medical University, Anhui Province Key Laboratory of Genitourinary Diseases, Hefei,230022, China, </w:t>
      </w:r>
    </w:p>
    <w:p w14:paraId="634AA847" w14:textId="77777777" w:rsidR="000E6233" w:rsidRPr="00E7059D" w:rsidRDefault="000E6233" w:rsidP="000E6233">
      <w:pPr>
        <w:jc w:val="left"/>
        <w:rPr>
          <w:rFonts w:ascii="Times New Roman" w:hAnsi="Times New Roman" w:cs="Times New Roman"/>
          <w:sz w:val="15"/>
          <w:szCs w:val="15"/>
        </w:rPr>
      </w:pPr>
      <w:r w:rsidRPr="00E7059D">
        <w:rPr>
          <w:rFonts w:ascii="Times New Roman" w:hAnsi="Times New Roman" w:cs="Times New Roman"/>
          <w:sz w:val="15"/>
          <w:szCs w:val="15"/>
          <w:vertAlign w:val="superscript"/>
        </w:rPr>
        <w:t xml:space="preserve">2 </w:t>
      </w:r>
      <w:r w:rsidRPr="00E7059D">
        <w:rPr>
          <w:rFonts w:ascii="Times New Roman" w:hAnsi="Times New Roman" w:cs="Times New Roman"/>
          <w:sz w:val="15"/>
          <w:szCs w:val="15"/>
        </w:rPr>
        <w:t xml:space="preserve">Department of pathology, First Affiliated Hospital of Anhui Medical University, Hefei 230022. </w:t>
      </w:r>
    </w:p>
    <w:p w14:paraId="4226A999" w14:textId="77777777" w:rsidR="000E6233" w:rsidRPr="00E7059D" w:rsidRDefault="000E6233" w:rsidP="000E6233">
      <w:pPr>
        <w:jc w:val="left"/>
        <w:rPr>
          <w:rFonts w:ascii="Times New Roman" w:hAnsi="Times New Roman" w:cs="Times New Roman"/>
          <w:sz w:val="15"/>
          <w:szCs w:val="15"/>
        </w:rPr>
      </w:pPr>
      <w:r w:rsidRPr="00E7059D">
        <w:rPr>
          <w:rFonts w:ascii="Times New Roman" w:hAnsi="Times New Roman" w:cs="Times New Roman"/>
          <w:sz w:val="15"/>
          <w:szCs w:val="15"/>
          <w:vertAlign w:val="superscript"/>
        </w:rPr>
        <w:t>3</w:t>
      </w:r>
      <w:r w:rsidRPr="00E7059D">
        <w:rPr>
          <w:rFonts w:ascii="Times New Roman" w:hAnsi="Times New Roman" w:cs="Times New Roman"/>
          <w:sz w:val="15"/>
          <w:szCs w:val="15"/>
        </w:rPr>
        <w:t xml:space="preserve">These authors contributed equally: Jialong Zhang, Hongzhi Wang, Cong Huang. </w:t>
      </w:r>
    </w:p>
    <w:p w14:paraId="60452B72" w14:textId="77777777" w:rsidR="000E6233" w:rsidRPr="00DC2D1B" w:rsidRDefault="000E6233" w:rsidP="000E6233">
      <w:pPr>
        <w:jc w:val="left"/>
        <w:rPr>
          <w:rFonts w:ascii="Times New Roman" w:hAnsi="Times New Roman" w:cs="Times New Roman"/>
          <w:sz w:val="15"/>
          <w:szCs w:val="15"/>
        </w:rPr>
      </w:pPr>
      <w:r w:rsidRPr="00E7059D">
        <w:rPr>
          <w:rFonts w:ascii="Times New Roman" w:hAnsi="Times New Roman" w:cs="Times New Roman"/>
          <w:sz w:val="15"/>
          <w:szCs w:val="15"/>
          <w:vertAlign w:val="superscript"/>
        </w:rPr>
        <w:t>4</w:t>
      </w:r>
      <w:r w:rsidRPr="00DC2D1B">
        <w:rPr>
          <w:rFonts w:ascii="Times New Roman" w:hAnsi="Times New Roman" w:cs="Times New Roman"/>
          <w:sz w:val="15"/>
          <w:szCs w:val="15"/>
          <w:vertAlign w:val="superscript"/>
        </w:rPr>
        <w:t xml:space="preserve"> </w:t>
      </w:r>
      <w:proofErr w:type="gramStart"/>
      <w:r w:rsidRPr="00DC2D1B">
        <w:rPr>
          <w:rFonts w:ascii="Times New Roman" w:hAnsi="Times New Roman" w:cs="Times New Roman"/>
          <w:sz w:val="15"/>
          <w:szCs w:val="15"/>
        </w:rPr>
        <w:t>email</w:t>
      </w:r>
      <w:proofErr w:type="gramEnd"/>
      <w:r w:rsidRPr="00DC2D1B">
        <w:rPr>
          <w:rFonts w:ascii="Times New Roman" w:hAnsi="Times New Roman" w:cs="Times New Roman"/>
          <w:sz w:val="15"/>
          <w:szCs w:val="15"/>
        </w:rPr>
        <w:t xml:space="preserve">: </w:t>
      </w:r>
      <w:r w:rsidRPr="00E7059D">
        <w:t>zy1122812@163.com</w:t>
      </w:r>
      <w:r w:rsidRPr="00DC2D1B">
        <w:rPr>
          <w:rFonts w:ascii="Times New Roman" w:hAnsi="Times New Roman" w:cs="Times New Roman"/>
          <w:sz w:val="15"/>
          <w:szCs w:val="15"/>
        </w:rPr>
        <w:t xml:space="preserve">. </w:t>
      </w:r>
    </w:p>
    <w:p w14:paraId="58A09E96" w14:textId="77777777" w:rsidR="000E6233" w:rsidRPr="00E7059D" w:rsidRDefault="000E6233" w:rsidP="000E6233">
      <w:pPr>
        <w:jc w:val="left"/>
        <w:rPr>
          <w:rFonts w:ascii="Times New Roman" w:hAnsi="Times New Roman" w:cs="Times New Roman"/>
          <w:sz w:val="15"/>
          <w:szCs w:val="15"/>
        </w:rPr>
      </w:pPr>
      <w:r w:rsidRPr="00E7059D">
        <w:rPr>
          <w:rFonts w:ascii="Times New Roman" w:hAnsi="Times New Roman" w:cs="Times New Roman"/>
          <w:sz w:val="15"/>
          <w:szCs w:val="15"/>
          <w:vertAlign w:val="superscript"/>
        </w:rPr>
        <w:t>5</w:t>
      </w:r>
      <w:r w:rsidRPr="00E7059D">
        <w:rPr>
          <w:rFonts w:ascii="Times New Roman" w:hAnsi="Times New Roman" w:cs="Times New Roman"/>
          <w:sz w:val="15"/>
          <w:szCs w:val="15"/>
        </w:rPr>
        <w:t>* email: liang_chaozhao@ahmu.edu.cn.</w:t>
      </w:r>
    </w:p>
    <w:p w14:paraId="4A865E44" w14:textId="77777777" w:rsidR="000E6233" w:rsidRPr="00B4009D" w:rsidRDefault="000E6233" w:rsidP="000E6233">
      <w:pPr>
        <w:autoSpaceDE w:val="0"/>
        <w:autoSpaceDN w:val="0"/>
        <w:adjustRightInd w:val="0"/>
        <w:spacing w:before="100" w:beforeAutospacing="1" w:after="100" w:afterAutospacing="1" w:line="480" w:lineRule="auto"/>
        <w:contextualSpacing/>
        <w:rPr>
          <w:rFonts w:ascii="Times New Roman" w:hAnsi="Times New Roman" w:cs="Times New Roman"/>
          <w:b/>
          <w:sz w:val="32"/>
          <w:szCs w:val="24"/>
        </w:rPr>
      </w:pPr>
      <w:r w:rsidRPr="009E4ADD">
        <w:rPr>
          <w:rFonts w:ascii="Times New Roman" w:eastAsia="Times New Roman" w:hAnsi="Times New Roman" w:cs="Times New Roman"/>
          <w:b/>
          <w:color w:val="000000"/>
          <w:sz w:val="28"/>
        </w:rPr>
        <w:t>SUPPLEMENTARY METHODS</w:t>
      </w:r>
    </w:p>
    <w:p w14:paraId="1FAAA8B4" w14:textId="13809EB4" w:rsidR="00960A4D" w:rsidRPr="008F59CF" w:rsidRDefault="00960A4D" w:rsidP="00960A4D">
      <w:pPr>
        <w:rPr>
          <w:rFonts w:ascii="Times New Roman" w:hAnsi="Times New Roman" w:cs="Times New Roman"/>
          <w:sz w:val="28"/>
          <w:szCs w:val="28"/>
        </w:rPr>
      </w:pPr>
      <w:r w:rsidRPr="008F59CF">
        <w:rPr>
          <w:rFonts w:ascii="Times New Roman" w:hAnsi="Times New Roman" w:cs="Times New Roman"/>
          <w:sz w:val="28"/>
          <w:szCs w:val="28"/>
        </w:rPr>
        <w:t>Data Collection</w:t>
      </w:r>
    </w:p>
    <w:p w14:paraId="7116C725" w14:textId="77777777" w:rsidR="00960A4D" w:rsidRPr="00985632" w:rsidRDefault="00960A4D" w:rsidP="00960A4D">
      <w:pPr>
        <w:ind w:firstLineChars="200" w:firstLine="480"/>
        <w:rPr>
          <w:rFonts w:ascii="Times New Roman" w:hAnsi="Times New Roman" w:cs="Times New Roman"/>
          <w:sz w:val="24"/>
          <w:szCs w:val="24"/>
        </w:rPr>
      </w:pPr>
      <w:r w:rsidRPr="005D5E8C">
        <w:rPr>
          <w:rFonts w:ascii="Times New Roman" w:hAnsi="Times New Roman" w:cs="Times New Roman"/>
          <w:sz w:val="24"/>
          <w:szCs w:val="24"/>
        </w:rPr>
        <w:t xml:space="preserve">RNA-sequencing transcriptomic data and corresponding clinical information for patients with </w:t>
      </w:r>
      <w:r>
        <w:rPr>
          <w:rFonts w:ascii="Times New Roman" w:hAnsi="Times New Roman" w:cs="Times New Roman"/>
          <w:sz w:val="24"/>
          <w:szCs w:val="24"/>
        </w:rPr>
        <w:t>PCa</w:t>
      </w:r>
      <w:r w:rsidRPr="005D5E8C">
        <w:rPr>
          <w:rFonts w:ascii="Times New Roman" w:hAnsi="Times New Roman" w:cs="Times New Roman"/>
          <w:sz w:val="24"/>
          <w:szCs w:val="24"/>
        </w:rPr>
        <w:t xml:space="preserve"> were obtained from TCGA (https://portal.gdc.cancer.gov/; until July 2</w:t>
      </w:r>
      <w:r>
        <w:rPr>
          <w:rFonts w:ascii="Times New Roman" w:hAnsi="Times New Roman" w:cs="Times New Roman"/>
          <w:sz w:val="24"/>
          <w:szCs w:val="24"/>
        </w:rPr>
        <w:t>3</w:t>
      </w:r>
      <w:r w:rsidRPr="005D5E8C">
        <w:rPr>
          <w:rFonts w:ascii="Times New Roman" w:hAnsi="Times New Roman" w:cs="Times New Roman"/>
          <w:sz w:val="24"/>
          <w:szCs w:val="24"/>
        </w:rPr>
        <w:t>, 202</w:t>
      </w:r>
      <w:r>
        <w:rPr>
          <w:rFonts w:ascii="Times New Roman" w:hAnsi="Times New Roman" w:cs="Times New Roman"/>
          <w:sz w:val="24"/>
          <w:szCs w:val="24"/>
        </w:rPr>
        <w:t>3</w:t>
      </w:r>
      <w:r w:rsidRPr="005D5E8C">
        <w:rPr>
          <w:rFonts w:ascii="Times New Roman" w:hAnsi="Times New Roman" w:cs="Times New Roman"/>
          <w:sz w:val="24"/>
          <w:szCs w:val="24"/>
        </w:rPr>
        <w:t xml:space="preserve">). A total of </w:t>
      </w:r>
      <w:r>
        <w:rPr>
          <w:rFonts w:ascii="Times New Roman" w:hAnsi="Times New Roman" w:cs="Times New Roman"/>
          <w:sz w:val="24"/>
          <w:szCs w:val="24"/>
        </w:rPr>
        <w:t>502</w:t>
      </w:r>
      <w:r w:rsidRPr="005D5E8C">
        <w:rPr>
          <w:rFonts w:ascii="Times New Roman" w:hAnsi="Times New Roman" w:cs="Times New Roman"/>
          <w:sz w:val="24"/>
          <w:szCs w:val="24"/>
        </w:rPr>
        <w:t xml:space="preserve"> </w:t>
      </w:r>
      <w:r>
        <w:rPr>
          <w:rFonts w:ascii="Times New Roman" w:hAnsi="Times New Roman" w:cs="Times New Roman"/>
          <w:sz w:val="24"/>
          <w:szCs w:val="24"/>
        </w:rPr>
        <w:t>PCa</w:t>
      </w:r>
      <w:r w:rsidRPr="005D5E8C">
        <w:rPr>
          <w:rFonts w:ascii="Times New Roman" w:hAnsi="Times New Roman" w:cs="Times New Roman"/>
          <w:sz w:val="24"/>
          <w:szCs w:val="24"/>
        </w:rPr>
        <w:t xml:space="preserve"> cases and 5</w:t>
      </w:r>
      <w:r>
        <w:rPr>
          <w:rFonts w:ascii="Times New Roman" w:hAnsi="Times New Roman" w:cs="Times New Roman"/>
          <w:sz w:val="24"/>
          <w:szCs w:val="24"/>
        </w:rPr>
        <w:t>2</w:t>
      </w:r>
      <w:r w:rsidRPr="005D5E8C">
        <w:rPr>
          <w:rFonts w:ascii="Times New Roman" w:hAnsi="Times New Roman" w:cs="Times New Roman"/>
          <w:sz w:val="24"/>
          <w:szCs w:val="24"/>
        </w:rPr>
        <w:t xml:space="preserve"> normal adjacent tumor tissues were included for further analysis. </w:t>
      </w:r>
      <w:r>
        <w:rPr>
          <w:rFonts w:ascii="Times New Roman" w:hAnsi="Times New Roman" w:cs="Times New Roman"/>
          <w:sz w:val="24"/>
          <w:szCs w:val="24"/>
        </w:rPr>
        <w:t>Eight</w:t>
      </w:r>
      <w:r w:rsidRPr="005D5E8C">
        <w:rPr>
          <w:rFonts w:ascii="Times New Roman" w:hAnsi="Times New Roman" w:cs="Times New Roman"/>
          <w:sz w:val="24"/>
          <w:szCs w:val="24"/>
        </w:rPr>
        <w:t xml:space="preserve"> currently known </w:t>
      </w:r>
      <w:r w:rsidRPr="00D6097D">
        <w:rPr>
          <w:rFonts w:ascii="Times New Roman" w:hAnsi="Times New Roman" w:cs="Times New Roman"/>
          <w:sz w:val="24"/>
          <w:szCs w:val="24"/>
        </w:rPr>
        <w:t>DNA methylase</w:t>
      </w:r>
      <w:r w:rsidRPr="005D5E8C">
        <w:rPr>
          <w:rFonts w:ascii="Times New Roman" w:hAnsi="Times New Roman" w:cs="Times New Roman"/>
          <w:sz w:val="24"/>
          <w:szCs w:val="24"/>
        </w:rPr>
        <w:t xml:space="preserve">, including DNMT1, TRDMT1, DNMT3A, DNMT3B, DNMT3L, TET1, TET2, TET3, </w:t>
      </w:r>
      <w:r>
        <w:rPr>
          <w:rFonts w:ascii="Times New Roman" w:hAnsi="Times New Roman" w:cs="Times New Roman"/>
          <w:sz w:val="24"/>
          <w:szCs w:val="24"/>
        </w:rPr>
        <w:t>were used for analysis</w:t>
      </w:r>
      <w:r w:rsidRPr="00985632">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&lt;EndNote&gt;&lt;Cite&gt;&lt;Author&gt;Wang&lt;/Author&gt;&lt;Year&gt;2023&lt;/Year&gt;&lt;RecNum&gt;36&lt;/RecNum&gt;&lt;DisplayText&gt;&lt;style face="superscript"&gt;19&lt;/style&gt;&lt;/DisplayText&gt;&lt;record&gt;&lt;rec-number&gt;36&lt;/rec-number&gt;&lt;foreign-keys&gt;&lt;key app="EN" db-id="a9adft0572pzpvea9vqvsff0tsavav0a5rea" timestamp="1695299436"&gt;36&lt;/key&gt;&lt;/foreign-keys&gt;&lt;ref-type name="Journal Article"&gt;17&lt;/ref-type&gt;&lt;contributors&gt;&lt;authors&gt;&lt;author&gt;Wang, Nan&lt;/author&gt;&lt;author&gt;Ma, Ting&lt;/author&gt;&lt;author&gt;Yu, Bin&lt;/author&gt;&lt;/authors&gt;&lt;/contributors&gt;&lt;auth-address&gt;Institute of Drug Discovery &amp;amp; Development, School of Pharmaceutical Sciences, Zhengzhou University, Zhengzhou, 450001, China.&amp;#xD;Institute of Drug Discovery &amp;amp; Development, School of Pharmaceutical Sciences, Zhengzhou University, Zhengzhou, 450001, China. mating@zzu.edu.cn.&amp;#xD;Institute of Drug Discovery &amp;amp; Development, School of Pharmaceutical Sciences, Zhengzhou University, Zhengzhou, 450001, China. yubin@zzu.edu.cn.&lt;/auth-address&gt;&lt;titles&gt;&lt;title&gt;Targeting epigenetic regulators to overcome drug resistance in cancers&lt;/title&gt;&lt;secondary-title&gt;Signal Transduction and Targeted Therapy&lt;/secondary-title&gt;&lt;alt-title&gt;Signal Transduct Target Ther&lt;/alt-title&gt;&lt;/titles&gt;&lt;periodical&gt;&lt;full-title&gt;Signal Transduction and Targeted Therapy&lt;/full-title&gt;&lt;/periodical&gt;&lt;pages&gt;69&lt;/pages&gt;&lt;volume&gt;8&lt;/volume&gt;&lt;number&gt;1&lt;/number&gt;&lt;dates&gt;&lt;year&gt;2023&lt;/year&gt;&lt;/dates&gt;&lt;isbn&gt;2059-3635&lt;/isbn&gt;&lt;accession-num&gt;36797239&lt;/accession-num&gt;&lt;label&gt;39.3&lt;/label&gt;&lt;urls&gt;&lt;related-urls&gt;&lt;url&gt;https://pubmed.ncbi.nlm.nih.gov/36797239&lt;/url&gt;&lt;/related-urls&gt;&lt;/urls&gt;&lt;custom1&gt;39.3&lt;/cus</w:instrText>
      </w:r>
      <w:r>
        <w:rPr>
          <w:rFonts w:ascii="Times New Roman" w:hAnsi="Times New Roman" w:cs="Times New Roman" w:hint="eastAsia"/>
          <w:sz w:val="24"/>
          <w:szCs w:val="24"/>
        </w:rPr>
        <w:instrText>tom1&gt;&lt;custom2&gt;Q1&lt;/custom2&gt;&lt;custom3&gt;1</w:instrText>
      </w:r>
      <w:r>
        <w:rPr>
          <w:rFonts w:ascii="Times New Roman" w:hAnsi="Times New Roman" w:cs="Times New Roman" w:hint="eastAsia"/>
          <w:sz w:val="24"/>
          <w:szCs w:val="24"/>
        </w:rPr>
        <w:instrText>区</w:instrText>
      </w:r>
      <w:r>
        <w:rPr>
          <w:rFonts w:ascii="Times New Roman" w:hAnsi="Times New Roman" w:cs="Times New Roman" w:hint="eastAsia"/>
          <w:sz w:val="24"/>
          <w:szCs w:val="24"/>
        </w:rPr>
        <w:instrText>&lt;/custom3&gt;&lt;electronic-resource-num&gt;10.1038/s41392-023-01341-7&lt;/electronic-resource-num&gt;&lt;remote-database-name&gt;PubMed&lt;/remote-database-name&gt;&lt;language&gt;eng&lt;/language&gt;&lt;/record&gt;&lt;/Cite&gt;&lt;/EndNote&gt;</w:instrText>
      </w:r>
      <w:r w:rsidRPr="00985632">
        <w:rPr>
          <w:rFonts w:ascii="Times New Roman" w:hAnsi="Times New Roman" w:cs="Times New Roman"/>
          <w:sz w:val="24"/>
          <w:szCs w:val="24"/>
        </w:rPr>
        <w:fldChar w:fldCharType="separate"/>
      </w:r>
      <w:r w:rsidRPr="00A147E0">
        <w:rPr>
          <w:rFonts w:ascii="Times New Roman" w:hAnsi="Times New Roman" w:cs="Times New Roman"/>
          <w:noProof/>
          <w:sz w:val="24"/>
          <w:szCs w:val="24"/>
          <w:vertAlign w:val="superscript"/>
        </w:rPr>
        <w:t>19</w:t>
      </w:r>
      <w:r w:rsidRPr="00985632">
        <w:rPr>
          <w:rFonts w:ascii="Times New Roman" w:hAnsi="Times New Roman" w:cs="Times New Roman"/>
          <w:sz w:val="24"/>
          <w:szCs w:val="24"/>
        </w:rPr>
        <w:fldChar w:fldCharType="end"/>
      </w:r>
      <w:r w:rsidRPr="00985632">
        <w:rPr>
          <w:rFonts w:ascii="Times New Roman" w:hAnsi="Times New Roman" w:cs="Times New Roman"/>
          <w:sz w:val="24"/>
          <w:szCs w:val="24"/>
        </w:rPr>
        <w:t xml:space="preserve">. </w:t>
      </w:r>
      <w:r w:rsidRPr="006060C4">
        <w:rPr>
          <w:rFonts w:ascii="Times New Roman" w:hAnsi="Times New Roman" w:cs="Times New Roman"/>
          <w:sz w:val="24"/>
          <w:szCs w:val="24"/>
        </w:rPr>
        <w:t xml:space="preserve">Of these, the first five genes belong to DNA methyltransferase and the last three belong to DNA demethylase. </w:t>
      </w:r>
      <w:r w:rsidRPr="00985632">
        <w:rPr>
          <w:rFonts w:ascii="Times New Roman" w:hAnsi="Times New Roman" w:cs="Times New Roman"/>
          <w:sz w:val="24"/>
          <w:szCs w:val="24"/>
        </w:rPr>
        <w:t xml:space="preserve">The expression data of these 8 genes were extracted from the </w:t>
      </w:r>
      <w:r>
        <w:rPr>
          <w:rFonts w:ascii="Times New Roman" w:hAnsi="Times New Roman" w:cs="Times New Roman"/>
          <w:sz w:val="24"/>
          <w:szCs w:val="24"/>
        </w:rPr>
        <w:t>PCa</w:t>
      </w:r>
      <w:r w:rsidRPr="00985632">
        <w:rPr>
          <w:rFonts w:ascii="Times New Roman" w:hAnsi="Times New Roman" w:cs="Times New Roman"/>
          <w:sz w:val="24"/>
          <w:szCs w:val="24"/>
        </w:rPr>
        <w:t xml:space="preserve"> cohort of the TCGA database. For external validation, we used an independent cohort (GSE26126) containing 95</w:t>
      </w:r>
      <w:r>
        <w:rPr>
          <w:rFonts w:ascii="Times New Roman" w:hAnsi="Times New Roman" w:cs="Times New Roman"/>
          <w:sz w:val="24"/>
          <w:szCs w:val="24"/>
        </w:rPr>
        <w:t xml:space="preserve"> </w:t>
      </w:r>
      <w:r w:rsidRPr="00985632">
        <w:rPr>
          <w:rFonts w:ascii="Times New Roman" w:hAnsi="Times New Roman" w:cs="Times New Roman"/>
          <w:sz w:val="24"/>
          <w:szCs w:val="24"/>
        </w:rPr>
        <w:t xml:space="preserve">prostate tumors and 86 healthy prostate tissue samples with corresponding gene expression data and the </w:t>
      </w:r>
      <w:r>
        <w:rPr>
          <w:rFonts w:ascii="Times New Roman" w:hAnsi="Times New Roman" w:cs="Times New Roman"/>
          <w:sz w:val="24"/>
          <w:szCs w:val="24"/>
        </w:rPr>
        <w:t>recurrence</w:t>
      </w:r>
      <w:r w:rsidRPr="00985632">
        <w:rPr>
          <w:rFonts w:ascii="Times New Roman" w:hAnsi="Times New Roman" w:cs="Times New Roman"/>
          <w:sz w:val="24"/>
          <w:szCs w:val="24"/>
        </w:rPr>
        <w:t xml:space="preserve"> information, which were obtained from the GEO</w:t>
      </w:r>
      <w:r>
        <w:rPr>
          <w:rFonts w:ascii="Times New Roman" w:hAnsi="Times New Roman" w:cs="Times New Roman"/>
          <w:sz w:val="24"/>
          <w:szCs w:val="24"/>
        </w:rPr>
        <w:t xml:space="preserve"> </w:t>
      </w:r>
      <w:r w:rsidRPr="00985632">
        <w:rPr>
          <w:rFonts w:ascii="Times New Roman" w:hAnsi="Times New Roman" w:cs="Times New Roman"/>
          <w:sz w:val="24"/>
          <w:szCs w:val="24"/>
        </w:rPr>
        <w:t>(</w:t>
      </w:r>
      <w:hyperlink r:id="rId6" w:history="1">
        <w:r w:rsidRPr="00985632">
          <w:rPr>
            <w:rStyle w:val="a7"/>
            <w:rFonts w:ascii="Times New Roman" w:hAnsi="Times New Roman" w:cs="Times New Roman"/>
            <w:sz w:val="24"/>
            <w:szCs w:val="24"/>
          </w:rPr>
          <w:t>http://www.ncbi.nlm.nih.gov/geo</w:t>
        </w:r>
      </w:hyperlink>
      <w:r w:rsidRPr="00985632">
        <w:rPr>
          <w:rFonts w:ascii="Times New Roman" w:hAnsi="Times New Roman" w:cs="Times New Roman"/>
          <w:sz w:val="24"/>
          <w:szCs w:val="24"/>
        </w:rPr>
        <w:t>). Genetic mutation data</w:t>
      </w:r>
      <w:r>
        <w:rPr>
          <w:rFonts w:ascii="Times New Roman" w:hAnsi="Times New Roman" w:cs="Times New Roman"/>
          <w:sz w:val="24"/>
          <w:szCs w:val="24"/>
        </w:rPr>
        <w:t xml:space="preserve"> were obtained</w:t>
      </w:r>
      <w:r w:rsidRPr="00985632">
        <w:rPr>
          <w:rFonts w:ascii="Times New Roman" w:hAnsi="Times New Roman" w:cs="Times New Roman"/>
          <w:sz w:val="24"/>
          <w:szCs w:val="24"/>
        </w:rPr>
        <w:t xml:space="preserve"> from </w:t>
      </w:r>
      <w:proofErr w:type="spellStart"/>
      <w:r w:rsidRPr="00985632">
        <w:rPr>
          <w:rFonts w:ascii="Times New Roman" w:hAnsi="Times New Roman" w:cs="Times New Roman"/>
          <w:sz w:val="24"/>
          <w:szCs w:val="24"/>
        </w:rPr>
        <w:t>cbioportal</w:t>
      </w:r>
      <w:proofErr w:type="spellEnd"/>
      <w:r>
        <w:rPr>
          <w:rFonts w:ascii="Times New Roman" w:hAnsi="Times New Roman" w:cs="Times New Roman"/>
          <w:sz w:val="24"/>
          <w:szCs w:val="24"/>
        </w:rPr>
        <w:t xml:space="preserve"> </w:t>
      </w:r>
      <w:proofErr w:type="gramStart"/>
      <w:r w:rsidRPr="00985632">
        <w:rPr>
          <w:rFonts w:ascii="Times New Roman" w:hAnsi="Times New Roman" w:cs="Times New Roman"/>
          <w:sz w:val="24"/>
          <w:szCs w:val="24"/>
        </w:rPr>
        <w:t>( https://www.cbioportal.org/</w:t>
      </w:r>
      <w:proofErr w:type="gramEnd"/>
      <w:r w:rsidRPr="00985632">
        <w:rPr>
          <w:rFonts w:ascii="Times New Roman" w:hAnsi="Times New Roman" w:cs="Times New Roman"/>
          <w:sz w:val="24"/>
          <w:szCs w:val="24"/>
        </w:rPr>
        <w:t>).</w:t>
      </w:r>
    </w:p>
    <w:p w14:paraId="11E2DAC5" w14:textId="77777777" w:rsidR="00960A4D" w:rsidRPr="008F59CF" w:rsidRDefault="00960A4D" w:rsidP="00960A4D">
      <w:pPr>
        <w:rPr>
          <w:rFonts w:ascii="Times New Roman" w:hAnsi="Times New Roman" w:cs="Times New Roman"/>
          <w:sz w:val="28"/>
          <w:szCs w:val="28"/>
        </w:rPr>
      </w:pPr>
      <w:r w:rsidRPr="008F59CF">
        <w:rPr>
          <w:rFonts w:ascii="Times New Roman" w:hAnsi="Times New Roman" w:cs="Times New Roman"/>
          <w:sz w:val="28"/>
          <w:szCs w:val="28"/>
        </w:rPr>
        <w:t>Analysis of Differentially-Expressed</w:t>
      </w:r>
      <w:r w:rsidRPr="008F59CF">
        <w:t xml:space="preserve"> </w:t>
      </w:r>
      <w:r w:rsidRPr="008F59CF">
        <w:rPr>
          <w:rFonts w:ascii="Times New Roman" w:hAnsi="Times New Roman" w:cs="Times New Roman"/>
          <w:sz w:val="28"/>
          <w:szCs w:val="28"/>
        </w:rPr>
        <w:t>Genes</w:t>
      </w:r>
    </w:p>
    <w:p w14:paraId="46EF62A6" w14:textId="77777777" w:rsidR="00960A4D" w:rsidRDefault="00960A4D" w:rsidP="00960A4D">
      <w:pPr>
        <w:pStyle w:val="EndNoteBibliography"/>
        <w:ind w:firstLineChars="200" w:firstLine="480"/>
        <w:rPr>
          <w:rFonts w:eastAsiaTheme="minorEastAsia"/>
          <w:noProof w:val="0"/>
          <w:sz w:val="24"/>
          <w:szCs w:val="24"/>
        </w:rPr>
      </w:pPr>
      <w:r>
        <w:rPr>
          <w:rFonts w:eastAsiaTheme="minorEastAsia" w:hint="eastAsia"/>
          <w:noProof w:val="0"/>
          <w:sz w:val="24"/>
          <w:szCs w:val="24"/>
        </w:rPr>
        <w:t>The</w:t>
      </w:r>
      <w:r>
        <w:rPr>
          <w:rFonts w:eastAsiaTheme="minorEastAsia"/>
          <w:noProof w:val="0"/>
          <w:sz w:val="24"/>
          <w:szCs w:val="24"/>
        </w:rPr>
        <w:t xml:space="preserve"> </w:t>
      </w:r>
      <w:r>
        <w:rPr>
          <w:rFonts w:eastAsiaTheme="minorEastAsia" w:hint="eastAsia"/>
          <w:noProof w:val="0"/>
          <w:sz w:val="24"/>
          <w:szCs w:val="24"/>
        </w:rPr>
        <w:t>results</w:t>
      </w:r>
      <w:r w:rsidRPr="0075794F">
        <w:rPr>
          <w:rFonts w:eastAsiaTheme="minorEastAsia"/>
          <w:noProof w:val="0"/>
          <w:sz w:val="24"/>
          <w:szCs w:val="24"/>
        </w:rPr>
        <w:t xml:space="preserve"> were obtained by comparing </w:t>
      </w:r>
      <w:r>
        <w:rPr>
          <w:rFonts w:eastAsiaTheme="minorEastAsia"/>
          <w:noProof w:val="0"/>
          <w:sz w:val="24"/>
          <w:szCs w:val="24"/>
        </w:rPr>
        <w:t>52</w:t>
      </w:r>
      <w:r w:rsidRPr="0075794F">
        <w:rPr>
          <w:rFonts w:eastAsiaTheme="minorEastAsia"/>
          <w:noProof w:val="0"/>
          <w:sz w:val="24"/>
          <w:szCs w:val="24"/>
        </w:rPr>
        <w:t xml:space="preserve"> normal and </w:t>
      </w:r>
      <w:r>
        <w:rPr>
          <w:rFonts w:eastAsiaTheme="minorEastAsia"/>
          <w:noProof w:val="0"/>
          <w:sz w:val="24"/>
          <w:szCs w:val="24"/>
        </w:rPr>
        <w:t>502</w:t>
      </w:r>
      <w:r w:rsidRPr="0075794F">
        <w:rPr>
          <w:rFonts w:eastAsiaTheme="minorEastAsia"/>
          <w:noProof w:val="0"/>
          <w:sz w:val="24"/>
          <w:szCs w:val="24"/>
        </w:rPr>
        <w:t xml:space="preserve"> </w:t>
      </w:r>
      <w:r>
        <w:rPr>
          <w:rFonts w:eastAsiaTheme="minorEastAsia"/>
          <w:noProof w:val="0"/>
          <w:sz w:val="24"/>
          <w:szCs w:val="24"/>
        </w:rPr>
        <w:t>PCa</w:t>
      </w:r>
      <w:r w:rsidRPr="0075794F">
        <w:rPr>
          <w:rFonts w:eastAsiaTheme="minorEastAsia"/>
          <w:noProof w:val="0"/>
          <w:sz w:val="24"/>
          <w:szCs w:val="24"/>
        </w:rPr>
        <w:t xml:space="preserve"> tissues and the filter criteria was |log Foldchange (FC) | &gt; 1 and false discovery rate (FDR) &lt; 0.05.</w:t>
      </w:r>
    </w:p>
    <w:p w14:paraId="68A86526" w14:textId="77777777" w:rsidR="00960A4D" w:rsidRPr="008F59CF" w:rsidRDefault="00960A4D" w:rsidP="00960A4D">
      <w:pPr>
        <w:pStyle w:val="EndNoteBibliography"/>
        <w:rPr>
          <w:rFonts w:eastAsiaTheme="minorEastAsia"/>
          <w:noProof w:val="0"/>
          <w:sz w:val="28"/>
          <w:szCs w:val="28"/>
        </w:rPr>
      </w:pPr>
      <w:r w:rsidRPr="008F59CF">
        <w:rPr>
          <w:rFonts w:eastAsiaTheme="minorEastAsia"/>
          <w:noProof w:val="0"/>
          <w:sz w:val="28"/>
          <w:szCs w:val="28"/>
        </w:rPr>
        <w:t>Cluster Analysis</w:t>
      </w:r>
    </w:p>
    <w:p w14:paraId="1F3D63C2" w14:textId="77777777" w:rsidR="00960A4D" w:rsidRDefault="00960A4D" w:rsidP="00960A4D">
      <w:pPr>
        <w:pStyle w:val="EndNoteBibliography"/>
        <w:ind w:firstLineChars="200" w:firstLine="480"/>
        <w:rPr>
          <w:rFonts w:eastAsiaTheme="minorEastAsia"/>
          <w:noProof w:val="0"/>
          <w:sz w:val="24"/>
          <w:szCs w:val="24"/>
        </w:rPr>
      </w:pPr>
      <w:r w:rsidRPr="00704BAA">
        <w:rPr>
          <w:rFonts w:eastAsiaTheme="minorEastAsia"/>
          <w:noProof w:val="0"/>
          <w:sz w:val="24"/>
          <w:szCs w:val="24"/>
        </w:rPr>
        <w:t xml:space="preserve">To assess the link between </w:t>
      </w:r>
      <w:r>
        <w:rPr>
          <w:rFonts w:eastAsiaTheme="minorEastAsia" w:hint="eastAsia"/>
          <w:noProof w:val="0"/>
          <w:sz w:val="24"/>
          <w:szCs w:val="24"/>
        </w:rPr>
        <w:t>gene</w:t>
      </w:r>
      <w:r w:rsidRPr="00704BAA">
        <w:rPr>
          <w:rFonts w:eastAsiaTheme="minorEastAsia"/>
          <w:noProof w:val="0"/>
          <w:sz w:val="24"/>
          <w:szCs w:val="24"/>
        </w:rPr>
        <w:t xml:space="preserve">s expression and </w:t>
      </w:r>
      <w:r>
        <w:rPr>
          <w:rFonts w:eastAsiaTheme="minorEastAsia"/>
          <w:noProof w:val="0"/>
          <w:sz w:val="24"/>
          <w:szCs w:val="24"/>
        </w:rPr>
        <w:t>PCa</w:t>
      </w:r>
      <w:r w:rsidRPr="00704BAA">
        <w:rPr>
          <w:rFonts w:eastAsiaTheme="minorEastAsia"/>
          <w:noProof w:val="0"/>
          <w:sz w:val="24"/>
          <w:szCs w:val="24"/>
        </w:rPr>
        <w:t xml:space="preserve"> prognosis, </w:t>
      </w:r>
      <w:r>
        <w:rPr>
          <w:rFonts w:eastAsiaTheme="minorEastAsia"/>
          <w:noProof w:val="0"/>
          <w:sz w:val="24"/>
          <w:szCs w:val="24"/>
        </w:rPr>
        <w:t>PCa</w:t>
      </w:r>
      <w:r w:rsidRPr="00704BAA">
        <w:rPr>
          <w:rFonts w:eastAsiaTheme="minorEastAsia"/>
          <w:noProof w:val="0"/>
          <w:sz w:val="24"/>
          <w:szCs w:val="24"/>
        </w:rPr>
        <w:t xml:space="preserve"> cohort was clustered into two different subgroups using the “</w:t>
      </w:r>
      <w:proofErr w:type="spellStart"/>
      <w:r w:rsidRPr="00704BAA">
        <w:rPr>
          <w:rFonts w:eastAsiaTheme="minorEastAsia"/>
          <w:noProof w:val="0"/>
          <w:sz w:val="24"/>
          <w:szCs w:val="24"/>
        </w:rPr>
        <w:t>ConsensusClusterPlus</w:t>
      </w:r>
      <w:proofErr w:type="spellEnd"/>
      <w:r w:rsidRPr="00704BAA">
        <w:rPr>
          <w:rFonts w:eastAsiaTheme="minorEastAsia"/>
          <w:noProof w:val="0"/>
          <w:sz w:val="24"/>
          <w:szCs w:val="24"/>
        </w:rPr>
        <w:t xml:space="preserve">” R package. </w:t>
      </w:r>
      <w:r>
        <w:rPr>
          <w:rFonts w:eastAsiaTheme="minorEastAsia" w:hint="eastAsia"/>
          <w:noProof w:val="0"/>
          <w:sz w:val="24"/>
          <w:szCs w:val="24"/>
        </w:rPr>
        <w:t>T</w:t>
      </w:r>
      <w:r w:rsidRPr="00704BAA">
        <w:rPr>
          <w:rFonts w:eastAsiaTheme="minorEastAsia"/>
          <w:noProof w:val="0"/>
          <w:sz w:val="24"/>
          <w:szCs w:val="24"/>
        </w:rPr>
        <w:t>-Distributed Stochastic Neighbor Embedding (</w:t>
      </w:r>
      <w:r>
        <w:rPr>
          <w:rFonts w:eastAsiaTheme="minorEastAsia" w:hint="eastAsia"/>
          <w:noProof w:val="0"/>
          <w:sz w:val="24"/>
          <w:szCs w:val="24"/>
        </w:rPr>
        <w:t>t</w:t>
      </w:r>
      <w:r>
        <w:rPr>
          <w:rFonts w:eastAsiaTheme="minorEastAsia"/>
          <w:noProof w:val="0"/>
          <w:sz w:val="24"/>
          <w:szCs w:val="24"/>
        </w:rPr>
        <w:t>-</w:t>
      </w:r>
      <w:r>
        <w:rPr>
          <w:rFonts w:eastAsiaTheme="minorEastAsia" w:hint="eastAsia"/>
          <w:noProof w:val="0"/>
          <w:sz w:val="24"/>
          <w:szCs w:val="24"/>
        </w:rPr>
        <w:t>SNE</w:t>
      </w:r>
      <w:r w:rsidRPr="00704BAA">
        <w:rPr>
          <w:rFonts w:eastAsiaTheme="minorEastAsia"/>
          <w:noProof w:val="0"/>
          <w:sz w:val="24"/>
          <w:szCs w:val="24"/>
        </w:rPr>
        <w:t>) was then carried out using the “ggplot2” and “</w:t>
      </w:r>
      <w:proofErr w:type="spellStart"/>
      <w:r w:rsidRPr="00704BAA">
        <w:rPr>
          <w:rFonts w:eastAsiaTheme="minorEastAsia"/>
          <w:noProof w:val="0"/>
          <w:sz w:val="24"/>
          <w:szCs w:val="24"/>
        </w:rPr>
        <w:t>limma</w:t>
      </w:r>
      <w:proofErr w:type="spellEnd"/>
      <w:r w:rsidRPr="00704BAA">
        <w:rPr>
          <w:rFonts w:eastAsiaTheme="minorEastAsia"/>
          <w:noProof w:val="0"/>
          <w:sz w:val="24"/>
          <w:szCs w:val="24"/>
        </w:rPr>
        <w:t>” package to verify the results of the classification. A survival curve was plotted to compare survival between subgroups based on the Kaplan– Meier analysis log-rank test. The difference in clinical parameters between the two clusters was determined using the Chi-square test. In order to conduct functional annotation of the genes with different expression in two subgroups, we performed Gene ontology (GO) and Kyoto Encyclopedia of Genes and Genomes (KEGG) analyses.</w:t>
      </w:r>
    </w:p>
    <w:p w14:paraId="1128D41C" w14:textId="77777777" w:rsidR="00960A4D" w:rsidRPr="00E7059D" w:rsidRDefault="00960A4D" w:rsidP="00960A4D">
      <w:pPr>
        <w:pStyle w:val="EndNoteBibliography"/>
        <w:rPr>
          <w:rFonts w:eastAsiaTheme="minorEastAsia"/>
          <w:noProof w:val="0"/>
          <w:sz w:val="28"/>
          <w:szCs w:val="28"/>
        </w:rPr>
      </w:pPr>
      <w:r w:rsidRPr="00E7059D">
        <w:rPr>
          <w:rFonts w:eastAsiaTheme="minorEastAsia"/>
          <w:noProof w:val="0"/>
          <w:sz w:val="28"/>
          <w:szCs w:val="28"/>
        </w:rPr>
        <w:t>Immune Landscape Analysis</w:t>
      </w:r>
    </w:p>
    <w:p w14:paraId="665DE659" w14:textId="77777777" w:rsidR="00960A4D" w:rsidRPr="003D025F" w:rsidRDefault="00960A4D" w:rsidP="00960A4D">
      <w:pPr>
        <w:pStyle w:val="EndNoteBibliography"/>
        <w:ind w:firstLineChars="200" w:firstLine="480"/>
        <w:rPr>
          <w:sz w:val="24"/>
          <w:szCs w:val="24"/>
          <w:shd w:val="clear" w:color="auto" w:fill="FFFFFF"/>
        </w:rPr>
      </w:pPr>
      <w:r w:rsidRPr="00530C6E">
        <w:rPr>
          <w:rFonts w:eastAsiaTheme="minorEastAsia"/>
          <w:noProof w:val="0"/>
          <w:sz w:val="24"/>
          <w:szCs w:val="24"/>
        </w:rPr>
        <w:lastRenderedPageBreak/>
        <w:t>Four immune-related algorithms were used to analyze the immune landscape between the high- and low-risk groups.</w:t>
      </w:r>
      <w:r w:rsidRPr="00530C6E">
        <w:rPr>
          <w:sz w:val="24"/>
          <w:szCs w:val="24"/>
          <w:shd w:val="clear" w:color="auto" w:fill="FFFFFF"/>
        </w:rPr>
        <w:t xml:space="preserve"> The activity of immune cell or immune function, immune pathway of each sample was calcu</w:t>
      </w:r>
      <w:r w:rsidRPr="003D025F">
        <w:rPr>
          <w:sz w:val="24"/>
          <w:szCs w:val="24"/>
        </w:rPr>
        <w:t>lated by single sample GSEA (ssGSEA). ESTIMATE algorithm was used to calculate the immune score, stromal score, estimate score and tumour purity according to the proportion of immune cells and stromal cells. Prediction of the composition of infiltrating immune cells in each tumour sample was derived from the TIMER database and CIBERSORT algorithm. We also comp</w:t>
      </w:r>
      <w:r w:rsidRPr="003D025F">
        <w:rPr>
          <w:sz w:val="24"/>
          <w:szCs w:val="24"/>
          <w:shd w:val="clear" w:color="auto" w:fill="FFFFFF"/>
        </w:rPr>
        <w:t>ared the expression of MHC molecules based on the cluster analysis and the signature.</w:t>
      </w:r>
    </w:p>
    <w:p w14:paraId="3B5ADCAB" w14:textId="77777777" w:rsidR="00960A4D" w:rsidRPr="00E7059D" w:rsidRDefault="00960A4D" w:rsidP="00960A4D">
      <w:pPr>
        <w:pStyle w:val="EndNoteBibliography"/>
        <w:rPr>
          <w:rFonts w:eastAsiaTheme="minorEastAsia"/>
          <w:noProof w:val="0"/>
          <w:sz w:val="28"/>
          <w:szCs w:val="28"/>
        </w:rPr>
      </w:pPr>
      <w:r w:rsidRPr="00E7059D">
        <w:rPr>
          <w:rFonts w:eastAsiaTheme="minorEastAsia"/>
          <w:noProof w:val="0"/>
          <w:sz w:val="28"/>
          <w:szCs w:val="28"/>
        </w:rPr>
        <w:t>Gene Mutation Analysis</w:t>
      </w:r>
    </w:p>
    <w:p w14:paraId="27D05B06" w14:textId="77777777" w:rsidR="00960A4D" w:rsidRDefault="00960A4D" w:rsidP="00960A4D">
      <w:pPr>
        <w:pStyle w:val="EndNoteBibliography"/>
        <w:ind w:firstLineChars="200" w:firstLine="480"/>
        <w:rPr>
          <w:rFonts w:eastAsiaTheme="minorEastAsia"/>
          <w:noProof w:val="0"/>
          <w:sz w:val="24"/>
          <w:szCs w:val="24"/>
        </w:rPr>
      </w:pPr>
      <w:r w:rsidRPr="00B87232">
        <w:rPr>
          <w:rFonts w:eastAsiaTheme="minorEastAsia"/>
          <w:noProof w:val="0"/>
          <w:sz w:val="24"/>
          <w:szCs w:val="24"/>
        </w:rPr>
        <w:t xml:space="preserve">Based on the somatic mutation data from </w:t>
      </w:r>
      <w:r>
        <w:rPr>
          <w:rFonts w:eastAsiaTheme="minorEastAsia"/>
          <w:noProof w:val="0"/>
          <w:sz w:val="24"/>
          <w:szCs w:val="24"/>
        </w:rPr>
        <w:t>a public database</w:t>
      </w:r>
      <w:r w:rsidRPr="00B87232">
        <w:rPr>
          <w:rFonts w:eastAsiaTheme="minorEastAsia"/>
          <w:noProof w:val="0"/>
          <w:sz w:val="24"/>
          <w:szCs w:val="24"/>
        </w:rPr>
        <w:t>, we conducted gene mutation through “</w:t>
      </w:r>
      <w:proofErr w:type="spellStart"/>
      <w:r w:rsidRPr="00B87232">
        <w:rPr>
          <w:rFonts w:eastAsiaTheme="minorEastAsia"/>
          <w:noProof w:val="0"/>
          <w:sz w:val="24"/>
          <w:szCs w:val="24"/>
        </w:rPr>
        <w:t>maftools</w:t>
      </w:r>
      <w:proofErr w:type="spellEnd"/>
      <w:r w:rsidRPr="00B87232">
        <w:rPr>
          <w:rFonts w:eastAsiaTheme="minorEastAsia"/>
          <w:noProof w:val="0"/>
          <w:sz w:val="24"/>
          <w:szCs w:val="24"/>
        </w:rPr>
        <w:t>” package. We then calculated tumor mutation burden (TMB)</w:t>
      </w:r>
      <w:r>
        <w:rPr>
          <w:rFonts w:eastAsiaTheme="minorEastAsia"/>
          <w:noProof w:val="0"/>
          <w:sz w:val="24"/>
          <w:szCs w:val="24"/>
        </w:rPr>
        <w:t xml:space="preserve"> </w:t>
      </w:r>
      <w:r w:rsidRPr="00B87232">
        <w:rPr>
          <w:rFonts w:eastAsiaTheme="minorEastAsia"/>
          <w:noProof w:val="0"/>
          <w:sz w:val="24"/>
          <w:szCs w:val="24"/>
        </w:rPr>
        <w:t xml:space="preserve">of each patient and compared TMB between the high- and low-risk groups. Survival analysis was also performed according to TMB score. </w:t>
      </w:r>
      <w:r w:rsidRPr="00860872">
        <w:rPr>
          <w:rFonts w:eastAsiaTheme="minorEastAsia"/>
          <w:noProof w:val="0"/>
          <w:sz w:val="24"/>
          <w:szCs w:val="24"/>
        </w:rPr>
        <w:t xml:space="preserve">At the same time, somatic mutations of the selected genes in the signature were displayed through the </w:t>
      </w:r>
      <w:proofErr w:type="spellStart"/>
      <w:r w:rsidRPr="00860872">
        <w:rPr>
          <w:rFonts w:eastAsiaTheme="minorEastAsia"/>
          <w:noProof w:val="0"/>
          <w:sz w:val="24"/>
          <w:szCs w:val="24"/>
        </w:rPr>
        <w:t>cBioPortal</w:t>
      </w:r>
      <w:proofErr w:type="spellEnd"/>
      <w:r w:rsidRPr="00860872">
        <w:rPr>
          <w:rFonts w:eastAsiaTheme="minorEastAsia"/>
          <w:noProof w:val="0"/>
          <w:sz w:val="24"/>
          <w:szCs w:val="24"/>
        </w:rPr>
        <w:t xml:space="preserve"> database.</w:t>
      </w:r>
      <w:r w:rsidRPr="00B87232">
        <w:rPr>
          <w:rFonts w:eastAsiaTheme="minorEastAsia"/>
          <w:noProof w:val="0"/>
          <w:sz w:val="24"/>
          <w:szCs w:val="24"/>
        </w:rPr>
        <w:t xml:space="preserve"> </w:t>
      </w:r>
    </w:p>
    <w:p w14:paraId="7F40B2EB" w14:textId="77777777" w:rsidR="00960A4D" w:rsidRPr="00475761" w:rsidRDefault="00960A4D" w:rsidP="00960A4D">
      <w:pPr>
        <w:pStyle w:val="EndNoteBibliography"/>
        <w:rPr>
          <w:rFonts w:eastAsiaTheme="minorEastAsia"/>
          <w:noProof w:val="0"/>
          <w:sz w:val="24"/>
          <w:szCs w:val="24"/>
        </w:rPr>
      </w:pPr>
      <w:r w:rsidRPr="00E7059D">
        <w:rPr>
          <w:rFonts w:eastAsiaTheme="minorEastAsia"/>
          <w:noProof w:val="0"/>
          <w:sz w:val="28"/>
          <w:szCs w:val="28"/>
        </w:rPr>
        <w:t>Chemotherapy Response and Small Molecule Drugs</w:t>
      </w:r>
    </w:p>
    <w:p w14:paraId="701CD4FC" w14:textId="77777777" w:rsidR="00960A4D" w:rsidRDefault="00960A4D" w:rsidP="00960A4D">
      <w:pPr>
        <w:pStyle w:val="EndNoteBibliography"/>
        <w:ind w:firstLineChars="200" w:firstLine="480"/>
        <w:rPr>
          <w:rFonts w:eastAsiaTheme="minorEastAsia"/>
          <w:noProof w:val="0"/>
          <w:sz w:val="24"/>
          <w:szCs w:val="24"/>
        </w:rPr>
      </w:pPr>
      <w:r w:rsidRPr="00B87232">
        <w:rPr>
          <w:rFonts w:eastAsiaTheme="minorEastAsia"/>
          <w:noProof w:val="0"/>
          <w:sz w:val="24"/>
          <w:szCs w:val="24"/>
        </w:rPr>
        <w:t xml:space="preserve">We predicted chemotherapy response of the chemotherapy drugs for </w:t>
      </w:r>
      <w:r>
        <w:rPr>
          <w:rFonts w:eastAsiaTheme="minorEastAsia"/>
          <w:noProof w:val="0"/>
          <w:sz w:val="24"/>
          <w:szCs w:val="24"/>
        </w:rPr>
        <w:t>PCa</w:t>
      </w:r>
      <w:r w:rsidRPr="00B87232">
        <w:rPr>
          <w:rFonts w:eastAsiaTheme="minorEastAsia"/>
          <w:noProof w:val="0"/>
          <w:sz w:val="24"/>
          <w:szCs w:val="24"/>
        </w:rPr>
        <w:t xml:space="preserve"> patients through the </w:t>
      </w:r>
      <w:bookmarkStart w:id="0" w:name="_Hlk153738611"/>
      <w:r w:rsidRPr="00B87232">
        <w:rPr>
          <w:rFonts w:eastAsiaTheme="minorEastAsia"/>
          <w:noProof w:val="0"/>
          <w:sz w:val="24"/>
          <w:szCs w:val="24"/>
        </w:rPr>
        <w:t>Genomics of Drug Sensitivity in Cancer (GDSC)</w:t>
      </w:r>
      <w:bookmarkEnd w:id="0"/>
      <w:r w:rsidRPr="00B87232">
        <w:rPr>
          <w:rFonts w:eastAsiaTheme="minorEastAsia"/>
          <w:noProof w:val="0"/>
          <w:sz w:val="24"/>
          <w:szCs w:val="24"/>
        </w:rPr>
        <w:t xml:space="preserve"> database. The half maximal inhibitory concentration (IC50) was calculated by package “</w:t>
      </w:r>
      <w:proofErr w:type="spellStart"/>
      <w:r w:rsidRPr="00B87232">
        <w:rPr>
          <w:rFonts w:eastAsiaTheme="minorEastAsia"/>
          <w:noProof w:val="0"/>
          <w:sz w:val="24"/>
          <w:szCs w:val="24"/>
        </w:rPr>
        <w:t>pRRophetic</w:t>
      </w:r>
      <w:proofErr w:type="spellEnd"/>
      <w:r w:rsidRPr="00B87232">
        <w:rPr>
          <w:rFonts w:eastAsiaTheme="minorEastAsia"/>
          <w:noProof w:val="0"/>
          <w:sz w:val="24"/>
          <w:szCs w:val="24"/>
        </w:rPr>
        <w:t>” and used to evaluate the response of patients to chemotherapy drugs. The connectivity map (</w:t>
      </w:r>
      <w:proofErr w:type="spellStart"/>
      <w:r w:rsidRPr="00B87232">
        <w:rPr>
          <w:rFonts w:eastAsiaTheme="minorEastAsia"/>
          <w:noProof w:val="0"/>
          <w:sz w:val="24"/>
          <w:szCs w:val="24"/>
        </w:rPr>
        <w:t>cMap</w:t>
      </w:r>
      <w:proofErr w:type="spellEnd"/>
      <w:r w:rsidRPr="00B87232">
        <w:rPr>
          <w:rFonts w:eastAsiaTheme="minorEastAsia"/>
          <w:noProof w:val="0"/>
          <w:sz w:val="24"/>
          <w:szCs w:val="24"/>
        </w:rPr>
        <w:t>) database is a bio-application database combining small-molecule drugs, gene expression and disease. Based on the up-regulated and downregulated genes compared between the low- and high-risk groups, we obtained predicting drugs that might induce or reverse tumor biological process.</w:t>
      </w:r>
      <w:r>
        <w:rPr>
          <w:rFonts w:eastAsiaTheme="minorEastAsia"/>
          <w:noProof w:val="0"/>
          <w:sz w:val="24"/>
          <w:szCs w:val="24"/>
        </w:rPr>
        <w:t xml:space="preserve"> </w:t>
      </w:r>
      <w:r w:rsidRPr="00B87232">
        <w:rPr>
          <w:rFonts w:eastAsiaTheme="minorEastAsia"/>
          <w:noProof w:val="0"/>
          <w:sz w:val="24"/>
          <w:szCs w:val="24"/>
        </w:rPr>
        <w:t>P-value &lt; 0.05 and the enrichment score ranged from -1 to 0 indicated that the</w:t>
      </w:r>
      <w:r>
        <w:rPr>
          <w:rFonts w:eastAsiaTheme="minorEastAsia"/>
          <w:noProof w:val="0"/>
          <w:sz w:val="24"/>
          <w:szCs w:val="24"/>
        </w:rPr>
        <w:t xml:space="preserve"> </w:t>
      </w:r>
      <w:r w:rsidRPr="00B87232">
        <w:rPr>
          <w:rFonts w:eastAsiaTheme="minorEastAsia"/>
          <w:noProof w:val="0"/>
          <w:sz w:val="24"/>
          <w:szCs w:val="24"/>
        </w:rPr>
        <w:t xml:space="preserve">potential drug may be the potential new target candidates for </w:t>
      </w:r>
      <w:r>
        <w:rPr>
          <w:rFonts w:eastAsiaTheme="minorEastAsia"/>
          <w:noProof w:val="0"/>
          <w:sz w:val="24"/>
          <w:szCs w:val="24"/>
        </w:rPr>
        <w:t>PCa</w:t>
      </w:r>
      <w:r w:rsidRPr="00B87232">
        <w:rPr>
          <w:rFonts w:eastAsiaTheme="minorEastAsia"/>
          <w:noProof w:val="0"/>
          <w:sz w:val="24"/>
          <w:szCs w:val="24"/>
        </w:rPr>
        <w:t xml:space="preserve"> patients.</w:t>
      </w:r>
      <w:r w:rsidRPr="00140C13">
        <w:t xml:space="preserve"> </w:t>
      </w:r>
      <w:r w:rsidRPr="00140C13">
        <w:rPr>
          <w:sz w:val="24"/>
          <w:szCs w:val="24"/>
        </w:rPr>
        <w:t>Secondly</w:t>
      </w:r>
      <w:r>
        <w:rPr>
          <w:rFonts w:eastAsiaTheme="minorEastAsia" w:hint="eastAsia"/>
          <w:noProof w:val="0"/>
          <w:sz w:val="24"/>
          <w:szCs w:val="24"/>
        </w:rPr>
        <w:t>,</w:t>
      </w:r>
      <w:r>
        <w:rPr>
          <w:rFonts w:eastAsiaTheme="minorEastAsia"/>
          <w:noProof w:val="0"/>
          <w:sz w:val="24"/>
          <w:szCs w:val="24"/>
        </w:rPr>
        <w:t xml:space="preserve"> </w:t>
      </w:r>
      <w:r w:rsidRPr="00E7059D">
        <w:rPr>
          <w:rStyle w:val="a8"/>
          <w:color w:val="333333"/>
          <w:sz w:val="24"/>
          <w:szCs w:val="24"/>
          <w:shd w:val="clear" w:color="auto" w:fill="FFFFFF"/>
        </w:rPr>
        <w:t>Cancer</w:t>
      </w:r>
      <w:r>
        <w:rPr>
          <w:rFonts w:eastAsiaTheme="minorEastAsia"/>
          <w:b/>
          <w:noProof w:val="0"/>
          <w:sz w:val="24"/>
          <w:szCs w:val="24"/>
        </w:rPr>
        <w:t xml:space="preserve"> </w:t>
      </w:r>
      <w:r w:rsidRPr="00140C13">
        <w:rPr>
          <w:rFonts w:eastAsiaTheme="minorEastAsia"/>
          <w:noProof w:val="0"/>
          <w:sz w:val="24"/>
          <w:szCs w:val="24"/>
        </w:rPr>
        <w:t xml:space="preserve">Cell Line Encyclopedia (CCLE) </w:t>
      </w:r>
      <w:r w:rsidRPr="00E7059D">
        <w:rPr>
          <w:color w:val="333333"/>
          <w:sz w:val="24"/>
          <w:szCs w:val="24"/>
          <w:shd w:val="clear" w:color="auto" w:fill="FFFFFF"/>
        </w:rPr>
        <w:t>project</w:t>
      </w:r>
      <w:r w:rsidRPr="00E7059D">
        <w:rPr>
          <w:color w:val="333333"/>
          <w:sz w:val="21"/>
          <w:szCs w:val="21"/>
          <w:shd w:val="clear" w:color="auto" w:fill="FFFFFF"/>
        </w:rPr>
        <w:t xml:space="preserve"> </w:t>
      </w:r>
      <w:r w:rsidRPr="00140C13">
        <w:rPr>
          <w:rFonts w:eastAsiaTheme="minorEastAsia"/>
          <w:noProof w:val="0"/>
          <w:sz w:val="24"/>
          <w:szCs w:val="24"/>
        </w:rPr>
        <w:t>and drug susceptibility results (PRISM and CTRP</w:t>
      </w:r>
      <w:r>
        <w:rPr>
          <w:rFonts w:eastAsiaTheme="minorEastAsia"/>
          <w:noProof w:val="0"/>
          <w:sz w:val="24"/>
          <w:szCs w:val="24"/>
        </w:rPr>
        <w:t xml:space="preserve"> </w:t>
      </w:r>
      <w:r w:rsidRPr="00473A70">
        <w:rPr>
          <w:rFonts w:eastAsiaTheme="minorEastAsia"/>
          <w:noProof w:val="0"/>
          <w:sz w:val="24"/>
          <w:szCs w:val="24"/>
        </w:rPr>
        <w:t>datasets</w:t>
      </w:r>
      <w:r w:rsidRPr="00140C13">
        <w:rPr>
          <w:rFonts w:eastAsiaTheme="minorEastAsia"/>
          <w:noProof w:val="0"/>
          <w:sz w:val="24"/>
          <w:szCs w:val="24"/>
        </w:rPr>
        <w:t>) were used to predict drug susceptibility results of cancer samples</w:t>
      </w:r>
      <w:r>
        <w:rPr>
          <w:rFonts w:eastAsiaTheme="minorEastAsia"/>
          <w:noProof w:val="0"/>
          <w:sz w:val="24"/>
          <w:szCs w:val="24"/>
        </w:rPr>
        <w:fldChar w:fldCharType="begin">
          <w:fldData xml:space="preserve">PEVuZE5vdGU+PENpdGU+PEF1dGhvcj5ZYW5nPC9BdXRob3I+PFllYXI+MjAyMTwvWWVhcj48UmVj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==
</w:fldData>
        </w:fldChar>
      </w:r>
      <w:r>
        <w:rPr>
          <w:rFonts w:eastAsiaTheme="minorEastAsia"/>
          <w:noProof w:val="0"/>
          <w:sz w:val="24"/>
          <w:szCs w:val="24"/>
        </w:rPr>
        <w:instrText xml:space="preserve"> ADDIN EN.CITE </w:instrText>
      </w:r>
      <w:r>
        <w:rPr>
          <w:rFonts w:eastAsiaTheme="minorEastAsia"/>
          <w:noProof w:val="0"/>
          <w:sz w:val="24"/>
          <w:szCs w:val="24"/>
        </w:rPr>
        <w:fldChar w:fldCharType="begin">
          <w:fldData xml:space="preserve">PEVuZE5vdGU+PENpdGU+PEF1dGhvcj5ZYW5nPC9BdXRob3I+PFllYXI+MjAyMTwvWWVhcj48UmVj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==
</w:fldData>
        </w:fldChar>
      </w:r>
      <w:r>
        <w:rPr>
          <w:rFonts w:eastAsiaTheme="minorEastAsia"/>
          <w:noProof w:val="0"/>
          <w:sz w:val="24"/>
          <w:szCs w:val="24"/>
        </w:rPr>
        <w:instrText xml:space="preserve"> ADDIN EN.CITE.DATA </w:instrText>
      </w:r>
      <w:r>
        <w:rPr>
          <w:rFonts w:eastAsiaTheme="minorEastAsia"/>
          <w:noProof w:val="0"/>
          <w:sz w:val="24"/>
          <w:szCs w:val="24"/>
        </w:rPr>
      </w:r>
      <w:r>
        <w:rPr>
          <w:rFonts w:eastAsiaTheme="minorEastAsia"/>
          <w:noProof w:val="0"/>
          <w:sz w:val="24"/>
          <w:szCs w:val="24"/>
        </w:rPr>
        <w:fldChar w:fldCharType="end"/>
      </w:r>
      <w:r>
        <w:rPr>
          <w:rFonts w:eastAsiaTheme="minorEastAsia"/>
          <w:noProof w:val="0"/>
          <w:sz w:val="24"/>
          <w:szCs w:val="24"/>
        </w:rPr>
      </w:r>
      <w:r>
        <w:rPr>
          <w:rFonts w:eastAsiaTheme="minorEastAsia"/>
          <w:noProof w:val="0"/>
          <w:sz w:val="24"/>
          <w:szCs w:val="24"/>
        </w:rPr>
        <w:fldChar w:fldCharType="separate"/>
      </w:r>
      <w:r w:rsidRPr="00A147E0">
        <w:rPr>
          <w:rFonts w:eastAsiaTheme="minorEastAsia"/>
          <w:sz w:val="24"/>
          <w:szCs w:val="24"/>
          <w:vertAlign w:val="superscript"/>
        </w:rPr>
        <w:t>20</w:t>
      </w:r>
      <w:r>
        <w:rPr>
          <w:rFonts w:eastAsiaTheme="minorEastAsia"/>
          <w:noProof w:val="0"/>
          <w:sz w:val="24"/>
          <w:szCs w:val="24"/>
        </w:rPr>
        <w:fldChar w:fldCharType="end"/>
      </w:r>
      <w:r>
        <w:rPr>
          <w:rFonts w:eastAsiaTheme="minorEastAsia" w:hint="eastAsia"/>
          <w:noProof w:val="0"/>
          <w:sz w:val="24"/>
          <w:szCs w:val="24"/>
        </w:rPr>
        <w:t>.</w:t>
      </w:r>
    </w:p>
    <w:p w14:paraId="1D23ABE1" w14:textId="77777777" w:rsidR="00960A4D" w:rsidRPr="00E7059D" w:rsidRDefault="00960A4D" w:rsidP="00960A4D">
      <w:pPr>
        <w:pStyle w:val="EndNoteBibliography"/>
        <w:rPr>
          <w:rFonts w:eastAsiaTheme="minorEastAsia"/>
          <w:noProof w:val="0"/>
          <w:sz w:val="28"/>
          <w:szCs w:val="28"/>
        </w:rPr>
      </w:pPr>
      <w:r w:rsidRPr="00E7059D">
        <w:rPr>
          <w:rFonts w:eastAsiaTheme="minorEastAsia"/>
          <w:noProof w:val="0"/>
          <w:sz w:val="28"/>
          <w:szCs w:val="28"/>
        </w:rPr>
        <w:t>Statistical Analysis</w:t>
      </w:r>
    </w:p>
    <w:p w14:paraId="7C85929A" w14:textId="77777777" w:rsidR="00960A4D" w:rsidRDefault="00960A4D" w:rsidP="00960A4D">
      <w:pPr>
        <w:pStyle w:val="EndNoteBibliography"/>
        <w:ind w:firstLineChars="200" w:firstLine="480"/>
        <w:rPr>
          <w:rFonts w:eastAsiaTheme="minorEastAsia"/>
          <w:noProof w:val="0"/>
          <w:sz w:val="24"/>
          <w:szCs w:val="24"/>
        </w:rPr>
      </w:pPr>
      <w:r w:rsidRPr="00BB5F09">
        <w:rPr>
          <w:rFonts w:eastAsiaTheme="minorEastAsia"/>
          <w:noProof w:val="0"/>
          <w:sz w:val="24"/>
          <w:szCs w:val="24"/>
        </w:rPr>
        <w:t xml:space="preserve">R software (version </w:t>
      </w:r>
      <w:r>
        <w:rPr>
          <w:rFonts w:eastAsiaTheme="minorEastAsia"/>
          <w:noProof w:val="0"/>
          <w:sz w:val="24"/>
          <w:szCs w:val="24"/>
        </w:rPr>
        <w:t>4.1.2</w:t>
      </w:r>
      <w:r w:rsidRPr="00BB5F09">
        <w:rPr>
          <w:rFonts w:eastAsiaTheme="minorEastAsia"/>
          <w:noProof w:val="0"/>
          <w:sz w:val="24"/>
          <w:szCs w:val="24"/>
        </w:rPr>
        <w:t>) was utilized for all statistical analyses, and p &lt; 0.05 was the significance threshold.</w:t>
      </w:r>
    </w:p>
    <w:p w14:paraId="2B56232B" w14:textId="77777777" w:rsidR="00960A4D" w:rsidRPr="002E3D6D" w:rsidRDefault="00960A4D" w:rsidP="00960A4D">
      <w:pPr>
        <w:pStyle w:val="EndNoteBibliography"/>
        <w:rPr>
          <w:rFonts w:eastAsiaTheme="minorEastAsia"/>
          <w:noProof w:val="0"/>
          <w:sz w:val="24"/>
          <w:szCs w:val="24"/>
        </w:rPr>
      </w:pPr>
    </w:p>
    <w:p w14:paraId="61A3319F" w14:textId="6449489F" w:rsidR="000E6233" w:rsidRPr="00B4009D" w:rsidRDefault="00960A4D" w:rsidP="000E6233">
      <w:pPr>
        <w:spacing w:before="100" w:beforeAutospacing="1" w:after="100" w:afterAutospacing="1" w:line="480" w:lineRule="auto"/>
        <w:rPr>
          <w:rFonts w:ascii="Times New Roman" w:hAnsi="Times New Roman" w:cs="Times New Roman"/>
          <w:b/>
          <w:sz w:val="28"/>
          <w:szCs w:val="24"/>
        </w:rPr>
      </w:pPr>
      <w:r w:rsidRPr="009E4ADD">
        <w:rPr>
          <w:rFonts w:ascii="Times New Roman" w:hAnsi="Times New Roman" w:cs="Times New Roman"/>
          <w:b/>
          <w:sz w:val="28"/>
          <w:szCs w:val="24"/>
        </w:rPr>
        <w:t>SUPPLEMENTARY</w:t>
      </w:r>
      <w:r w:rsidR="000E6233" w:rsidRPr="009E4ADD">
        <w:rPr>
          <w:rFonts w:ascii="Times New Roman" w:hAnsi="Times New Roman" w:cs="Times New Roman"/>
          <w:b/>
          <w:sz w:val="28"/>
          <w:szCs w:val="24"/>
        </w:rPr>
        <w:t xml:space="preserve"> </w:t>
      </w:r>
      <w:r w:rsidR="000E6233">
        <w:rPr>
          <w:rFonts w:ascii="Times New Roman" w:hAnsi="Times New Roman" w:cs="Times New Roman"/>
          <w:b/>
          <w:sz w:val="28"/>
          <w:szCs w:val="24"/>
        </w:rPr>
        <w:t>FIGURES</w:t>
      </w:r>
    </w:p>
    <w:p w14:paraId="3F066F68" w14:textId="2FF7CB78" w:rsidR="000E6233" w:rsidRDefault="000E6233" w:rsidP="000E6233">
      <w:pPr>
        <w:pStyle w:val="EndNoteBibliography"/>
        <w:rPr>
          <w:sz w:val="24"/>
          <w:szCs w:val="24"/>
          <w:shd w:val="clear" w:color="auto" w:fill="FFFFFF"/>
        </w:rPr>
      </w:pPr>
      <w:bookmarkStart w:id="1" w:name="_Hlk154264015"/>
      <w:r w:rsidRPr="001547C7">
        <w:rPr>
          <w:b/>
          <w:sz w:val="24"/>
          <w:szCs w:val="24"/>
        </w:rPr>
        <w:t>Supplementary Figure 1</w:t>
      </w:r>
      <w:bookmarkEnd w:id="1"/>
      <w:r>
        <w:rPr>
          <w:sz w:val="24"/>
          <w:szCs w:val="24"/>
          <w:shd w:val="clear" w:color="auto" w:fill="FFFFFF"/>
        </w:rPr>
        <w:t xml:space="preserve">. </w:t>
      </w:r>
      <w:r w:rsidRPr="005A6EFF">
        <w:rPr>
          <w:sz w:val="24"/>
          <w:szCs w:val="24"/>
          <w:shd w:val="clear" w:color="auto" w:fill="FFFFFF"/>
        </w:rPr>
        <w:t xml:space="preserve">Functional and immune characteristics of different </w:t>
      </w:r>
      <w:r>
        <w:rPr>
          <w:sz w:val="24"/>
          <w:szCs w:val="24"/>
          <w:shd w:val="clear" w:color="auto" w:fill="FFFFFF"/>
        </w:rPr>
        <w:t>cluster</w:t>
      </w:r>
      <w:r w:rsidRPr="005A6EFF">
        <w:rPr>
          <w:sz w:val="24"/>
          <w:szCs w:val="24"/>
          <w:shd w:val="clear" w:color="auto" w:fill="FFFFFF"/>
        </w:rPr>
        <w:t>s.</w:t>
      </w:r>
      <w:r>
        <w:rPr>
          <w:sz w:val="24"/>
          <w:szCs w:val="24"/>
          <w:shd w:val="clear" w:color="auto" w:fill="FFFFFF"/>
        </w:rPr>
        <w:t xml:space="preserve"> </w:t>
      </w:r>
      <w:r w:rsidRPr="005A6EFF">
        <w:rPr>
          <w:sz w:val="24"/>
          <w:szCs w:val="24"/>
          <w:shd w:val="clear" w:color="auto" w:fill="FFFFFF"/>
        </w:rPr>
        <w:t>(A)</w:t>
      </w:r>
      <w:r>
        <w:rPr>
          <w:sz w:val="24"/>
          <w:szCs w:val="24"/>
          <w:shd w:val="clear" w:color="auto" w:fill="FFFFFF"/>
        </w:rPr>
        <w:t xml:space="preserve"> </w:t>
      </w:r>
      <w:r w:rsidRPr="005A6EFF">
        <w:rPr>
          <w:sz w:val="24"/>
          <w:szCs w:val="24"/>
          <w:shd w:val="clear" w:color="auto" w:fill="FFFFFF"/>
        </w:rPr>
        <w:t>Function annotation on higher expressed genes in cluster 2 using KEGG pathway.</w:t>
      </w:r>
      <w:r>
        <w:rPr>
          <w:sz w:val="24"/>
          <w:szCs w:val="24"/>
          <w:shd w:val="clear" w:color="auto" w:fill="FFFFFF"/>
        </w:rPr>
        <w:t xml:space="preserve"> </w:t>
      </w:r>
      <w:r w:rsidRPr="005A6EFF">
        <w:rPr>
          <w:sz w:val="24"/>
          <w:szCs w:val="24"/>
          <w:shd w:val="clear" w:color="auto" w:fill="FFFFFF"/>
        </w:rPr>
        <w:t>(B)</w:t>
      </w:r>
      <w:r>
        <w:rPr>
          <w:sz w:val="24"/>
          <w:szCs w:val="24"/>
          <w:shd w:val="clear" w:color="auto" w:fill="FFFFFF"/>
        </w:rPr>
        <w:t xml:space="preserve"> </w:t>
      </w:r>
      <w:r w:rsidRPr="005A6EFF">
        <w:rPr>
          <w:sz w:val="24"/>
          <w:szCs w:val="24"/>
          <w:shd w:val="clear" w:color="auto" w:fill="FFFFFF"/>
        </w:rPr>
        <w:t>Function annotation on higher expressed genes in cluster 2 using GO terms.</w:t>
      </w:r>
      <w:r>
        <w:rPr>
          <w:sz w:val="24"/>
          <w:szCs w:val="24"/>
          <w:shd w:val="clear" w:color="auto" w:fill="FFFFFF"/>
        </w:rPr>
        <w:t xml:space="preserve"> </w:t>
      </w:r>
      <w:r w:rsidRPr="005A6EFF">
        <w:rPr>
          <w:sz w:val="24"/>
          <w:szCs w:val="24"/>
          <w:shd w:val="clear" w:color="auto" w:fill="FFFFFF"/>
        </w:rPr>
        <w:t>(C)</w:t>
      </w:r>
      <w:r>
        <w:rPr>
          <w:sz w:val="24"/>
          <w:szCs w:val="24"/>
          <w:shd w:val="clear" w:color="auto" w:fill="FFFFFF"/>
        </w:rPr>
        <w:t xml:space="preserve"> </w:t>
      </w:r>
      <w:r w:rsidRPr="005A6EFF">
        <w:rPr>
          <w:sz w:val="24"/>
          <w:szCs w:val="24"/>
          <w:shd w:val="clear" w:color="auto" w:fill="FFFFFF"/>
        </w:rPr>
        <w:t>Immune and stromal scores use ESTIMATE.</w:t>
      </w:r>
      <w:r>
        <w:rPr>
          <w:sz w:val="24"/>
          <w:szCs w:val="24"/>
          <w:shd w:val="clear" w:color="auto" w:fill="FFFFFF"/>
        </w:rPr>
        <w:t xml:space="preserve"> </w:t>
      </w:r>
      <w:r w:rsidRPr="00ED4771">
        <w:rPr>
          <w:sz w:val="24"/>
          <w:szCs w:val="24"/>
          <w:shd w:val="clear" w:color="auto" w:fill="FFFFFF"/>
        </w:rPr>
        <w:t>Blue represents cluster 1 and red represent cluster 2.</w:t>
      </w:r>
      <w:r w:rsidRPr="005A6EFF">
        <w:rPr>
          <w:sz w:val="24"/>
          <w:szCs w:val="24"/>
          <w:shd w:val="clear" w:color="auto" w:fill="FFFFFF"/>
        </w:rPr>
        <w:t xml:space="preserve"> (D)</w:t>
      </w:r>
      <w:r>
        <w:rPr>
          <w:sz w:val="24"/>
          <w:szCs w:val="24"/>
          <w:shd w:val="clear" w:color="auto" w:fill="FFFFFF"/>
        </w:rPr>
        <w:t xml:space="preserve"> </w:t>
      </w:r>
      <w:r w:rsidRPr="00860872">
        <w:rPr>
          <w:sz w:val="24"/>
          <w:szCs w:val="24"/>
          <w:shd w:val="clear" w:color="auto" w:fill="FFFFFF"/>
        </w:rPr>
        <w:t>The immune infiltration was different in different clusters. Blue represents cluster 1 and orange represent cluster 2. (E) MHC</w:t>
      </w:r>
      <w:r>
        <w:rPr>
          <w:sz w:val="24"/>
          <w:szCs w:val="24"/>
          <w:shd w:val="clear" w:color="auto" w:fill="FFFFFF"/>
        </w:rPr>
        <w:t xml:space="preserve"> and HLA</w:t>
      </w:r>
      <w:r w:rsidRPr="005A6EFF">
        <w:rPr>
          <w:sz w:val="24"/>
          <w:szCs w:val="24"/>
          <w:shd w:val="clear" w:color="auto" w:fill="FFFFFF"/>
        </w:rPr>
        <w:t xml:space="preserve"> molecules expression level </w:t>
      </w:r>
      <w:r w:rsidRPr="005A6EFF">
        <w:rPr>
          <w:sz w:val="24"/>
          <w:szCs w:val="24"/>
          <w:shd w:val="clear" w:color="auto" w:fill="FFFFFF"/>
        </w:rPr>
        <w:lastRenderedPageBreak/>
        <w:t>in different clusters.</w:t>
      </w:r>
      <w:r w:rsidDel="00A83B58">
        <w:rPr>
          <w:sz w:val="24"/>
          <w:szCs w:val="24"/>
          <w:shd w:val="clear" w:color="auto" w:fill="FFFFFF"/>
        </w:rPr>
        <w:t xml:space="preserve"> </w:t>
      </w:r>
      <w:r>
        <w:rPr>
          <w:sz w:val="24"/>
          <w:szCs w:val="24"/>
          <w:shd w:val="clear" w:color="auto" w:fill="FFFFFF"/>
        </w:rPr>
        <w:t>*p&lt;0.05, **p&lt;0.01, ***p&lt;0.001.</w:t>
      </w:r>
    </w:p>
    <w:p w14:paraId="601D5DC5" w14:textId="7D0193F9" w:rsidR="000E6233" w:rsidRDefault="000E6233">
      <w:r>
        <w:rPr>
          <w:noProof/>
          <w:sz w:val="24"/>
          <w:szCs w:val="24"/>
          <w:shd w:val="clear" w:color="auto" w:fill="FFFFFF"/>
        </w:rPr>
        <w:drawing>
          <wp:inline distT="0" distB="0" distL="0" distR="0" wp14:anchorId="4096A4C7" wp14:editId="68F5DB64">
            <wp:extent cx="5274310" cy="3651572"/>
            <wp:effectExtent l="0" t="0" r="2540" b="6350"/>
            <wp:docPr id="94602777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027777" name="图片 94602777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651572"/>
                    </a:xfrm>
                    <a:prstGeom prst="rect">
                      <a:avLst/>
                    </a:prstGeom>
                  </pic:spPr>
                </pic:pic>
              </a:graphicData>
            </a:graphic>
          </wp:inline>
        </w:drawing>
      </w:r>
    </w:p>
    <w:p w14:paraId="6204BC95" w14:textId="6B4CECAE" w:rsidR="000E6233" w:rsidRDefault="000E6233" w:rsidP="000E6233">
      <w:pPr>
        <w:pStyle w:val="EndNoteBibliography"/>
        <w:rPr>
          <w:sz w:val="24"/>
          <w:szCs w:val="24"/>
          <w:shd w:val="clear" w:color="auto" w:fill="FFFFFF"/>
        </w:rPr>
      </w:pPr>
      <w:bookmarkStart w:id="2" w:name="_Hlk154264162"/>
      <w:r w:rsidRPr="001547C7">
        <w:rPr>
          <w:b/>
          <w:sz w:val="24"/>
          <w:szCs w:val="24"/>
        </w:rPr>
        <w:t xml:space="preserve">Supplementary Figure </w:t>
      </w:r>
      <w:r>
        <w:rPr>
          <w:b/>
          <w:sz w:val="24"/>
          <w:szCs w:val="24"/>
        </w:rPr>
        <w:t>2</w:t>
      </w:r>
      <w:bookmarkEnd w:id="2"/>
      <w:r>
        <w:rPr>
          <w:sz w:val="24"/>
          <w:szCs w:val="24"/>
          <w:shd w:val="clear" w:color="auto" w:fill="FFFFFF"/>
        </w:rPr>
        <w:t>.</w:t>
      </w:r>
      <w:r w:rsidRPr="000E6233">
        <w:rPr>
          <w:sz w:val="24"/>
          <w:szCs w:val="24"/>
          <w:shd w:val="clear" w:color="auto" w:fill="FFFFFF"/>
        </w:rPr>
        <w:t xml:space="preserve"> </w:t>
      </w:r>
      <w:r w:rsidRPr="005A6EFF">
        <w:rPr>
          <w:sz w:val="24"/>
          <w:szCs w:val="24"/>
          <w:shd w:val="clear" w:color="auto" w:fill="FFFFFF"/>
        </w:rPr>
        <w:t>Clinical analysis of the model.</w:t>
      </w:r>
      <w:r>
        <w:rPr>
          <w:sz w:val="24"/>
          <w:szCs w:val="24"/>
          <w:shd w:val="clear" w:color="auto" w:fill="FFFFFF"/>
        </w:rPr>
        <w:t xml:space="preserve"> </w:t>
      </w:r>
      <w:r w:rsidRPr="005A6EFF">
        <w:rPr>
          <w:sz w:val="24"/>
          <w:szCs w:val="24"/>
          <w:shd w:val="clear" w:color="auto" w:fill="FFFFFF"/>
        </w:rPr>
        <w:t>(A)</w:t>
      </w:r>
      <w:r>
        <w:rPr>
          <w:sz w:val="24"/>
          <w:szCs w:val="24"/>
          <w:shd w:val="clear" w:color="auto" w:fill="FFFFFF"/>
        </w:rPr>
        <w:t xml:space="preserve"> </w:t>
      </w:r>
      <w:r w:rsidRPr="005A6EFF">
        <w:rPr>
          <w:sz w:val="24"/>
          <w:szCs w:val="24"/>
          <w:shd w:val="clear" w:color="auto" w:fill="FFFFFF"/>
        </w:rPr>
        <w:t>Heatmap shows the distribution of clinicopathological features and the expression of 3 DNA methylase modification regulators in high- and low-risk groups.</w:t>
      </w:r>
      <w:r>
        <w:rPr>
          <w:sz w:val="24"/>
          <w:szCs w:val="24"/>
          <w:shd w:val="clear" w:color="auto" w:fill="FFFFFF"/>
        </w:rPr>
        <w:t xml:space="preserve"> </w:t>
      </w:r>
      <w:r w:rsidRPr="005A6EFF">
        <w:rPr>
          <w:sz w:val="24"/>
          <w:szCs w:val="24"/>
          <w:shd w:val="clear" w:color="auto" w:fill="FFFFFF"/>
        </w:rPr>
        <w:t>(B)</w:t>
      </w:r>
      <w:r>
        <w:rPr>
          <w:sz w:val="24"/>
          <w:szCs w:val="24"/>
          <w:shd w:val="clear" w:color="auto" w:fill="FFFFFF"/>
        </w:rPr>
        <w:t xml:space="preserve"> </w:t>
      </w:r>
      <w:r w:rsidRPr="005A6EFF">
        <w:rPr>
          <w:sz w:val="24"/>
          <w:szCs w:val="24"/>
          <w:shd w:val="clear" w:color="auto" w:fill="FFFFFF"/>
        </w:rPr>
        <w:t>Univariate Cox regression analyses of clinicopathological parameters.</w:t>
      </w:r>
      <w:r>
        <w:rPr>
          <w:sz w:val="24"/>
          <w:szCs w:val="24"/>
          <w:shd w:val="clear" w:color="auto" w:fill="FFFFFF"/>
        </w:rPr>
        <w:t xml:space="preserve"> </w:t>
      </w:r>
      <w:r w:rsidRPr="005A6EFF">
        <w:rPr>
          <w:sz w:val="24"/>
          <w:szCs w:val="24"/>
          <w:shd w:val="clear" w:color="auto" w:fill="FFFFFF"/>
        </w:rPr>
        <w:t>(C)</w:t>
      </w:r>
      <w:r>
        <w:rPr>
          <w:sz w:val="24"/>
          <w:szCs w:val="24"/>
          <w:shd w:val="clear" w:color="auto" w:fill="FFFFFF"/>
        </w:rPr>
        <w:t xml:space="preserve"> </w:t>
      </w:r>
      <w:r w:rsidRPr="005A6EFF">
        <w:rPr>
          <w:sz w:val="24"/>
          <w:szCs w:val="24"/>
          <w:shd w:val="clear" w:color="auto" w:fill="FFFFFF"/>
        </w:rPr>
        <w:t>Multivariate Cox regression analyses of clinicopathological parameters.</w:t>
      </w:r>
      <w:r>
        <w:rPr>
          <w:sz w:val="24"/>
          <w:szCs w:val="24"/>
          <w:shd w:val="clear" w:color="auto" w:fill="FFFFFF"/>
        </w:rPr>
        <w:t xml:space="preserve"> </w:t>
      </w:r>
      <w:r w:rsidRPr="005A6EFF">
        <w:rPr>
          <w:sz w:val="24"/>
          <w:szCs w:val="24"/>
          <w:shd w:val="clear" w:color="auto" w:fill="FFFFFF"/>
        </w:rPr>
        <w:t>(D)</w:t>
      </w:r>
      <w:r>
        <w:rPr>
          <w:sz w:val="24"/>
          <w:szCs w:val="24"/>
          <w:shd w:val="clear" w:color="auto" w:fill="FFFFFF"/>
        </w:rPr>
        <w:t xml:space="preserve"> </w:t>
      </w:r>
      <w:r w:rsidRPr="005A6EFF">
        <w:rPr>
          <w:sz w:val="24"/>
          <w:szCs w:val="24"/>
          <w:shd w:val="clear" w:color="auto" w:fill="FFFFFF"/>
        </w:rPr>
        <w:t>Association of cluster with high - and low-risk groups and pathology.</w:t>
      </w:r>
    </w:p>
    <w:p w14:paraId="7538A1C0" w14:textId="4EDF7074" w:rsidR="000E6233" w:rsidRDefault="000E6233"/>
    <w:p w14:paraId="0096FD2C" w14:textId="3D70979C" w:rsidR="000E6233" w:rsidRDefault="00054168">
      <w:r>
        <w:rPr>
          <w:noProof/>
          <w:sz w:val="24"/>
          <w:szCs w:val="24"/>
          <w:shd w:val="clear" w:color="auto" w:fill="FFFFFF"/>
        </w:rPr>
        <w:lastRenderedPageBreak/>
        <w:drawing>
          <wp:inline distT="0" distB="0" distL="0" distR="0" wp14:anchorId="237506D4" wp14:editId="48A81076">
            <wp:extent cx="5274310" cy="3954227"/>
            <wp:effectExtent l="0" t="0" r="2540" b="8255"/>
            <wp:docPr id="126708656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086568" name="图片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954227"/>
                    </a:xfrm>
                    <a:prstGeom prst="rect">
                      <a:avLst/>
                    </a:prstGeom>
                  </pic:spPr>
                </pic:pic>
              </a:graphicData>
            </a:graphic>
          </wp:inline>
        </w:drawing>
      </w:r>
    </w:p>
    <w:p w14:paraId="10381EAD" w14:textId="06EDBC0B" w:rsidR="005D3FBF" w:rsidRDefault="005D3FBF" w:rsidP="005D3FBF">
      <w:pPr>
        <w:pStyle w:val="EndNoteBibliography"/>
        <w:rPr>
          <w:rFonts w:eastAsiaTheme="minorEastAsia"/>
          <w:noProof w:val="0"/>
          <w:sz w:val="24"/>
          <w:szCs w:val="24"/>
        </w:rPr>
      </w:pPr>
      <w:r w:rsidRPr="001547C7">
        <w:rPr>
          <w:b/>
          <w:sz w:val="24"/>
          <w:szCs w:val="24"/>
        </w:rPr>
        <w:t xml:space="preserve">Supplementary Figure </w:t>
      </w:r>
      <w:r>
        <w:rPr>
          <w:b/>
          <w:sz w:val="24"/>
          <w:szCs w:val="24"/>
        </w:rPr>
        <w:t>3</w:t>
      </w:r>
      <w:r w:rsidRPr="00407AFB">
        <w:rPr>
          <w:rFonts w:eastAsiaTheme="minorEastAsia"/>
          <w:noProof w:val="0"/>
          <w:sz w:val="24"/>
          <w:szCs w:val="24"/>
        </w:rPr>
        <w:t>. The differences in the chemotherapy response of chemotherapy drugs between the high- and low-risk groups(A-B). The results of Spearman’s correlation analysis and differential drug response analysis of 6 CTRP-derived compounds(C). The results of Spearman’s correlation analysis and differential drug response analysis of 3 PRISM-derived compounds(D). Note that lower values on the y-axis of boxplots imply greater drug sensitivity.</w:t>
      </w:r>
    </w:p>
    <w:p w14:paraId="255C3606" w14:textId="4836ADAE" w:rsidR="005D3FBF" w:rsidRPr="005D3FBF" w:rsidRDefault="005D3FBF">
      <w:pPr>
        <w:rPr>
          <w:rFonts w:hint="eastAsia"/>
        </w:rPr>
      </w:pPr>
      <w:r>
        <w:rPr>
          <w:rFonts w:hint="eastAsia"/>
          <w:noProof/>
        </w:rPr>
        <w:drawing>
          <wp:inline distT="0" distB="0" distL="0" distR="0" wp14:anchorId="74B1D987" wp14:editId="6BAC6F1E">
            <wp:extent cx="5274310" cy="2742565"/>
            <wp:effectExtent l="0" t="0" r="2540" b="635"/>
            <wp:docPr id="9969029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902959" name="图片 99690295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742565"/>
                    </a:xfrm>
                    <a:prstGeom prst="rect">
                      <a:avLst/>
                    </a:prstGeom>
                  </pic:spPr>
                </pic:pic>
              </a:graphicData>
            </a:graphic>
          </wp:inline>
        </w:drawing>
      </w:r>
    </w:p>
    <w:sectPr w:rsidR="005D3FBF" w:rsidRPr="005D3F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11C561" w14:textId="77777777" w:rsidR="006F74EA" w:rsidRDefault="006F74EA" w:rsidP="000E6233">
      <w:r>
        <w:separator/>
      </w:r>
    </w:p>
  </w:endnote>
  <w:endnote w:type="continuationSeparator" w:id="0">
    <w:p w14:paraId="5A40F13B" w14:textId="77777777" w:rsidR="006F74EA" w:rsidRDefault="006F74EA" w:rsidP="000E62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D417D" w14:textId="77777777" w:rsidR="006F74EA" w:rsidRDefault="006F74EA" w:rsidP="000E6233">
      <w:r>
        <w:separator/>
      </w:r>
    </w:p>
  </w:footnote>
  <w:footnote w:type="continuationSeparator" w:id="0">
    <w:p w14:paraId="0085327B" w14:textId="77777777" w:rsidR="006F74EA" w:rsidRDefault="006F74EA" w:rsidP="000E62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37E"/>
    <w:rsid w:val="00046E41"/>
    <w:rsid w:val="00054168"/>
    <w:rsid w:val="000E6233"/>
    <w:rsid w:val="0011637E"/>
    <w:rsid w:val="0026034F"/>
    <w:rsid w:val="002A535A"/>
    <w:rsid w:val="004D1E0C"/>
    <w:rsid w:val="005D3FBF"/>
    <w:rsid w:val="006F74EA"/>
    <w:rsid w:val="00874F34"/>
    <w:rsid w:val="00960A4D"/>
    <w:rsid w:val="00CE3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0794C4"/>
  <w15:chartTrackingRefBased/>
  <w15:docId w15:val="{D6F45F84-1A0D-4B1A-AC1A-F848C8CC1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62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E6233"/>
    <w:pPr>
      <w:tabs>
        <w:tab w:val="center" w:pos="4153"/>
        <w:tab w:val="right" w:pos="8306"/>
      </w:tabs>
      <w:snapToGrid w:val="0"/>
      <w:jc w:val="center"/>
    </w:pPr>
    <w:rPr>
      <w:sz w:val="18"/>
      <w:szCs w:val="18"/>
    </w:rPr>
  </w:style>
  <w:style w:type="character" w:customStyle="1" w:styleId="a4">
    <w:name w:val="页眉 字符"/>
    <w:basedOn w:val="a0"/>
    <w:link w:val="a3"/>
    <w:uiPriority w:val="99"/>
    <w:rsid w:val="000E6233"/>
    <w:rPr>
      <w:sz w:val="18"/>
      <w:szCs w:val="18"/>
    </w:rPr>
  </w:style>
  <w:style w:type="paragraph" w:styleId="a5">
    <w:name w:val="footer"/>
    <w:basedOn w:val="a"/>
    <w:link w:val="a6"/>
    <w:uiPriority w:val="99"/>
    <w:unhideWhenUsed/>
    <w:rsid w:val="000E6233"/>
    <w:pPr>
      <w:tabs>
        <w:tab w:val="center" w:pos="4153"/>
        <w:tab w:val="right" w:pos="8306"/>
      </w:tabs>
      <w:snapToGrid w:val="0"/>
      <w:jc w:val="left"/>
    </w:pPr>
    <w:rPr>
      <w:sz w:val="18"/>
      <w:szCs w:val="18"/>
    </w:rPr>
  </w:style>
  <w:style w:type="character" w:customStyle="1" w:styleId="a6">
    <w:name w:val="页脚 字符"/>
    <w:basedOn w:val="a0"/>
    <w:link w:val="a5"/>
    <w:uiPriority w:val="99"/>
    <w:rsid w:val="000E6233"/>
    <w:rPr>
      <w:sz w:val="18"/>
      <w:szCs w:val="18"/>
    </w:rPr>
  </w:style>
  <w:style w:type="paragraph" w:customStyle="1" w:styleId="EndNoteBibliography">
    <w:name w:val="EndNote Bibliography"/>
    <w:basedOn w:val="a"/>
    <w:link w:val="EndNoteBibliography0"/>
    <w:rsid w:val="000E6233"/>
    <w:rPr>
      <w:rFonts w:ascii="Times New Roman" w:eastAsia="等线" w:hAnsi="Times New Roman" w:cs="Times New Roman"/>
      <w:noProof/>
      <w:sz w:val="20"/>
    </w:rPr>
  </w:style>
  <w:style w:type="character" w:customStyle="1" w:styleId="EndNoteBibliography0">
    <w:name w:val="EndNote Bibliography 字符"/>
    <w:basedOn w:val="a0"/>
    <w:link w:val="EndNoteBibliography"/>
    <w:rsid w:val="000E6233"/>
    <w:rPr>
      <w:rFonts w:ascii="Times New Roman" w:eastAsia="等线" w:hAnsi="Times New Roman" w:cs="Times New Roman"/>
      <w:noProof/>
      <w:sz w:val="20"/>
    </w:rPr>
  </w:style>
  <w:style w:type="character" w:styleId="a7">
    <w:name w:val="Hyperlink"/>
    <w:basedOn w:val="a0"/>
    <w:uiPriority w:val="99"/>
    <w:unhideWhenUsed/>
    <w:rsid w:val="00960A4D"/>
    <w:rPr>
      <w:color w:val="0563C1" w:themeColor="hyperlink"/>
      <w:u w:val="single"/>
    </w:rPr>
  </w:style>
  <w:style w:type="character" w:styleId="a8">
    <w:name w:val="Strong"/>
    <w:basedOn w:val="a0"/>
    <w:uiPriority w:val="22"/>
    <w:qFormat/>
    <w:rsid w:val="00960A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cbi.nlm.nih.gov/geo"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1219</Words>
  <Characters>6954</Characters>
  <Application>Microsoft Office Word</Application>
  <DocSecurity>0</DocSecurity>
  <Lines>57</Lines>
  <Paragraphs>16</Paragraphs>
  <ScaleCrop>false</ScaleCrop>
  <Company/>
  <LinksUpToDate>false</LinksUpToDate>
  <CharactersWithSpaces>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家龙 张</dc:creator>
  <cp:keywords/>
  <dc:description/>
  <cp:lastModifiedBy>家龙 张</cp:lastModifiedBy>
  <cp:revision>7</cp:revision>
  <dcterms:created xsi:type="dcterms:W3CDTF">2023-12-23T14:31:00Z</dcterms:created>
  <dcterms:modified xsi:type="dcterms:W3CDTF">2024-02-16T11:45:00Z</dcterms:modified>
</cp:coreProperties>
</file>