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B01" w:rsidRDefault="00FB6B01" w:rsidP="00FB6B01">
      <w:pPr>
        <w:jc w:val="both"/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t>E-Table 1A</w:t>
      </w:r>
      <w:r>
        <w:rPr>
          <w:rFonts w:cstheme="minorHAnsi"/>
          <w:lang w:val="en-GB"/>
        </w:rPr>
        <w:t>: scores throughout the training program</w:t>
      </w:r>
    </w:p>
    <w:tbl>
      <w:tblPr>
        <w:tblStyle w:val="Grilledutableau"/>
        <w:tblW w:w="15010" w:type="dxa"/>
        <w:tblInd w:w="-5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1493"/>
        <w:gridCol w:w="1740"/>
        <w:gridCol w:w="1246"/>
        <w:gridCol w:w="1740"/>
        <w:gridCol w:w="1246"/>
        <w:gridCol w:w="1740"/>
        <w:gridCol w:w="1370"/>
        <w:gridCol w:w="1740"/>
      </w:tblGrid>
      <w:tr w:rsidR="00FB6B01" w:rsidTr="00882440">
        <w:trPr>
          <w:trHeight w:val="1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B6B01" w:rsidRDefault="00FB6B01" w:rsidP="00882440">
            <w:pPr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Pre-A2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Pre-A3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Pre-A4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A4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Capsulorhexis</w:t>
            </w:r>
          </w:p>
        </w:tc>
        <w:tc>
          <w:tcPr>
            <w:tcW w:w="0" w:type="auto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Median (IQR)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(0 - 52)°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 (0 - 54)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19 (0 - 60)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54 (30 - 77)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47 (0 - 80)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78 (58 - 92)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85 (64 - 91)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86 (83 - 92)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b/>
              </w:rPr>
            </w:pPr>
            <w:r>
              <w:rPr>
                <w:rFonts w:cstheme="minorHAnsi"/>
                <w:i/>
              </w:rPr>
              <w:t>Range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0 - 83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0 - 88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0 - 76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0 - 91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0 - 91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0 - 96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22 - 98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67 - 99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Hydromaneuver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Median (IQR)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36 (0 - 75)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84 (50 - 90)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86 (81 - 90)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86 (53 - 91)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90 (84 - 94)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b/>
              </w:rPr>
            </w:pPr>
            <w:r>
              <w:rPr>
                <w:rFonts w:cstheme="minorHAnsi"/>
                <w:i/>
              </w:rPr>
              <w:t>Range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0 - 90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0 - 90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56 - 100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0 - 100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55 - 100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Phacoemulsification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Median (IQR)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(0 - 0)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38 (0 - 59)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34 (0 - 56)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84 (41 - 92)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86 (60 - 94)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b/>
              </w:rPr>
            </w:pPr>
            <w:r>
              <w:rPr>
                <w:rFonts w:cstheme="minorHAnsi"/>
                <w:i/>
              </w:rPr>
              <w:t>Range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0 - 72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0 - 91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0 - 84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0 - 96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15 - 98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Irrigation and aspiration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Median (IQR)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(0 - 40)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64 (0 - 92)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92 (52 - 96)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94 (88 - 96)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98 (96 - 100)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b/>
              </w:rPr>
            </w:pPr>
            <w:r>
              <w:rPr>
                <w:rFonts w:cstheme="minorHAnsi"/>
                <w:i/>
              </w:rPr>
              <w:t>Range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0 - 81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0 - 100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40 - 100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46 - 100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64 - 100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IOL insertion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Median (IQR)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(0 - 38)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34 (0 - 73)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68 (39 - 86)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83 (57 - 90)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90 (81 - 95)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b/>
              </w:rPr>
            </w:pPr>
            <w:r>
              <w:rPr>
                <w:rFonts w:cstheme="minorHAnsi"/>
                <w:i/>
              </w:rPr>
              <w:t>Range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0 - 64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0 - 95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0 - 95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0 - 98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18 - 100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Overall procedure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Median (IQR)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95 (53 - 147)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242 (136 - 314)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300 (252 - 349)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394 (298 - 430)</w:t>
            </w: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  <w:bottom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425 (411 - 451)</w:t>
            </w:r>
          </w:p>
        </w:tc>
      </w:tr>
      <w:tr w:rsidR="00FB6B01" w:rsidTr="00882440">
        <w:trPr>
          <w:trHeight w:val="17"/>
        </w:trPr>
        <w:tc>
          <w:tcPr>
            <w:tcW w:w="0" w:type="auto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rFonts w:cstheme="minorHAnsi"/>
                <w:b/>
              </w:rPr>
            </w:pPr>
            <w:r>
              <w:rPr>
                <w:rFonts w:cstheme="minorHAnsi"/>
                <w:i/>
              </w:rPr>
              <w:t>Range</w:t>
            </w:r>
          </w:p>
        </w:tc>
        <w:tc>
          <w:tcPr>
            <w:tcW w:w="0" w:type="auto"/>
            <w:tcBorders>
              <w:top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25 - 295</w:t>
            </w:r>
          </w:p>
        </w:tc>
        <w:tc>
          <w:tcPr>
            <w:tcW w:w="0" w:type="auto"/>
            <w:tcBorders>
              <w:top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0 - 386</w:t>
            </w:r>
          </w:p>
        </w:tc>
        <w:tc>
          <w:tcPr>
            <w:tcW w:w="0" w:type="auto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204 - 428</w:t>
            </w:r>
          </w:p>
        </w:tc>
        <w:tc>
          <w:tcPr>
            <w:tcW w:w="0" w:type="auto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156 - 471</w:t>
            </w:r>
          </w:p>
        </w:tc>
        <w:tc>
          <w:tcPr>
            <w:tcW w:w="0" w:type="auto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none" w:sz="4" w:space="0" w:color="000000"/>
            </w:tcBorders>
            <w:vAlign w:val="bottom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337 - 490</w:t>
            </w:r>
          </w:p>
        </w:tc>
      </w:tr>
    </w:tbl>
    <w:p w:rsidR="00FB6B01" w:rsidRDefault="00FB6B01" w:rsidP="00FB6B01">
      <w:pPr>
        <w:ind w:left="-426" w:right="939"/>
        <w:jc w:val="both"/>
        <w:rPr>
          <w:lang w:val="en-GB"/>
        </w:rPr>
      </w:pPr>
      <w:r>
        <w:rPr>
          <w:lang w:val="en-GB"/>
        </w:rPr>
        <w:t>Abbreviations: A0, assessment at the beginning of the first session; A1, assessment at the end of the first session; A2, assessment at the end of the second session; A3, assessment at the end of the third session; A4, assessment at the end of the fourth session; IQR, interquartile range; pre-A2, assessment at the beginning of the second session; pre-A3, assessment at the beginning of the third session; pre-A4, assessment at the beginning of the fourth session; °, one missing data</w:t>
      </w:r>
    </w:p>
    <w:p w:rsidR="00FB6B01" w:rsidRDefault="00FB6B01" w:rsidP="00FB6B01">
      <w:p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br w:type="page"/>
      </w:r>
    </w:p>
    <w:p w:rsidR="00FB6B01" w:rsidRDefault="00FB6B01" w:rsidP="00FB6B01">
      <w:pPr>
        <w:jc w:val="both"/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lastRenderedPageBreak/>
        <w:t>E-Table 1B</w:t>
      </w:r>
      <w:r>
        <w:rPr>
          <w:rFonts w:cstheme="minorHAnsi"/>
          <w:lang w:val="en-GB"/>
        </w:rPr>
        <w:t>: completion time (in minutes) throughout the training program</w:t>
      </w:r>
    </w:p>
    <w:tbl>
      <w:tblPr>
        <w:tblStyle w:val="Grilledutableau"/>
        <w:tblW w:w="1660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1757"/>
        <w:gridCol w:w="1617"/>
        <w:gridCol w:w="140"/>
        <w:gridCol w:w="1757"/>
        <w:gridCol w:w="88"/>
        <w:gridCol w:w="1669"/>
        <w:gridCol w:w="1757"/>
        <w:gridCol w:w="1757"/>
        <w:gridCol w:w="1757"/>
        <w:gridCol w:w="1871"/>
      </w:tblGrid>
      <w:tr w:rsidR="00FB6B01" w:rsidTr="00882440">
        <w:trPr>
          <w:trHeight w:val="18"/>
          <w:jc w:val="center"/>
        </w:trPr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:rsidR="00FB6B01" w:rsidRDefault="00FB6B01" w:rsidP="00882440">
            <w:pPr>
              <w:rPr>
                <w:lang w:val="en-GB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A0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Pre-A2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Pre-A3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Pre-A4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Capsulorhexis</w:t>
            </w:r>
          </w:p>
        </w:tc>
        <w:tc>
          <w:tcPr>
            <w:tcW w:w="1757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  <w:r>
              <w:t>3.6 (2.8 - 5.3)°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2.87 (1.97 - 3.08)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2.71 (2.31 - 3.39)°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2.75 (2.26 - 3.35)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2.72 (2.26 - 3.19)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2.30 (1.98 - 2.51)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2.33 (2.11 - 3.18)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2.22 (1.88 - 2.69)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  <w:r>
              <w:t>1.9 - 23.5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0.49 - 6.77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1.06 - 3.74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1.65 - 5.43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1.88 - 4.81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1.16 - 4.26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1.56 - 5.73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1.29 - 4.24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Hydromaneuver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1.68 (1.09 - 3.03)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0.95 (0.60 - 1.90)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1.32 (0.88 - 1.41)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1.06 (0.71 - 1.47)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1.02 (0.87 - 1.34)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0.50 - 4.97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0.27 - 4.76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0.59 - 2.48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0.49 - 3.31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0.73 - 2.53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Phacoemulsification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</w:tr>
      <w:tr w:rsidR="00FB6B01" w:rsidTr="00882440">
        <w:trPr>
          <w:trHeight w:val="374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9.1 (6.1 - 10.6)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8.0 (6.3 - 9.5)°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8.7 (5.7 - 10.4)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7.96 (6.39 - 10.78)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8.45 (6.49 - 10.66)</w:t>
            </w:r>
          </w:p>
        </w:tc>
      </w:tr>
      <w:tr w:rsidR="00FB6B01" w:rsidTr="00882440">
        <w:trPr>
          <w:trHeight w:val="126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4.0 - 14.9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4.3 - 19.5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3.5 - 19.0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3.42 - 15.63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3.52 - 21.93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Irrigation and aspiration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2.86 (1.91 - 3.92)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2.82 (1.82 - 3.82)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2.57 (2.07 - 3.14)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1.70 (1.29 - 2.43)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1.85 (1.48 - 2.62)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1.55 - 5.85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1.12 - 6.68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1.54 - 4.37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1.03 - 3.51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0.96 - 3.68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IOL insertion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2.11 (1.85 - 2.34)*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2.46 (2.03 - 3.22)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2.23 (1.62 - 2.66)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2.30 (1.80 - 2.88)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2.67 (2.01 - 3.15)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0.75 - 5.21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1.76 - 4.47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0.93 - 4.19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1.22 - 3.64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1.30 - 3.73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Overall procedure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19 (16 - 25)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18.1 (12.4 - 21.3)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17.5 (14.2 - 21.0)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15.4 (13.3 - 18.9)</w:t>
            </w:r>
          </w:p>
        </w:tc>
        <w:tc>
          <w:tcPr>
            <w:tcW w:w="175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17.6 (13.1 - 20.7)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757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12 - 37</w:t>
            </w:r>
          </w:p>
        </w:tc>
        <w:tc>
          <w:tcPr>
            <w:tcW w:w="1757" w:type="dxa"/>
            <w:gridSpan w:val="2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10.8 - 30.4</w:t>
            </w:r>
          </w:p>
        </w:tc>
        <w:tc>
          <w:tcPr>
            <w:tcW w:w="1757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gridSpan w:val="2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9.7 - 30.6</w:t>
            </w:r>
          </w:p>
        </w:tc>
        <w:tc>
          <w:tcPr>
            <w:tcW w:w="1757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757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9.7 - 27.4</w:t>
            </w:r>
          </w:p>
        </w:tc>
        <w:tc>
          <w:tcPr>
            <w:tcW w:w="1757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</w:pPr>
          </w:p>
        </w:tc>
        <w:tc>
          <w:tcPr>
            <w:tcW w:w="1871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8.7 - 33.3</w:t>
            </w:r>
          </w:p>
        </w:tc>
      </w:tr>
    </w:tbl>
    <w:p w:rsidR="00FB6B01" w:rsidRDefault="00FB6B01" w:rsidP="00FB6B01">
      <w:pPr>
        <w:ind w:left="-426" w:right="-478"/>
        <w:jc w:val="both"/>
        <w:rPr>
          <w:lang w:val="en-GB"/>
        </w:rPr>
      </w:pPr>
      <w:r>
        <w:rPr>
          <w:lang w:val="en-GB"/>
        </w:rPr>
        <w:t>Abbreviations: A0, assessment at the beginning of the first session; A1, assessment at the end of the first session; A2, assessment at the end of the second session; A3, assessment at the end of the third session; A4, assessment at the end of the fourth session; IQR, interquartile range; pre-A2, assessment at the beginning of the second session; pre-A3, assessment at the beginning of the third session; pre-A4, assessment at the beginning of the fourth session; °, one missing data</w:t>
      </w:r>
    </w:p>
    <w:p w:rsidR="00FB6B01" w:rsidRDefault="00FB6B01" w:rsidP="00FB6B01">
      <w:pPr>
        <w:ind w:right="-478"/>
        <w:jc w:val="both"/>
        <w:rPr>
          <w:rFonts w:cstheme="minorHAnsi"/>
          <w:lang w:val="en-GB"/>
        </w:rPr>
      </w:pPr>
      <w:r>
        <w:rPr>
          <w:lang w:val="en-GB"/>
        </w:rPr>
        <w:br w:type="page" w:clear="all"/>
      </w:r>
      <w:r>
        <w:rPr>
          <w:rFonts w:cstheme="minorHAnsi"/>
          <w:b/>
          <w:lang w:val="en-GB"/>
        </w:rPr>
        <w:lastRenderedPageBreak/>
        <w:t>E-Table 1C</w:t>
      </w:r>
      <w:r>
        <w:rPr>
          <w:rFonts w:cstheme="minorHAnsi"/>
          <w:lang w:val="en-GB"/>
        </w:rPr>
        <w:t>: odometer (in millimetres) throughout the training program</w:t>
      </w:r>
    </w:p>
    <w:tbl>
      <w:tblPr>
        <w:tblStyle w:val="Grilledutableau"/>
        <w:tblW w:w="1576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8"/>
        <w:gridCol w:w="1814"/>
        <w:gridCol w:w="1871"/>
        <w:gridCol w:w="1361"/>
        <w:gridCol w:w="1814"/>
        <w:gridCol w:w="1417"/>
        <w:gridCol w:w="1814"/>
        <w:gridCol w:w="1417"/>
        <w:gridCol w:w="1814"/>
      </w:tblGrid>
      <w:tr w:rsidR="00FB6B01" w:rsidTr="00882440">
        <w:trPr>
          <w:trHeight w:val="18"/>
          <w:jc w:val="center"/>
        </w:trPr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:rsidR="00FB6B01" w:rsidRDefault="00FB6B01" w:rsidP="00882440">
            <w:pPr>
              <w:rPr>
                <w:lang w:val="en-GB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A0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Pre-A2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Pre-A3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Pre-A4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Capsulorhexis</w:t>
            </w:r>
          </w:p>
        </w:tc>
        <w:tc>
          <w:tcPr>
            <w:tcW w:w="1814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1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318 (224 - 379)°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254 (191 - 305)</w:t>
            </w: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276 (182-320)°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224 (208 - 282)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269 (192 - 309)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206 (184 - 252)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232 (184 - 278)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200 (175 - 237)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185 - 611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55 - 533</w:t>
            </w: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157 - 380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162 - 382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128 - 440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170 - 374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136 - 349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130 - 312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Hydromaneuver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169 (137 - 370)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128 (58 - 227)</w:t>
            </w: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156 (115 - 202)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131 (91 - 226)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151 (100 - 175)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53 - 451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31 - 901</w:t>
            </w: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57 - 268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49 - 633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77 - 366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Phacoemulsification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2,020 (1,674 - 2,711)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1,918 (1,530 - 3,123)°</w:t>
            </w: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1,940 (1,784 - 2,636)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2,038 (1,541 - 2,345)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1,807 (1,597 - 2,116)°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1,022 - 3,576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1,139 - 4,432</w:t>
            </w: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81 - 5,036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1,037 - 4,026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938 - 5,432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Irrigation and aspiration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344 (250 - 393)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286 (180 - 465)</w:t>
            </w: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237 (161 - 374)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164 (146 - 182)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144 (132 - 182)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191 - 886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97 - 1,272</w:t>
            </w: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128 - 424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100 - 204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99 - 325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IOL insertion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196 (128 - 296)°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244 (164 - 398)</w:t>
            </w: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212 (142 - 235)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187 (158 - 224)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186 (154 - 254)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78 - 566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102 - 666</w:t>
            </w: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116 - 310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108 - 286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137 - 346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rPr>
                <w:b/>
              </w:rPr>
              <w:t>Overall procedure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i/>
              </w:rPr>
            </w:pPr>
            <w:r>
              <w:rPr>
                <w:i/>
              </w:rPr>
              <w:t>Median (IQR)</w:t>
            </w: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3,091 (2,691 - 3,562)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3,006 (2,567 - 4,261)</w:t>
            </w:r>
          </w:p>
        </w:tc>
        <w:tc>
          <w:tcPr>
            <w:tcW w:w="136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2,854 (2,571 - 3,544)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2,698 (2,334 - 3,036)</w:t>
            </w:r>
          </w:p>
        </w:tc>
        <w:tc>
          <w:tcPr>
            <w:tcW w:w="1417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2,438 (2,262 - 2,855)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2438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ind w:left="259"/>
              <w:rPr>
                <w:b/>
              </w:rPr>
            </w:pPr>
            <w:r>
              <w:rPr>
                <w:i/>
              </w:rPr>
              <w:t>Range</w:t>
            </w:r>
          </w:p>
        </w:tc>
        <w:tc>
          <w:tcPr>
            <w:tcW w:w="1814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2,205 - 4,472</w:t>
            </w:r>
          </w:p>
        </w:tc>
        <w:tc>
          <w:tcPr>
            <w:tcW w:w="1871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847 - 6,045</w:t>
            </w:r>
          </w:p>
        </w:tc>
        <w:tc>
          <w:tcPr>
            <w:tcW w:w="1361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1,036 - 6,157</w:t>
            </w:r>
          </w:p>
        </w:tc>
        <w:tc>
          <w:tcPr>
            <w:tcW w:w="1417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1,943 - 5,345</w:t>
            </w:r>
          </w:p>
        </w:tc>
        <w:tc>
          <w:tcPr>
            <w:tcW w:w="1417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one" w:sz="4" w:space="0" w:color="000000"/>
            </w:tcBorders>
            <w:vAlign w:val="center"/>
          </w:tcPr>
          <w:p w:rsidR="00FB6B01" w:rsidRDefault="00FB6B01" w:rsidP="008824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608 - 6,311</w:t>
            </w:r>
          </w:p>
        </w:tc>
      </w:tr>
    </w:tbl>
    <w:p w:rsidR="00FB6B01" w:rsidRDefault="00FB6B01" w:rsidP="00FB6B01">
      <w:pPr>
        <w:ind w:left="-142" w:right="-195"/>
        <w:jc w:val="both"/>
        <w:rPr>
          <w:lang w:val="en-GB"/>
        </w:rPr>
      </w:pPr>
      <w:r>
        <w:rPr>
          <w:lang w:val="en-GB"/>
        </w:rPr>
        <w:t>Abbreviations: A0, assessment at the beginning of the first session; A1, assessment at the end of the first session; A2, assessment at the end of the second session; A3, assessment at the end of the third session; A4, assessment at the end of the fourth session; IQR, interquartile range; pre-A2, assessment at the beginning of the second session; pre-A3, assessment at the beginning of the third session; pre-A4, assessment at the beginning of the fourth session; °, one missing data</w:t>
      </w:r>
    </w:p>
    <w:p w:rsidR="00FB6B01" w:rsidRDefault="00FB6B01" w:rsidP="00FB6B01">
      <w:p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br w:type="page"/>
      </w:r>
    </w:p>
    <w:p w:rsidR="00FB6B01" w:rsidRDefault="00FB6B01" w:rsidP="00FB6B01">
      <w:pPr>
        <w:jc w:val="both"/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lastRenderedPageBreak/>
        <w:t>E-Table 1D</w:t>
      </w:r>
      <w:r>
        <w:rPr>
          <w:rFonts w:cstheme="minorHAnsi"/>
          <w:lang w:val="en-GB"/>
        </w:rPr>
        <w:t>: US Power throughout the training program (phamacoemulsification)</w:t>
      </w:r>
    </w:p>
    <w:tbl>
      <w:tblPr>
        <w:tblStyle w:val="Grilledutableau"/>
        <w:tblW w:w="11056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71"/>
        <w:gridCol w:w="1871"/>
        <w:gridCol w:w="1871"/>
        <w:gridCol w:w="1871"/>
        <w:gridCol w:w="1871"/>
      </w:tblGrid>
      <w:tr w:rsidR="00FB6B01" w:rsidTr="00882440">
        <w:trPr>
          <w:trHeight w:val="18"/>
          <w:jc w:val="center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B6B01" w:rsidRDefault="00FB6B01" w:rsidP="00882440">
            <w:pPr>
              <w:rPr>
                <w:lang w:val="en-GB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A0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FB6B01" w:rsidRDefault="00FB6B01" w:rsidP="00882440">
            <w:r>
              <w:t>Median (IQR)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470 (365 - 763)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451 (410 - 481)°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522 (377 - 662)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466 (328 - 563)</w:t>
            </w:r>
          </w:p>
        </w:tc>
        <w:tc>
          <w:tcPr>
            <w:tcW w:w="1871" w:type="dxa"/>
            <w:tcBorders>
              <w:top w:val="none" w:sz="4" w:space="0" w:color="000000"/>
              <w:bottom w:val="none" w:sz="4" w:space="0" w:color="000000"/>
            </w:tcBorders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542 (390 - 619)</w:t>
            </w:r>
          </w:p>
        </w:tc>
      </w:tr>
      <w:tr w:rsidR="00FB6B01" w:rsidTr="00882440">
        <w:trPr>
          <w:trHeight w:val="18"/>
          <w:jc w:val="center"/>
        </w:trPr>
        <w:tc>
          <w:tcPr>
            <w:tcW w:w="1701" w:type="dxa"/>
            <w:tcBorders>
              <w:top w:val="none" w:sz="4" w:space="0" w:color="000000"/>
              <w:bottom w:val="single" w:sz="4" w:space="0" w:color="auto"/>
            </w:tcBorders>
            <w:vAlign w:val="center"/>
          </w:tcPr>
          <w:p w:rsidR="00FB6B01" w:rsidRDefault="00FB6B01" w:rsidP="00882440">
            <w:pPr>
              <w:rPr>
                <w:b/>
              </w:rPr>
            </w:pPr>
            <w:r>
              <w:t>Range</w:t>
            </w:r>
          </w:p>
        </w:tc>
        <w:tc>
          <w:tcPr>
            <w:tcW w:w="1871" w:type="dxa"/>
            <w:tcBorders>
              <w:top w:val="none" w:sz="4" w:space="0" w:color="000000"/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154 - 2,146</w:t>
            </w:r>
          </w:p>
        </w:tc>
        <w:tc>
          <w:tcPr>
            <w:tcW w:w="1871" w:type="dxa"/>
            <w:tcBorders>
              <w:top w:val="none" w:sz="4" w:space="0" w:color="000000"/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225 - 1,179</w:t>
            </w:r>
          </w:p>
        </w:tc>
        <w:tc>
          <w:tcPr>
            <w:tcW w:w="1871" w:type="dxa"/>
            <w:tcBorders>
              <w:top w:val="none" w:sz="4" w:space="0" w:color="000000"/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302 - 771</w:t>
            </w:r>
          </w:p>
        </w:tc>
        <w:tc>
          <w:tcPr>
            <w:tcW w:w="1871" w:type="dxa"/>
            <w:tcBorders>
              <w:top w:val="none" w:sz="4" w:space="0" w:color="000000"/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290 - 1,090</w:t>
            </w:r>
          </w:p>
        </w:tc>
        <w:tc>
          <w:tcPr>
            <w:tcW w:w="1871" w:type="dxa"/>
            <w:tcBorders>
              <w:top w:val="none" w:sz="4" w:space="0" w:color="000000"/>
              <w:bottom w:val="single" w:sz="4" w:space="0" w:color="auto"/>
            </w:tcBorders>
          </w:tcPr>
          <w:p w:rsidR="00FB6B01" w:rsidRDefault="00FB6B01" w:rsidP="008824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t>263 - 1,600</w:t>
            </w:r>
          </w:p>
        </w:tc>
      </w:tr>
    </w:tbl>
    <w:p w:rsidR="00FB6B01" w:rsidRDefault="00FB6B01" w:rsidP="00FB6B01">
      <w:pPr>
        <w:ind w:left="2127" w:right="2215"/>
        <w:jc w:val="both"/>
        <w:rPr>
          <w:lang w:val="en-GB"/>
        </w:rPr>
      </w:pPr>
      <w:r>
        <w:rPr>
          <w:lang w:val="en-GB"/>
        </w:rPr>
        <w:t xml:space="preserve">Abbreviations: A0, assessment at the beginning of the first session; A1, assessment at the end of the first session; A2, assessment at the end of the second session; A3, assessment at the end of the third session; A4, assessment at the end of the fourth session; IQR, interquartile range; °, one missing data </w:t>
      </w:r>
      <w:r>
        <w:rPr>
          <w:lang w:val="en-GB"/>
        </w:rPr>
        <w:br w:type="page" w:clear="all"/>
      </w:r>
    </w:p>
    <w:p w:rsidR="00FB6B01" w:rsidRDefault="00FB6B01" w:rsidP="00FB6B01">
      <w:pPr>
        <w:jc w:val="both"/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lastRenderedPageBreak/>
        <w:t>E-Table 2</w:t>
      </w:r>
      <w:r>
        <w:rPr>
          <w:rFonts w:cstheme="minorHAnsi"/>
          <w:lang w:val="en-GB"/>
        </w:rPr>
        <w:t>: Posterior capsular rupture rate throughout the training program</w:t>
      </w:r>
    </w:p>
    <w:tbl>
      <w:tblPr>
        <w:tblW w:w="1218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28"/>
        <w:gridCol w:w="1928"/>
        <w:gridCol w:w="1928"/>
        <w:gridCol w:w="1928"/>
        <w:gridCol w:w="1928"/>
      </w:tblGrid>
      <w:tr w:rsidR="00FB6B01" w:rsidTr="00882440">
        <w:trPr>
          <w:trHeight w:val="537"/>
          <w:jc w:val="center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</w:rPr>
              <w:t>A0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</w:rPr>
              <w:t>A1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</w:rPr>
              <w:t>A2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</w:rPr>
              <w:t>A3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</w:rPr>
              <w:t>A4</w:t>
            </w:r>
          </w:p>
        </w:tc>
      </w:tr>
      <w:tr w:rsidR="00FB6B01" w:rsidTr="00882440">
        <w:trPr>
          <w:trHeight w:val="537"/>
          <w:jc w:val="center"/>
        </w:trPr>
        <w:tc>
          <w:tcPr>
            <w:tcW w:w="2547" w:type="dxa"/>
            <w:tcBorders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Phacoemulsification</w:t>
            </w:r>
          </w:p>
        </w:tc>
        <w:tc>
          <w:tcPr>
            <w:tcW w:w="1928" w:type="dxa"/>
            <w:tcBorders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t>75.0% [47.4 - 91.7]</w:t>
            </w:r>
          </w:p>
        </w:tc>
        <w:tc>
          <w:tcPr>
            <w:tcW w:w="1928" w:type="dxa"/>
            <w:tcBorders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t>50.0% [28.0 - 72.0]</w:t>
            </w:r>
          </w:p>
        </w:tc>
        <w:tc>
          <w:tcPr>
            <w:tcW w:w="1928" w:type="dxa"/>
            <w:tcBorders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43.8% [20.8 - 69.4]</w:t>
            </w:r>
          </w:p>
        </w:tc>
        <w:tc>
          <w:tcPr>
            <w:tcW w:w="1928" w:type="dxa"/>
            <w:tcBorders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25.0% [8.3 - 52.6]</w:t>
            </w:r>
          </w:p>
        </w:tc>
        <w:tc>
          <w:tcPr>
            <w:tcW w:w="1928" w:type="dxa"/>
            <w:tcBorders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12.5% [2.2 - 39.6]</w:t>
            </w:r>
          </w:p>
        </w:tc>
      </w:tr>
      <w:tr w:rsidR="00FB6B01" w:rsidTr="00882440">
        <w:trPr>
          <w:trHeight w:val="537"/>
          <w:jc w:val="center"/>
        </w:trPr>
        <w:tc>
          <w:tcPr>
            <w:tcW w:w="2547" w:type="dxa"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Irrigation and aspiration</w:t>
            </w:r>
          </w:p>
        </w:tc>
        <w:tc>
          <w:tcPr>
            <w:tcW w:w="1928" w:type="dxa"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68.8% [41.5 - 87.9]</w:t>
            </w:r>
          </w:p>
        </w:tc>
        <w:tc>
          <w:tcPr>
            <w:tcW w:w="1928" w:type="dxa"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37.5% [16.3 - 64.1]</w:t>
            </w:r>
          </w:p>
        </w:tc>
        <w:tc>
          <w:tcPr>
            <w:tcW w:w="1928" w:type="dxa"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18.8% [5.0 - 46.3]</w:t>
            </w:r>
          </w:p>
        </w:tc>
        <w:tc>
          <w:tcPr>
            <w:tcW w:w="1928" w:type="dxa"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6.2% [0.3 - 32.3]</w:t>
            </w:r>
          </w:p>
        </w:tc>
        <w:tc>
          <w:tcPr>
            <w:tcW w:w="1928" w:type="dxa"/>
            <w:tcBorders>
              <w:top w:val="none" w:sz="4" w:space="0" w:color="000000"/>
              <w:bottom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0.0% [0.0 - 24.1]</w:t>
            </w:r>
          </w:p>
        </w:tc>
      </w:tr>
      <w:tr w:rsidR="00FB6B01" w:rsidTr="00882440">
        <w:trPr>
          <w:trHeight w:val="537"/>
          <w:jc w:val="center"/>
        </w:trPr>
        <w:tc>
          <w:tcPr>
            <w:tcW w:w="2547" w:type="dxa"/>
            <w:tcBorders>
              <w:top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fr-FR"/>
              </w:rPr>
              <w:t>Phacoemulsification or Irrigation and aspiration</w:t>
            </w:r>
          </w:p>
        </w:tc>
        <w:tc>
          <w:tcPr>
            <w:tcW w:w="1928" w:type="dxa"/>
            <w:tcBorders>
              <w:top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93.8% [67.7 - 99.7]</w:t>
            </w:r>
          </w:p>
        </w:tc>
        <w:tc>
          <w:tcPr>
            <w:tcW w:w="1928" w:type="dxa"/>
            <w:tcBorders>
              <w:top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62.5% [35.9 - 83.7]</w:t>
            </w:r>
          </w:p>
        </w:tc>
        <w:tc>
          <w:tcPr>
            <w:tcW w:w="1928" w:type="dxa"/>
            <w:tcBorders>
              <w:top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50.0% [28.0 - 72.0]</w:t>
            </w:r>
          </w:p>
        </w:tc>
        <w:tc>
          <w:tcPr>
            <w:tcW w:w="1928" w:type="dxa"/>
            <w:tcBorders>
              <w:top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31.2% [12.1 - 58.5]</w:t>
            </w:r>
          </w:p>
        </w:tc>
        <w:tc>
          <w:tcPr>
            <w:tcW w:w="1928" w:type="dxa"/>
            <w:tcBorders>
              <w:top w:val="none" w:sz="4" w:space="0" w:color="000000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>
              <w:t>12.5% [2.2 - 39.6]</w:t>
            </w:r>
          </w:p>
        </w:tc>
      </w:tr>
    </w:tbl>
    <w:p w:rsidR="00FB6B01" w:rsidRDefault="00FB6B01" w:rsidP="00FB6B01">
      <w:pPr>
        <w:spacing w:before="120" w:after="120" w:line="240" w:lineRule="auto"/>
        <w:ind w:left="1701" w:right="1650"/>
        <w:jc w:val="both"/>
        <w:rPr>
          <w:lang w:val="en-GB"/>
        </w:rPr>
      </w:pPr>
      <w:r>
        <w:rPr>
          <w:lang w:val="en-GB"/>
        </w:rPr>
        <w:t xml:space="preserve">The rupture rate corresponds to the percentage of ophthalmology residents experiencing a </w:t>
      </w:r>
      <w:r>
        <w:rPr>
          <w:rFonts w:cstheme="minorHAnsi"/>
          <w:lang w:val="en-GB"/>
        </w:rPr>
        <w:t xml:space="preserve">posterior capsular rupture </w:t>
      </w:r>
      <w:r>
        <w:rPr>
          <w:lang w:val="en-GB"/>
        </w:rPr>
        <w:t>during the corresponding surgical step. The 95% confidence interval of each rupture rate is given in parentheses.</w:t>
      </w:r>
    </w:p>
    <w:p w:rsidR="00FB6B01" w:rsidRDefault="00FB6B01" w:rsidP="00FB6B01">
      <w:pPr>
        <w:spacing w:before="120" w:after="120" w:line="240" w:lineRule="auto"/>
        <w:ind w:left="1701" w:right="1650"/>
        <w:jc w:val="both"/>
        <w:rPr>
          <w:lang w:val="en-GB"/>
        </w:rPr>
        <w:sectPr w:rsidR="00FB6B01" w:rsidSect="00B908B3">
          <w:pgSz w:w="16838" w:h="11906"/>
          <w:pgMar w:top="720" w:right="720" w:bottom="720" w:left="720" w:header="709" w:footer="709" w:gutter="0"/>
          <w:cols w:space="708"/>
        </w:sectPr>
      </w:pPr>
      <w:r>
        <w:rPr>
          <w:lang w:val="en-GB"/>
        </w:rPr>
        <w:t>Abbreviations: A0, assessment at the beginning of the first session; A1, assessment at the end of the first session; A2, assessment at the end of the second session; A3, assessment at the end of the third session; A4, assessment at the end of the fourth session; IQR, interquartile range</w:t>
      </w:r>
    </w:p>
    <w:p w:rsidR="00FB6B01" w:rsidRDefault="00FB6B01" w:rsidP="00FB6B01">
      <w:pPr>
        <w:jc w:val="both"/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lastRenderedPageBreak/>
        <w:t>E-Table 3</w:t>
      </w:r>
      <w:r>
        <w:rPr>
          <w:rFonts w:cstheme="minorHAnsi"/>
          <w:lang w:val="en-GB"/>
        </w:rPr>
        <w:t>: Success rate for each step throughout the training program</w:t>
      </w:r>
    </w:p>
    <w:tbl>
      <w:tblPr>
        <w:tblW w:w="1275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928"/>
        <w:gridCol w:w="1928"/>
        <w:gridCol w:w="1928"/>
        <w:gridCol w:w="1928"/>
        <w:gridCol w:w="1928"/>
      </w:tblGrid>
      <w:tr w:rsidR="00FB6B01" w:rsidTr="00882440">
        <w:trPr>
          <w:trHeight w:val="340"/>
          <w:jc w:val="center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fr-FR"/>
              </w:rPr>
              <w:t> 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</w:rPr>
              <w:t>A0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</w:rPr>
              <w:t>A1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</w:rPr>
              <w:t>A2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</w:rPr>
              <w:t>A3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</w:rPr>
              <w:t>A4</w:t>
            </w:r>
          </w:p>
        </w:tc>
      </w:tr>
      <w:tr w:rsidR="00FB6B01" w:rsidTr="00882440">
        <w:trPr>
          <w:trHeight w:val="340"/>
          <w:jc w:val="center"/>
        </w:trPr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rPr>
                <w:rFonts w:ascii="Calibri" w:eastAsia="Times New Roman" w:hAnsi="Calibri" w:cs="Calibri"/>
                <w:b/>
                <w:i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iCs/>
                <w:color w:val="000000"/>
                <w:lang w:eastAsia="fr-FR"/>
              </w:rPr>
              <w:t>Step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FB6B01" w:rsidTr="00882440">
        <w:trPr>
          <w:trHeight w:val="340"/>
          <w:jc w:val="center"/>
        </w:trPr>
        <w:tc>
          <w:tcPr>
            <w:tcW w:w="311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ind w:left="359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Capsulorhexis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13.3% [2.3  -  41.6]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12.5% [2.2 - 39.6]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25.0% [8.3 - 52.6]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37.5% [16.3 - 64.1]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87.5% [60.4 - 97.8]</w:t>
            </w:r>
          </w:p>
        </w:tc>
      </w:tr>
      <w:tr w:rsidR="00FB6B01" w:rsidTr="00882440">
        <w:trPr>
          <w:trHeight w:val="340"/>
          <w:jc w:val="center"/>
        </w:trPr>
        <w:tc>
          <w:tcPr>
            <w:tcW w:w="311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ind w:left="359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Phacoemulsification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0.0% [0.0 - 24.1]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6.2% [0.3 - 32.3]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12.5% [2.2 - 39.6]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56.2% [30.6 - 79.2]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56.2% [30.6 - 79.2]</w:t>
            </w:r>
          </w:p>
        </w:tc>
      </w:tr>
      <w:tr w:rsidR="00FB6B01" w:rsidTr="00882440">
        <w:trPr>
          <w:trHeight w:val="340"/>
          <w:jc w:val="center"/>
        </w:trPr>
        <w:tc>
          <w:tcPr>
            <w:tcW w:w="311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ind w:left="359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Hydromaneuver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18.8% [5.0 - 46.3]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62.5% [35.9 - 83.7]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81.2% [53.7 - 95.0]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56.2% [30.6 - 79.2]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81.2% [53.7 - 95.0]</w:t>
            </w:r>
          </w:p>
        </w:tc>
      </w:tr>
      <w:tr w:rsidR="00FB6B01" w:rsidTr="00882440">
        <w:trPr>
          <w:trHeight w:val="340"/>
          <w:jc w:val="center"/>
        </w:trPr>
        <w:tc>
          <w:tcPr>
            <w:tcW w:w="311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ind w:left="359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IOL insertion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0.0% [0.0 - 24.1]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25.0% [8.3 - 52.6]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31.2% [12.1 - 58.5]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62.5% [35.9 - 83.7]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75.0% [47.4 - 91.7]</w:t>
            </w:r>
          </w:p>
        </w:tc>
      </w:tr>
      <w:tr w:rsidR="00FB6B01" w:rsidTr="00882440">
        <w:trPr>
          <w:trHeight w:val="340"/>
          <w:jc w:val="center"/>
        </w:trPr>
        <w:tc>
          <w:tcPr>
            <w:tcW w:w="311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ind w:left="359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Irrigation and aspiration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6.2% [0.3 - 32.3]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43.8% [20.8 - 69.4]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62.5% [35.9 - 83.7]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87.5% [60.4 - 97.8]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93.8% [67.7 - 99.7]</w:t>
            </w:r>
          </w:p>
        </w:tc>
      </w:tr>
      <w:tr w:rsidR="00FB6B01" w:rsidTr="00882440">
        <w:trPr>
          <w:trHeight w:val="340"/>
          <w:jc w:val="center"/>
        </w:trPr>
        <w:tc>
          <w:tcPr>
            <w:tcW w:w="311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rPr>
                <w:rFonts w:ascii="Calibri" w:eastAsia="Times New Roman" w:hAnsi="Calibri" w:cs="Calibri"/>
                <w:b/>
                <w:i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iCs/>
                <w:color w:val="000000"/>
                <w:lang w:eastAsia="fr-FR"/>
              </w:rPr>
              <w:t>Total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FB6B01" w:rsidTr="00882440">
        <w:trPr>
          <w:trHeight w:val="340"/>
          <w:jc w:val="center"/>
        </w:trPr>
        <w:tc>
          <w:tcPr>
            <w:tcW w:w="311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ind w:left="359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Overall score ≥ 400/500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0.0% [0.0  -  24.1]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0.0% [0.0  -  24.1]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6.2% [0.3  -  32.3]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43.8% [20.8  -  69.4]</w:t>
            </w:r>
          </w:p>
        </w:tc>
        <w:tc>
          <w:tcPr>
            <w:tcW w:w="1928" w:type="dxa"/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75.0% [47.4  -  91.7]</w:t>
            </w:r>
          </w:p>
        </w:tc>
      </w:tr>
      <w:tr w:rsidR="00FB6B01" w:rsidTr="00882440">
        <w:trPr>
          <w:trHeight w:val="340"/>
          <w:jc w:val="center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ind w:left="359"/>
              <w:rPr>
                <w:rFonts w:ascii="Calibri" w:eastAsia="Times New Roman" w:hAnsi="Calibri" w:cs="Calibri"/>
                <w:i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fr-FR"/>
              </w:rPr>
              <w:t>Score ≥ 80/100 at each step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0.0% [0.0  -  24.1]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0.0% [0.0  -  24.1]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0.0% [0.0  -  24.1]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12.5% [ 2.1  -  39.6]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6B01" w:rsidRDefault="00FB6B01" w:rsidP="0088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25.0% [8.3  -  52.6]</w:t>
            </w:r>
          </w:p>
        </w:tc>
      </w:tr>
    </w:tbl>
    <w:p w:rsidR="00FB6B01" w:rsidRDefault="00FB6B01" w:rsidP="00FB6B01">
      <w:pPr>
        <w:spacing w:before="120" w:after="120" w:line="240" w:lineRule="auto"/>
        <w:ind w:left="851" w:right="816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success rate corresponds to the percentage of ophthalmology residents reaching the performance threshold (80/100 for each step, 400/500 for the overall procedure). The 95% confidence interval of each success rate is given in parentheses. </w:t>
      </w:r>
    </w:p>
    <w:p w:rsidR="00FB6B01" w:rsidRDefault="00FB6B01" w:rsidP="00FB6B01">
      <w:pPr>
        <w:spacing w:before="120" w:after="120" w:line="240" w:lineRule="auto"/>
        <w:ind w:left="851" w:right="816"/>
        <w:jc w:val="both"/>
        <w:rPr>
          <w:rFonts w:cstheme="minorHAnsi"/>
          <w:lang w:val="en-GB"/>
        </w:rPr>
        <w:sectPr w:rsidR="00FB6B01" w:rsidSect="00B908B3">
          <w:pgSz w:w="16838" w:h="11906"/>
          <w:pgMar w:top="1134" w:right="1418" w:bottom="1418" w:left="1134" w:header="709" w:footer="709" w:gutter="0"/>
          <w:cols w:space="708"/>
        </w:sectPr>
      </w:pPr>
      <w:r>
        <w:rPr>
          <w:rFonts w:cstheme="minorHAnsi"/>
          <w:lang w:val="en-GB"/>
        </w:rPr>
        <w:t>Abbreviations: A0, assessment at the beginning of the first session; A1, assessment at the end of the first session; A2, assessment at the end of the second session; A3, assessment at the end of the third session; A4, assessment at the end of the fourth session; IQR, interquartile range</w:t>
      </w:r>
    </w:p>
    <w:p w:rsidR="00FB6B01" w:rsidRDefault="00FB6B01" w:rsidP="00FB6B01">
      <w:pPr>
        <w:jc w:val="both"/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lastRenderedPageBreak/>
        <w:t>E-Figure 1</w:t>
      </w:r>
      <w:r>
        <w:rPr>
          <w:rFonts w:cstheme="minorHAnsi"/>
          <w:lang w:val="en-GB"/>
        </w:rPr>
        <w:t xml:space="preserve">: </w:t>
      </w:r>
      <w:r w:rsidRPr="000815BB">
        <w:rPr>
          <w:rFonts w:cstheme="minorHAnsi"/>
          <w:lang w:val="en-GB"/>
        </w:rPr>
        <w:t>Overlaid individual learning curves for the capsulorhexis step</w:t>
      </w:r>
    </w:p>
    <w:p w:rsidR="00FB6B01" w:rsidRDefault="00FB6B01" w:rsidP="00FB6B01">
      <w:pPr>
        <w:ind w:right="849"/>
        <w:jc w:val="both"/>
        <w:rPr>
          <w:rFonts w:cstheme="minorHAnsi"/>
          <w:lang w:val="en-GB"/>
        </w:rPr>
      </w:pPr>
      <w:r>
        <w:rPr>
          <w:rFonts w:cstheme="minorHAnsi"/>
          <w:noProof/>
          <w:highlight w:val="yellow"/>
          <w:lang w:eastAsia="fr-FR"/>
        </w:rPr>
        <w:drawing>
          <wp:anchor distT="0" distB="0" distL="114300" distR="114300" simplePos="0" relativeHeight="251659264" behindDoc="0" locked="0" layoutInCell="1" allowOverlap="1" wp14:anchorId="37A8896C" wp14:editId="57ACCDEC">
            <wp:simplePos x="56" y="93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48400" cy="4748400"/>
            <wp:effectExtent l="0" t="0" r="0" b="0"/>
            <wp:wrapTopAndBottom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verlaid_curves_cap2.tiff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4748400" cy="47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6B01" w:rsidRPr="00D331A1" w:rsidRDefault="00FB6B01" w:rsidP="00FB6B01">
      <w:pPr>
        <w:jc w:val="both"/>
        <w:rPr>
          <w:rFonts w:cstheme="minorHAnsi"/>
          <w:lang w:val="en-US"/>
        </w:rPr>
      </w:pPr>
      <w:r w:rsidRPr="00D331A1">
        <w:rPr>
          <w:rFonts w:cstheme="minorHAnsi"/>
          <w:lang w:val="en-US"/>
        </w:rPr>
        <w:t xml:space="preserve">The grey lines represent the </w:t>
      </w:r>
      <w:r>
        <w:rPr>
          <w:rFonts w:cstheme="minorHAnsi"/>
          <w:lang w:val="en-US"/>
        </w:rPr>
        <w:t xml:space="preserve">score </w:t>
      </w:r>
      <w:r w:rsidRPr="00D331A1">
        <w:rPr>
          <w:rFonts w:cstheme="minorHAnsi"/>
          <w:lang w:val="en-US"/>
        </w:rPr>
        <w:t>changes for each resident. The dotted horizontal line indicates the performance threshold (80/100). The bold black line shows the evolution of the median score.</w:t>
      </w:r>
    </w:p>
    <w:p w:rsidR="00FB6B01" w:rsidRDefault="00FB6B01" w:rsidP="00FB6B01">
      <w:p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br w:type="page" w:clear="all"/>
      </w:r>
    </w:p>
    <w:p w:rsidR="00FB6B01" w:rsidRDefault="00FB6B01" w:rsidP="00FB6B01">
      <w:pPr>
        <w:jc w:val="both"/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lastRenderedPageBreak/>
        <w:t>E-Figure 2</w:t>
      </w:r>
      <w:r>
        <w:rPr>
          <w:rFonts w:cstheme="minorHAnsi"/>
          <w:lang w:val="en-GB"/>
        </w:rPr>
        <w:t>: Multidimensional learning curve showing changes in score, completion time and odometer for hydromaneuver and intra ocular lens insertion steps</w:t>
      </w:r>
    </w:p>
    <w:p w:rsidR="00FB6B01" w:rsidRDefault="00FB6B01" w:rsidP="00FB6B01">
      <w:pPr>
        <w:rPr>
          <w:rFonts w:cstheme="minorHAnsi"/>
          <w:lang w:val="en-GB" w:eastAsia="fr-FR"/>
        </w:rPr>
      </w:pPr>
      <w:r>
        <w:rPr>
          <w:rFonts w:cstheme="minorHAnsi"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1B64C0D6" wp14:editId="03468D04">
            <wp:simplePos x="0" y="0"/>
            <wp:positionH relativeFrom="page">
              <wp:align>center</wp:align>
            </wp:positionH>
            <wp:positionV relativeFrom="paragraph">
              <wp:posOffset>269240</wp:posOffset>
            </wp:positionV>
            <wp:extent cx="6660000" cy="4442400"/>
            <wp:effectExtent l="0" t="0" r="7620" b="0"/>
            <wp:wrapTopAndBottom/>
            <wp:docPr id="7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fig2_overled_V3.tiff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6660000" cy="444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6B01" w:rsidRDefault="00FB6B01" w:rsidP="00FB6B01">
      <w:pPr>
        <w:ind w:left="-426" w:right="-569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 </w:t>
      </w:r>
    </w:p>
    <w:p w:rsidR="00685DE3" w:rsidRPr="00FB6B01" w:rsidRDefault="00FB6B01" w:rsidP="00FB6B01">
      <w:pPr>
        <w:rPr>
          <w:lang w:val="en-US"/>
        </w:rPr>
      </w:pPr>
      <w:r w:rsidRPr="00D331A1">
        <w:rPr>
          <w:rFonts w:cstheme="minorHAnsi"/>
          <w:lang w:val="en-US"/>
        </w:rPr>
        <w:t>In the box plots (columns</w:t>
      </w:r>
      <w:r>
        <w:rPr>
          <w:rFonts w:cstheme="minorHAnsi"/>
          <w:lang w:val="en-US"/>
        </w:rPr>
        <w:t xml:space="preserve"> 1, 3 and 4</w:t>
      </w:r>
      <w:r w:rsidRPr="00D331A1">
        <w:rPr>
          <w:rFonts w:cstheme="minorHAnsi"/>
          <w:lang w:val="en-US"/>
        </w:rPr>
        <w:t>), the edge of the box indicates the 25th and 75</w:t>
      </w:r>
      <w:r w:rsidRPr="00D331A1">
        <w:rPr>
          <w:rFonts w:cstheme="minorHAnsi"/>
          <w:vertAlign w:val="superscript"/>
          <w:lang w:val="en-US"/>
        </w:rPr>
        <w:t>th</w:t>
      </w:r>
      <w:r w:rsidRPr="00D331A1">
        <w:rPr>
          <w:rFonts w:cstheme="minorHAnsi"/>
          <w:lang w:val="en-US"/>
        </w:rPr>
        <w:t xml:space="preserve"> percentiles, the black line within the box indicat</w:t>
      </w:r>
      <w:r>
        <w:rPr>
          <w:rFonts w:cstheme="minorHAnsi"/>
          <w:lang w:val="en-US"/>
        </w:rPr>
        <w:t>es the median</w:t>
      </w:r>
      <w:r w:rsidRPr="00D331A1">
        <w:rPr>
          <w:rFonts w:cstheme="minorHAnsi"/>
          <w:lang w:val="en-US"/>
        </w:rPr>
        <w:t>. The upper whiskers extend from the edges of the box to the highest and lowest value</w:t>
      </w:r>
      <w:r>
        <w:rPr>
          <w:rFonts w:cstheme="minorHAnsi"/>
          <w:lang w:val="en-US"/>
        </w:rPr>
        <w:t>s</w:t>
      </w:r>
      <w:r w:rsidRPr="00D331A1">
        <w:rPr>
          <w:rFonts w:cstheme="minorHAnsi"/>
          <w:lang w:val="en-US"/>
        </w:rPr>
        <w:t xml:space="preserve"> up to 1.5 times the IQR. Data beyond the end of the whiskers are plotted individually as grey circles. The blue lines connect the medians across sessions. In column</w:t>
      </w:r>
      <w:r>
        <w:rPr>
          <w:rFonts w:cstheme="minorHAnsi"/>
          <w:lang w:val="en-US"/>
        </w:rPr>
        <w:t xml:space="preserve"> 2</w:t>
      </w:r>
      <w:r w:rsidRPr="00D331A1">
        <w:rPr>
          <w:rFonts w:cstheme="minorHAnsi"/>
          <w:lang w:val="en-US"/>
        </w:rPr>
        <w:t>, the individual overlaid curves show each ophthalmology resident</w:t>
      </w:r>
      <w:r>
        <w:rPr>
          <w:rFonts w:cstheme="minorHAnsi"/>
          <w:lang w:val="en-US"/>
        </w:rPr>
        <w:t>’</w:t>
      </w:r>
      <w:r w:rsidRPr="00D331A1">
        <w:rPr>
          <w:rFonts w:cstheme="minorHAnsi"/>
          <w:lang w:val="en-US"/>
        </w:rPr>
        <w:t xml:space="preserve">s </w:t>
      </w:r>
      <w:r>
        <w:rPr>
          <w:rFonts w:cstheme="minorHAnsi"/>
          <w:lang w:val="en-US"/>
        </w:rPr>
        <w:t xml:space="preserve">score </w:t>
      </w:r>
      <w:r w:rsidRPr="00D331A1">
        <w:rPr>
          <w:rFonts w:cstheme="minorHAnsi"/>
          <w:lang w:val="en-US"/>
        </w:rPr>
        <w:t>changes across sessions (grey lines). The bold black line shows the evolution of the median score across sessions</w:t>
      </w:r>
      <w:bookmarkStart w:id="0" w:name="_GoBack"/>
      <w:bookmarkEnd w:id="0"/>
    </w:p>
    <w:sectPr w:rsidR="00685DE3" w:rsidRPr="00FB6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01"/>
    <w:rsid w:val="00685DE3"/>
    <w:rsid w:val="00FB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B1B81-29CD-4602-9877-376D4078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B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6B0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1449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POINAS Alexandra</dc:creator>
  <cp:keywords/>
  <dc:description/>
  <cp:lastModifiedBy>POINAS Alexandra</cp:lastModifiedBy>
  <cp:revision>1</cp:revision>
  <dcterms:created xsi:type="dcterms:W3CDTF">2024-03-21T15:47:00Z</dcterms:created>
  <dcterms:modified xsi:type="dcterms:W3CDTF">2024-03-21T15:48:00Z</dcterms:modified>
</cp:coreProperties>
</file>