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cs="Times New Roman"/>
          <w:b/>
          <w:bCs/>
          <w:sz w:val="28"/>
          <w:szCs w:val="28"/>
        </w:rPr>
      </w:pPr>
      <w:bookmarkStart w:id="0" w:name="_Hlk127539094"/>
      <w:bookmarkEnd w:id="0"/>
      <w:bookmarkStart w:id="1" w:name="_Hlk134087853"/>
      <w:r>
        <w:rPr>
          <w:rFonts w:ascii="Times New Roman" w:hAnsi="Times New Roman" w:cs="Times New Roman"/>
          <w:b/>
          <w:bCs/>
          <w:sz w:val="28"/>
          <w:szCs w:val="28"/>
        </w:rPr>
        <w:t>Seasonal changes of brown carbon in an industrial city of central China: Importance of water-insoluble Br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C</w:t>
      </w:r>
      <w:bookmarkEnd w:id="1"/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Guangxuan Yan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a,*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</w:rPr>
        <w:t>Ziyi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Mingyang 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Jieqi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>Sai</w:t>
      </w:r>
      <w:r>
        <w:rPr>
          <w:rFonts w:ascii="Times New Roman" w:hAnsi="Times New Roman" w:cs="Times New Roman"/>
          <w:sz w:val="24"/>
          <w:szCs w:val="24"/>
        </w:rPr>
        <w:t xml:space="preserve"> Shang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Ziyang Shang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Jiayi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>Hao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Yu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Zhiguo Cao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Zirui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b,*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GoBack"/>
      <w:bookmarkEnd w:id="4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Key Laboratory for Yellow </w:t>
      </w:r>
      <w:r>
        <w:rPr>
          <w:rFonts w:hint="eastAsia"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iver and Huai </w:t>
      </w:r>
      <w:r>
        <w:rPr>
          <w:rFonts w:hint="eastAsia"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iver Water Environment and Pollution Control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Ministry of Education, </w:t>
      </w:r>
      <w:r>
        <w:rPr>
          <w:rFonts w:hint="eastAsia" w:ascii="Times New Roman" w:hAnsi="Times New Roman" w:cs="Times New Roman"/>
          <w:sz w:val="24"/>
          <w:szCs w:val="24"/>
        </w:rPr>
        <w:t>School</w:t>
      </w:r>
      <w:r>
        <w:rPr>
          <w:rFonts w:ascii="Times New Roman" w:hAnsi="Times New Roman" w:cs="Times New Roman"/>
          <w:sz w:val="24"/>
          <w:szCs w:val="24"/>
        </w:rPr>
        <w:t xml:space="preserve"> of Environment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Henan Normal University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Xinxiang 453007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China.  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Institute of Atmospheric Physics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</w:rPr>
        <w:t xml:space="preserve"> Chinese Academy of Sciences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</w:rPr>
        <w:t xml:space="preserve"> Beijing</w:t>
      </w:r>
      <w:r>
        <w:rPr>
          <w:rFonts w:ascii="Times New Roman" w:hAnsi="Times New Roman" w:cs="Times New Roman"/>
          <w:sz w:val="24"/>
          <w:szCs w:val="24"/>
        </w:rPr>
        <w:t xml:space="preserve"> 100029, China. 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Corresponding author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e-mail address: </w:t>
      </w:r>
      <w:r>
        <w:fldChar w:fldCharType="begin"/>
      </w:r>
      <w:r>
        <w:instrText xml:space="preserve"> HYPERLINK "mailto:guangxuan.yan@htu.edu.cn" </w:instrText>
      </w:r>
      <w:r>
        <w:fldChar w:fldCharType="separate"/>
      </w:r>
      <w:r>
        <w:rPr>
          <w:rStyle w:val="7"/>
          <w:rFonts w:ascii="Times New Roman" w:hAnsi="Times New Roman" w:cs="Times New Roman"/>
          <w:sz w:val="24"/>
          <w:szCs w:val="24"/>
        </w:rPr>
        <w:t>guangxuan.yan@htu.edu.cn</w:t>
      </w:r>
      <w:r>
        <w:rPr>
          <w:rStyle w:val="7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(G. Yan); </w:t>
      </w:r>
      <w:r>
        <w:fldChar w:fldCharType="begin"/>
      </w:r>
      <w:r>
        <w:instrText xml:space="preserve"> HYPERLINK "mailto:liuzirui@mail.iap.ac.cn" </w:instrText>
      </w:r>
      <w:r>
        <w:fldChar w:fldCharType="separate"/>
      </w:r>
      <w:r>
        <w:rPr>
          <w:rStyle w:val="7"/>
          <w:rFonts w:ascii="Times New Roman" w:hAnsi="Times New Roman" w:cs="Times New Roman"/>
          <w:sz w:val="24"/>
          <w:szCs w:val="24"/>
        </w:rPr>
        <w:t>liuzirui@mail.iap.ac.cn</w:t>
      </w:r>
      <w:r>
        <w:rPr>
          <w:rStyle w:val="7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(Z. Liu)</w:t>
      </w:r>
    </w:p>
    <w:p/>
    <w:p/>
    <w:p/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 Detailed reference values for A</w:t>
      </w:r>
      <w:r>
        <w:rPr>
          <w:rFonts w:ascii="Symbol" w:hAnsi="Symbol" w:cs="Times New Roman"/>
          <w:sz w:val="24"/>
          <w:szCs w:val="24"/>
          <w:vertAlign w:val="subscript"/>
        </w:rPr>
        <w:t></w:t>
      </w:r>
      <w:r>
        <w:rPr>
          <w:rFonts w:ascii="Times New Roman" w:hAnsi="Times New Roman" w:cs="Times New Roman"/>
          <w:sz w:val="24"/>
          <w:szCs w:val="24"/>
        </w:rPr>
        <w:t xml:space="preserve"> and B</w:t>
      </w:r>
      <w:r>
        <w:rPr>
          <w:rFonts w:ascii="Symbol" w:hAnsi="Symbol" w:cs="Times New Roman"/>
          <w:sz w:val="24"/>
          <w:szCs w:val="24"/>
          <w:vertAlign w:val="subscript"/>
        </w:rPr>
        <w:t></w:t>
      </w:r>
      <w:r>
        <w:rPr>
          <w:rFonts w:ascii="Times New Roman" w:hAnsi="Times New Roman" w:cs="Times New Roman"/>
          <w:sz w:val="24"/>
          <w:szCs w:val="24"/>
        </w:rPr>
        <w:t xml:space="preserve"> in Eq. (4) (Chen et al., 2015)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2328"/>
        <w:gridCol w:w="232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01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avelength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/nm</w:t>
            </w:r>
          </w:p>
        </w:tc>
        <w:tc>
          <w:tcPr>
            <w:tcW w:w="2328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Symbol" w:hAnsi="Symbol" w:cs="Times New Roman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2328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Symbol" w:hAnsi="Symbol" w:cs="Times New Roman"/>
                <w:sz w:val="24"/>
                <w:szCs w:val="24"/>
                <w:vertAlign w:val="subscript"/>
              </w:rPr>
              <w:t>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0.1007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0.1045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635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0.1261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780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0.1443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808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0.1475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980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0.1666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0.0528</w:t>
            </w:r>
          </w:p>
        </w:tc>
      </w:tr>
    </w:tbl>
    <w:p>
      <w:pPr>
        <w:pStyle w:val="14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14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14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14"/>
        <w:spacing w:line="480" w:lineRule="auto"/>
        <w:jc w:val="center"/>
        <w:rPr>
          <w:rFonts w:ascii="Times New Roman" w:hAnsi="Times New Roman" w:cs="Times New Roman" w:eastAsiaTheme="minorEastAsia"/>
          <w:color w:val="auto"/>
          <w:kern w:val="2"/>
        </w:rPr>
      </w:pPr>
      <w:r>
        <w:rPr>
          <w:rFonts w:ascii="Times New Roman" w:hAnsi="Times New Roman" w:cs="Times New Roman"/>
        </w:rPr>
        <w:t>Table S</w:t>
      </w:r>
      <w:r>
        <w:rPr>
          <w:rFonts w:hint="eastAsia" w:ascii="Times New Roman" w:hAnsi="Times New Roman" w:cs="Times New Roman"/>
        </w:rPr>
        <w:t>2</w:t>
      </w:r>
      <w:r>
        <w:rPr>
          <w:rFonts w:ascii="Times New Roman" w:hAnsi="Times New Roman" w:cs="Times New Roman" w:eastAsiaTheme="minorEastAsia"/>
          <w:color w:val="auto"/>
          <w:kern w:val="2"/>
        </w:rPr>
        <w:t xml:space="preserve"> Meteorological factors during the 2018-2019 sampling period</w:t>
      </w:r>
    </w:p>
    <w:tbl>
      <w:tblPr>
        <w:tblStyle w:val="8"/>
        <w:tblW w:w="4986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588"/>
        <w:gridCol w:w="1712"/>
        <w:gridCol w:w="1702"/>
        <w:gridCol w:w="158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3" w:type="pct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34" w:type="pct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GB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pring</w:t>
            </w:r>
          </w:p>
        </w:tc>
        <w:tc>
          <w:tcPr>
            <w:tcW w:w="1007" w:type="pct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GB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ummer</w:t>
            </w:r>
          </w:p>
        </w:tc>
        <w:tc>
          <w:tcPr>
            <w:tcW w:w="1001" w:type="pct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GB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utumn</w:t>
            </w:r>
          </w:p>
        </w:tc>
        <w:tc>
          <w:tcPr>
            <w:tcW w:w="934" w:type="pct"/>
            <w:tcBorders>
              <w:bottom w:val="single" w:color="auto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GB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Relative humidity (%)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43.39±20.75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58.21±16.50</w:t>
            </w:r>
          </w:p>
        </w:tc>
        <w:tc>
          <w:tcPr>
            <w:tcW w:w="1001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54.10±20.58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46.65±18.01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Pressure (hPa)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976.52±5.16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967.03±2.70</w:t>
            </w:r>
          </w:p>
        </w:tc>
        <w:tc>
          <w:tcPr>
            <w:tcW w:w="1001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983.56±2.62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988.97±6.15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Temperature (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15.79±4.59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26.86±2.52</w:t>
            </w:r>
          </w:p>
        </w:tc>
        <w:tc>
          <w:tcPr>
            <w:tcW w:w="1001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11.81±3.62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1.58±3.68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 (m/s)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3.48±1.03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2.75±0.68</w:t>
            </w:r>
          </w:p>
        </w:tc>
        <w:tc>
          <w:tcPr>
            <w:tcW w:w="1001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3.29±0.94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3.03±0.83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Mixing layer height (m)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603.27±95.39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583.83±123.77</w:t>
            </w:r>
          </w:p>
        </w:tc>
        <w:tc>
          <w:tcPr>
            <w:tcW w:w="1001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315.76±115.04</w:t>
            </w:r>
          </w:p>
        </w:tc>
        <w:tc>
          <w:tcPr>
            <w:tcW w:w="9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298.16±69.43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56530" cy="1547495"/>
            <wp:effectExtent l="0" t="0" r="1270" b="0"/>
            <wp:docPr id="18408621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862104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45695" r="-8" b="18787"/>
                    <a:stretch>
                      <a:fillRect/>
                    </a:stretch>
                  </pic:blipFill>
                  <pic:spPr>
                    <a:xfrm>
                      <a:off x="0" y="0"/>
                      <a:ext cx="5256981" cy="154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S1 Daily </w:t>
      </w:r>
      <w:r>
        <w:rPr>
          <w:rFonts w:hint="eastAsia" w:ascii="Symbol" w:hAnsi="Symbol" w:cs="Times New Roman"/>
          <w:sz w:val="24"/>
          <w:szCs w:val="24"/>
        </w:rPr>
        <w:t>a</w:t>
      </w:r>
      <w:r>
        <w:rPr>
          <w:rFonts w:ascii="Symbol" w:hAnsi="Symbol" w:cs="Times New Roman"/>
          <w:sz w:val="24"/>
          <w:szCs w:val="24"/>
        </w:rPr>
        <w:t>(l)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values</w:t>
      </w:r>
      <w:r>
        <w:rPr>
          <w:rFonts w:ascii="Times New Roman" w:hAnsi="Times New Roman" w:cs="Times New Roman"/>
          <w:sz w:val="24"/>
          <w:szCs w:val="24"/>
        </w:rPr>
        <w:t xml:space="preserve"> calculated </w:t>
      </w:r>
      <w:r>
        <w:rPr>
          <w:rFonts w:hint="eastAsia" w:ascii="Times New Roman" w:hAnsi="Times New Roman" w:cs="Times New Roman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Eq. (3)</w:t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drawing>
          <wp:inline distT="0" distB="0" distL="0" distR="0">
            <wp:extent cx="5323205" cy="1833880"/>
            <wp:effectExtent l="0" t="0" r="0" b="0"/>
            <wp:docPr id="13696660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666007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44921" r="-1071" b="19336"/>
                    <a:stretch>
                      <a:fillRect/>
                    </a:stretch>
                  </pic:blipFill>
                  <pic:spPr>
                    <a:xfrm>
                      <a:off x="0" y="0"/>
                      <a:ext cx="5323716" cy="183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S2 Daily AAE</w:t>
      </w:r>
      <w:r>
        <w:rPr>
          <w:rFonts w:ascii="Times New Roman" w:hAnsi="Times New Roman" w:cs="Times New Roman"/>
          <w:sz w:val="24"/>
          <w:szCs w:val="24"/>
          <w:vertAlign w:val="subscript"/>
        </w:rPr>
        <w:t>BC</w:t>
      </w:r>
      <w:r>
        <w:rPr>
          <w:rFonts w:ascii="Times New Roman" w:hAnsi="Times New Roman" w:cs="Times New Roman"/>
          <w:sz w:val="24"/>
          <w:szCs w:val="24"/>
        </w:rPr>
        <w:t xml:space="preserve"> and AAE</w:t>
      </w:r>
      <w:r>
        <w:rPr>
          <w:rFonts w:ascii="Times New Roman" w:hAnsi="Times New Roman" w:cs="Times New Roman"/>
          <w:sz w:val="24"/>
          <w:szCs w:val="24"/>
          <w:vertAlign w:val="subscript"/>
        </w:rPr>
        <w:t>BrC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values</w:t>
      </w:r>
      <w:r>
        <w:rPr>
          <w:rFonts w:ascii="Times New Roman" w:hAnsi="Times New Roman" w:cs="Times New Roman"/>
          <w:sz w:val="24"/>
          <w:szCs w:val="24"/>
        </w:rPr>
        <w:t xml:space="preserve"> calculated </w:t>
      </w:r>
      <w:r>
        <w:rPr>
          <w:rFonts w:hint="eastAsia" w:ascii="Times New Roman" w:hAnsi="Times New Roman" w:cs="Times New Roman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Eq. (8)</w:t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4166235" cy="3299460"/>
            <wp:effectExtent l="0" t="0" r="5715" b="0"/>
            <wp:docPr id="16307941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794113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2" t="7956" r="11888" b="2813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3299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135506567"/>
      <w:r>
        <w:rPr>
          <w:rFonts w:ascii="Times New Roman" w:hAnsi="Times New Roman" w:cs="Times New Roman"/>
          <w:sz w:val="24"/>
          <w:szCs w:val="24"/>
        </w:rPr>
        <w:t>Fig. S3 b</w:t>
      </w:r>
      <w:r>
        <w:rPr>
          <w:rFonts w:ascii="Times New Roman" w:hAnsi="Times New Roman" w:cs="Times New Roman"/>
          <w:sz w:val="24"/>
          <w:szCs w:val="24"/>
          <w:vertAlign w:val="subscript"/>
        </w:rPr>
        <w:t>abs, BrC, 405nm</w:t>
      </w:r>
      <w:r>
        <w:rPr>
          <w:rFonts w:ascii="Times New Roman" w:hAnsi="Times New Roman" w:cs="Times New Roman"/>
          <w:sz w:val="24"/>
          <w:szCs w:val="24"/>
        </w:rPr>
        <w:t xml:space="preserve"> and b</w:t>
      </w:r>
      <w:r>
        <w:rPr>
          <w:rFonts w:ascii="Times New Roman" w:hAnsi="Times New Roman" w:cs="Times New Roman"/>
          <w:sz w:val="24"/>
          <w:szCs w:val="24"/>
          <w:vertAlign w:val="subscript"/>
        </w:rPr>
        <w:t>abs, WS-BrC, 405nm</w:t>
      </w:r>
      <w:r>
        <w:rPr>
          <w:rFonts w:ascii="Times New Roman" w:hAnsi="Times New Roman" w:cs="Times New Roman"/>
          <w:sz w:val="24"/>
          <w:szCs w:val="24"/>
        </w:rPr>
        <w:t xml:space="preserve"> scatter plot</w:t>
      </w:r>
    </w:p>
    <w:bookmarkEnd w:id="2"/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601845" cy="3225165"/>
            <wp:effectExtent l="0" t="0" r="8255" b="0"/>
            <wp:docPr id="17763211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32113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4" t="9648" r="4920" b="3080"/>
                    <a:stretch>
                      <a:fillRect/>
                    </a:stretch>
                  </pic:blipFill>
                  <pic:spPr>
                    <a:xfrm>
                      <a:off x="0" y="0"/>
                      <a:ext cx="4604075" cy="322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Hlk135506920"/>
      <w:r>
        <w:rPr>
          <w:rFonts w:ascii="Times New Roman" w:hAnsi="Times New Roman" w:cs="Times New Roman"/>
          <w:sz w:val="24"/>
          <w:szCs w:val="24"/>
        </w:rPr>
        <w:t>Fig. S4 WSOC and SOC scatter plot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bookmarkEnd w:id="3"/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26050" cy="2362200"/>
            <wp:effectExtent l="0" t="0" r="0" b="0"/>
            <wp:docPr id="11213647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364779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14" r="843" b="15493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S5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Relationship between SOC, </w:t>
      </w:r>
      <w:r>
        <w:rPr>
          <w:rFonts w:hint="eastAsia"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>
        <w:rPr>
          <w:rFonts w:ascii="Times New Roman" w:hAnsi="Times New Roman" w:cs="Times New Roman"/>
          <w:sz w:val="24"/>
          <w:szCs w:val="24"/>
        </w:rPr>
        <w:t>, 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>, 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and b</w:t>
      </w:r>
      <w:r>
        <w:rPr>
          <w:rFonts w:ascii="Times New Roman" w:hAnsi="Times New Roman" w:cs="Times New Roman"/>
          <w:sz w:val="24"/>
          <w:szCs w:val="24"/>
          <w:vertAlign w:val="subscript"/>
        </w:rPr>
        <w:t>abs,BrC,405nm</w:t>
      </w:r>
      <w:r>
        <w:rPr>
          <w:rFonts w:ascii="Times New Roman" w:hAnsi="Times New Roman" w:cs="Times New Roman"/>
          <w:sz w:val="24"/>
          <w:szCs w:val="24"/>
        </w:rPr>
        <w:t xml:space="preserve"> using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econdary components/EC as color scales in autumn and winter. 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302250" cy="2438400"/>
            <wp:effectExtent l="0" t="0" r="0" b="0"/>
            <wp:docPr id="5841075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107556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95" r="-602" b="13288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S6 Relationship between SOC, </w:t>
      </w:r>
      <w:r>
        <w:rPr>
          <w:rFonts w:hint="eastAsia"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>
        <w:rPr>
          <w:rFonts w:ascii="Times New Roman" w:hAnsi="Times New Roman" w:cs="Times New Roman"/>
          <w:sz w:val="24"/>
          <w:szCs w:val="24"/>
        </w:rPr>
        <w:t>, 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>, 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and b</w:t>
      </w:r>
      <w:r>
        <w:rPr>
          <w:rFonts w:ascii="Times New Roman" w:hAnsi="Times New Roman" w:cs="Times New Roman"/>
          <w:sz w:val="24"/>
          <w:szCs w:val="24"/>
          <w:vertAlign w:val="subscript"/>
        </w:rPr>
        <w:t>abs,BrC,405nm</w:t>
      </w:r>
      <w:r>
        <w:rPr>
          <w:rFonts w:ascii="Times New Roman" w:hAnsi="Times New Roman" w:cs="Times New Roman"/>
          <w:sz w:val="24"/>
          <w:szCs w:val="24"/>
        </w:rPr>
        <w:t xml:space="preserve"> using WSOC/OC as color scales in autumn and winter.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677795" cy="2507615"/>
            <wp:effectExtent l="0" t="0" r="8255" b="6985"/>
            <wp:docPr id="13262192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219233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934" cy="251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S7 Graphical abstract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pStyle w:val="12"/>
        <w:spacing w:line="48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R</w:t>
      </w:r>
      <w:r>
        <w:rPr>
          <w:b/>
          <w:bCs/>
          <w:sz w:val="28"/>
          <w:szCs w:val="28"/>
        </w:rPr>
        <w:t>eferences</w:t>
      </w:r>
    </w:p>
    <w:p>
      <w:pPr>
        <w:pStyle w:val="12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Chen, L.W.A., Chow, J.C., Wang, X.L., Robles, J.A., Sumlin, B.J., Lowenthal, D.H., et al., 2015. Multi-wavelength optical measurement to enhance thermal/optical analysis for carbonaceous aerosol. Atmos. Meas. Tech. 8, 451-461. </w:t>
      </w:r>
      <w:r>
        <w:fldChar w:fldCharType="begin"/>
      </w:r>
      <w:r>
        <w:instrText xml:space="preserve"> HYPERLINK "https://doi.org/10.5194/amt-8-451-2015" </w:instrText>
      </w:r>
      <w:r>
        <w:fldChar w:fldCharType="separate"/>
      </w:r>
      <w:r>
        <w:rPr>
          <w:rStyle w:val="7"/>
          <w:sz w:val="24"/>
          <w:szCs w:val="24"/>
        </w:rPr>
        <w:t>https://doi.org/10.5194/amt-8-451-2015</w:t>
      </w:r>
      <w:r>
        <w:rPr>
          <w:rStyle w:val="7"/>
          <w:sz w:val="24"/>
          <w:szCs w:val="24"/>
        </w:rPr>
        <w:fldChar w:fldCharType="end"/>
      </w:r>
      <w:r>
        <w:rPr>
          <w:sz w:val="24"/>
          <w:szCs w:val="24"/>
        </w:rPr>
        <w:t>.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0MDhiYzI4OWM4MTVhYjVkMDFmYTc3YzMxMzI2MTgifQ=="/>
  </w:docVars>
  <w:rsids>
    <w:rsidRoot w:val="00F73791"/>
    <w:rsid w:val="00032160"/>
    <w:rsid w:val="00040DF5"/>
    <w:rsid w:val="000669C8"/>
    <w:rsid w:val="0008740E"/>
    <w:rsid w:val="000E4E15"/>
    <w:rsid w:val="001366C6"/>
    <w:rsid w:val="001463DF"/>
    <w:rsid w:val="00202234"/>
    <w:rsid w:val="00223D62"/>
    <w:rsid w:val="002544AB"/>
    <w:rsid w:val="00271DA0"/>
    <w:rsid w:val="00273A38"/>
    <w:rsid w:val="002B3B0C"/>
    <w:rsid w:val="002C56C4"/>
    <w:rsid w:val="002D3F04"/>
    <w:rsid w:val="002D7284"/>
    <w:rsid w:val="00314993"/>
    <w:rsid w:val="00474944"/>
    <w:rsid w:val="004C1765"/>
    <w:rsid w:val="004C3D6F"/>
    <w:rsid w:val="004C6F81"/>
    <w:rsid w:val="004F018A"/>
    <w:rsid w:val="00505151"/>
    <w:rsid w:val="00590BE4"/>
    <w:rsid w:val="005A5839"/>
    <w:rsid w:val="005D5A57"/>
    <w:rsid w:val="005E0685"/>
    <w:rsid w:val="005F1E74"/>
    <w:rsid w:val="0060065C"/>
    <w:rsid w:val="0064128D"/>
    <w:rsid w:val="0068449F"/>
    <w:rsid w:val="00695998"/>
    <w:rsid w:val="00695E1B"/>
    <w:rsid w:val="006C1FA1"/>
    <w:rsid w:val="00710F5E"/>
    <w:rsid w:val="00727475"/>
    <w:rsid w:val="00763D8A"/>
    <w:rsid w:val="0077385C"/>
    <w:rsid w:val="007824DA"/>
    <w:rsid w:val="00787E95"/>
    <w:rsid w:val="007938FF"/>
    <w:rsid w:val="007D35DF"/>
    <w:rsid w:val="007E318A"/>
    <w:rsid w:val="00812779"/>
    <w:rsid w:val="00827355"/>
    <w:rsid w:val="00842B2E"/>
    <w:rsid w:val="00866491"/>
    <w:rsid w:val="00870ADA"/>
    <w:rsid w:val="0087377B"/>
    <w:rsid w:val="00884043"/>
    <w:rsid w:val="00890CCA"/>
    <w:rsid w:val="0089479F"/>
    <w:rsid w:val="009116EC"/>
    <w:rsid w:val="00935008"/>
    <w:rsid w:val="009367C4"/>
    <w:rsid w:val="00936C65"/>
    <w:rsid w:val="0094353D"/>
    <w:rsid w:val="009A0180"/>
    <w:rsid w:val="009C3341"/>
    <w:rsid w:val="009C6BF7"/>
    <w:rsid w:val="009F02DF"/>
    <w:rsid w:val="00A01F7C"/>
    <w:rsid w:val="00AC6F58"/>
    <w:rsid w:val="00B54A8E"/>
    <w:rsid w:val="00B858BB"/>
    <w:rsid w:val="00BF5A90"/>
    <w:rsid w:val="00C0199A"/>
    <w:rsid w:val="00C54EF0"/>
    <w:rsid w:val="00C63D8E"/>
    <w:rsid w:val="00C6729B"/>
    <w:rsid w:val="00C756E0"/>
    <w:rsid w:val="00CC43B1"/>
    <w:rsid w:val="00CF576A"/>
    <w:rsid w:val="00D0273E"/>
    <w:rsid w:val="00E27665"/>
    <w:rsid w:val="00E91C83"/>
    <w:rsid w:val="00EB40A8"/>
    <w:rsid w:val="00EF34BC"/>
    <w:rsid w:val="00F53F3D"/>
    <w:rsid w:val="00F73791"/>
    <w:rsid w:val="00F82E71"/>
    <w:rsid w:val="00FB7770"/>
    <w:rsid w:val="00FE799F"/>
    <w:rsid w:val="1C8626B4"/>
    <w:rsid w:val="43B5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8">
    <w:name w:val="三线表"/>
    <w:basedOn w:val="4"/>
    <w:autoRedefine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bottom w:val="single" w:color="auto" w:sz="4" w:space="0"/>
        </w:tcBorders>
      </w:tcPr>
    </w:tblStylePr>
  </w:style>
  <w:style w:type="character" w:customStyle="1" w:styleId="9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99"/>
    <w:rPr>
      <w:sz w:val="18"/>
      <w:szCs w:val="18"/>
    </w:rPr>
  </w:style>
  <w:style w:type="character" w:customStyle="1" w:styleId="11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">
    <w:name w:val="EndNote Bibliography"/>
    <w:basedOn w:val="1"/>
    <w:link w:val="13"/>
    <w:autoRedefine/>
    <w:qFormat/>
    <w:uiPriority w:val="0"/>
    <w:rPr>
      <w:rFonts w:ascii="Times New Roman" w:hAnsi="Times New Roman" w:eastAsia="等线" w:cs="Times New Roman"/>
      <w:sz w:val="20"/>
    </w:rPr>
  </w:style>
  <w:style w:type="character" w:customStyle="1" w:styleId="13">
    <w:name w:val="EndNote Bibliography 字符"/>
    <w:basedOn w:val="6"/>
    <w:link w:val="12"/>
    <w:autoRedefine/>
    <w:qFormat/>
    <w:uiPriority w:val="0"/>
    <w:rPr>
      <w:rFonts w:ascii="Times New Roman" w:hAnsi="Times New Roman" w:eastAsia="等线" w:cs="Times New Roman"/>
      <w:sz w:val="20"/>
    </w:r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339</Words>
  <Characters>1933</Characters>
  <Lines>16</Lines>
  <Paragraphs>4</Paragraphs>
  <TotalTime>0</TotalTime>
  <ScaleCrop>false</ScaleCrop>
  <LinksUpToDate>false</LinksUpToDate>
  <CharactersWithSpaces>2268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2023-05-04T02:16:00Z</dcterms:created>
  <dc:creator>Lenovo</dc:creator>
  <cp:lastModifiedBy>-</cp:lastModifiedBy>
  <dcterms:modified xsi:type="dcterms:W3CDTF">2024-03-23T04:09:34Z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80AE03F82D54443686F986437D522532_13</vt:lpwstr>
  </property>
</Properties>
</file>