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03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034"/>
        <w:gridCol w:w="1731"/>
        <w:gridCol w:w="2508"/>
        <w:gridCol w:w="1670"/>
        <w:gridCol w:w="1088"/>
      </w:tblGrid>
      <w:tr w:rsidR="00D41A94" w:rsidRPr="00D41A94" w:rsidTr="00CE7868">
        <w:trPr>
          <w:trHeight w:val="525"/>
        </w:trPr>
        <w:tc>
          <w:tcPr>
            <w:tcW w:w="1003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Supplementary Table 1. </w:t>
            </w: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Comparison of baseline characteristics of patients receiving phentermine/topiramate and liraglutide </w:t>
            </w:r>
          </w:p>
        </w:tc>
      </w:tr>
      <w:tr w:rsidR="00D41A94" w:rsidRPr="00D41A94" w:rsidTr="00CE7868">
        <w:trPr>
          <w:trHeight w:val="405"/>
        </w:trPr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Total (n=411)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F11C06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P</w:t>
            </w:r>
            <w:r w:rsidR="00D41A94" w:rsidRPr="00D41A9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hentermine/topiramate (n=303)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 w:rsidR="00F11C0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L</w:t>
            </w:r>
            <w:r w:rsidRPr="00D41A9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iraglutide (n=108)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P-value</w:t>
            </w:r>
          </w:p>
        </w:tc>
      </w:tr>
      <w:tr w:rsidR="00D41A94" w:rsidRPr="00D41A94" w:rsidTr="00CE7868">
        <w:trPr>
          <w:trHeight w:val="405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Age, years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42.9 ± 11.8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43.2 ± 10.9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42.2 ± 14.0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0.535 </w:t>
            </w:r>
          </w:p>
        </w:tc>
      </w:tr>
      <w:tr w:rsidR="00D41A94" w:rsidRPr="00D41A94" w:rsidTr="00CE7868">
        <w:trPr>
          <w:trHeight w:val="405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Male gender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101 (24.6)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73 (24.1)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28 (25.9)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0.398 </w:t>
            </w:r>
          </w:p>
        </w:tc>
      </w:tr>
      <w:tr w:rsidR="00D41A94" w:rsidRPr="00D41A94" w:rsidTr="00CE7868">
        <w:trPr>
          <w:trHeight w:val="405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Body weight (kg)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82.0 ± 18.4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82.3 ± 18.4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81.2 ± 18.5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0.603 </w:t>
            </w:r>
          </w:p>
        </w:tc>
      </w:tr>
      <w:tr w:rsidR="00D41A94" w:rsidRPr="00D41A94" w:rsidTr="00CE7868">
        <w:trPr>
          <w:trHeight w:val="405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Body mass index (kg/m</w:t>
            </w: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vertAlign w:val="superscript"/>
              </w:rPr>
              <w:t>2</w:t>
            </w: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30.0 ± 5.4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30.1 ± 5.6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29.8 ± 4.7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0.641 </w:t>
            </w:r>
          </w:p>
        </w:tc>
      </w:tr>
      <w:tr w:rsidR="00D41A94" w:rsidRPr="00D41A94" w:rsidTr="00CE7868">
        <w:trPr>
          <w:trHeight w:val="405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Body fat (%)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38.9 ± 6.5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38.5 ± 6.7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39.6 ± 6.0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0.190 </w:t>
            </w:r>
          </w:p>
        </w:tc>
      </w:tr>
      <w:tr w:rsidR="00D41A94" w:rsidRPr="00D41A94" w:rsidTr="00CE7868">
        <w:trPr>
          <w:trHeight w:val="405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Diabetes mellitus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85 (20.7)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51 (16.8)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34 (31.5)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0.002 </w:t>
            </w:r>
          </w:p>
        </w:tc>
      </w:tr>
      <w:tr w:rsidR="00D41A94" w:rsidRPr="00D41A94" w:rsidTr="00CE7868">
        <w:trPr>
          <w:trHeight w:val="405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Hypertension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78 (19.0)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52 (17.2)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26 (24.1)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0.118 </w:t>
            </w:r>
          </w:p>
        </w:tc>
      </w:tr>
      <w:tr w:rsidR="00D41A94" w:rsidRPr="00D41A94" w:rsidTr="00CE7868">
        <w:trPr>
          <w:trHeight w:val="405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Dyslipidemia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64 (15.6)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43 (14.2)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21 (19.4)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0.217 </w:t>
            </w:r>
          </w:p>
        </w:tc>
      </w:tr>
      <w:tr w:rsidR="00D41A94" w:rsidRPr="00D41A94" w:rsidTr="00CE7868">
        <w:trPr>
          <w:trHeight w:val="405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Aspartate aminotransferase (IU/L)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28 ± 20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28 ± 20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29 ± 22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0.718 </w:t>
            </w:r>
          </w:p>
        </w:tc>
      </w:tr>
      <w:tr w:rsidR="00D41A94" w:rsidRPr="00D41A94" w:rsidTr="00CE7868">
        <w:trPr>
          <w:trHeight w:val="405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Alanine aminotransferase (IU/L)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32 ± 30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32 ± 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31 ± 26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0.794 </w:t>
            </w:r>
          </w:p>
        </w:tc>
      </w:tr>
      <w:tr w:rsidR="00D41A94" w:rsidRPr="00D41A94" w:rsidTr="00CE7868">
        <w:trPr>
          <w:trHeight w:val="405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Serum albumin (g/dL)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4.5 ± 0.3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4.5 ± 0.3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4.5 ± 0.3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0.815 </w:t>
            </w:r>
          </w:p>
        </w:tc>
      </w:tr>
      <w:tr w:rsidR="00D41A94" w:rsidRPr="00D41A94" w:rsidTr="00CE7868">
        <w:trPr>
          <w:trHeight w:val="405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Platelet count (</w:t>
            </w:r>
            <w:r w:rsidRPr="00D41A94">
              <w:rPr>
                <w:rFonts w:ascii="맑은 고딕" w:eastAsia="맑은 고딕" w:hAnsi="맑은 고딕" w:cs="Times New Roman" w:hint="eastAsia"/>
                <w:color w:val="000000"/>
                <w:kern w:val="0"/>
                <w:sz w:val="22"/>
              </w:rPr>
              <w:t>×</w:t>
            </w: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</w:t>
            </w: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vertAlign w:val="superscript"/>
              </w:rPr>
              <w:t>9</w:t>
            </w: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/L)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279 ± 63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280 ± 64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275 ± 58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0.432 </w:t>
            </w:r>
          </w:p>
        </w:tc>
      </w:tr>
      <w:tr w:rsidR="00D41A94" w:rsidRPr="00D41A94" w:rsidTr="00CE7868">
        <w:trPr>
          <w:trHeight w:val="405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Hepatic Steatosis Index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40.535 ± 7.252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40.634 ± 7.531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40.267 ± 6.467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0.654 </w:t>
            </w:r>
          </w:p>
        </w:tc>
      </w:tr>
      <w:tr w:rsidR="00D41A94" w:rsidRPr="00D41A94" w:rsidTr="00CE7868">
        <w:trPr>
          <w:trHeight w:val="405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FIB-4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0.885 ± 0.655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0.902 ± 0.723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0.838 ± 0.419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0.385 </w:t>
            </w:r>
          </w:p>
        </w:tc>
      </w:tr>
      <w:tr w:rsidR="00D41A94" w:rsidRPr="00D41A94" w:rsidTr="00CE7868">
        <w:trPr>
          <w:trHeight w:val="405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NAFLD fibrosis score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-2.481 ± 1.307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-2.516 ± 1.338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-2.386 ± 1.223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0.376 </w:t>
            </w:r>
          </w:p>
        </w:tc>
      </w:tr>
      <w:tr w:rsidR="00D41A94" w:rsidRPr="00D41A94" w:rsidTr="00CE7868">
        <w:trPr>
          <w:trHeight w:val="405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CAP (dB/m)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314 ± 38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319 ± 37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306 ± 37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0.063 </w:t>
            </w:r>
          </w:p>
        </w:tc>
      </w:tr>
      <w:tr w:rsidR="00D41A94" w:rsidRPr="00D41A94" w:rsidTr="00CE7868">
        <w:trPr>
          <w:trHeight w:val="405"/>
        </w:trPr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LS (kPa)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6.4 ± 3.3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6.7 ± 3.7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6.0 ± 2.6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41A94" w:rsidRP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0.316 </w:t>
            </w:r>
          </w:p>
        </w:tc>
      </w:tr>
      <w:tr w:rsidR="00D41A94" w:rsidRPr="00D41A94" w:rsidTr="00CE7868">
        <w:trPr>
          <w:trHeight w:val="405"/>
        </w:trPr>
        <w:tc>
          <w:tcPr>
            <w:tcW w:w="10031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41A94" w:rsidRDefault="00D41A94" w:rsidP="00D41A9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41A9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Variables are expressed as median (range), mean ± (SD), or n (%). </w:t>
            </w:r>
          </w:p>
          <w:p w:rsidR="00F11C06" w:rsidRPr="00D41A94" w:rsidRDefault="00F11C06" w:rsidP="00D41A9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:rsidR="002428A8" w:rsidRPr="00CE7868" w:rsidRDefault="00CE7868">
      <w:pPr>
        <w:rPr>
          <w:rFonts w:ascii="Times New Roman" w:hAnsi="Times New Roman" w:cs="Times New Roman"/>
          <w:sz w:val="22"/>
        </w:rPr>
      </w:pPr>
      <w:r w:rsidRPr="00CE7868">
        <w:rPr>
          <w:rFonts w:ascii="Times New Roman" w:hAnsi="Times New Roman" w:cs="Times New Roman"/>
          <w:sz w:val="22"/>
        </w:rPr>
        <w:t>FIB-4, fibrosis index based on four factors; CAP, controlled attenuation parameter; LS, liver stiffness.</w:t>
      </w:r>
    </w:p>
    <w:p w:rsidR="00F11C06" w:rsidRDefault="00F11C06"/>
    <w:p w:rsidR="00F11C06" w:rsidRDefault="00F11C06"/>
    <w:p w:rsidR="00F11C06" w:rsidRDefault="00F11C06"/>
    <w:p w:rsidR="00F11C06" w:rsidRDefault="00F11C06"/>
    <w:p w:rsidR="00F11C06" w:rsidRDefault="00F11C06"/>
    <w:p w:rsidR="00F11C06" w:rsidRDefault="00F11C06"/>
    <w:p w:rsidR="00F11C06" w:rsidRDefault="00F11C06"/>
    <w:p w:rsidR="00F11C06" w:rsidRDefault="00F11C06"/>
    <w:p w:rsidR="00F11C06" w:rsidRDefault="00F11C06"/>
    <w:tbl>
      <w:tblPr>
        <w:tblW w:w="697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27"/>
        <w:gridCol w:w="2976"/>
        <w:gridCol w:w="1869"/>
      </w:tblGrid>
      <w:tr w:rsidR="00F11C06" w:rsidRPr="00F11C06" w:rsidTr="00F11C06">
        <w:trPr>
          <w:trHeight w:val="330"/>
        </w:trPr>
        <w:tc>
          <w:tcPr>
            <w:tcW w:w="69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lastRenderedPageBreak/>
              <w:t>Supplementary Table 2</w:t>
            </w:r>
            <w:r w:rsidRPr="00F11C0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  <w:t>. Adverse events</w:t>
            </w:r>
          </w:p>
        </w:tc>
      </w:tr>
      <w:tr w:rsidR="00F11C06" w:rsidRPr="00F11C06" w:rsidTr="00F11C06">
        <w:trPr>
          <w:trHeight w:val="330"/>
        </w:trPr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6E5D62" w:rsidP="00F11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P</w:t>
            </w:r>
            <w:r w:rsidR="00F11C06" w:rsidRPr="00F11C0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hentermine/topiramate (n=303)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6E5D62" w:rsidP="00F11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L</w:t>
            </w:r>
            <w:r w:rsidR="00F11C06" w:rsidRPr="00F11C0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iraglutide (n=108)</w:t>
            </w:r>
          </w:p>
        </w:tc>
      </w:tr>
      <w:tr w:rsidR="00F11C06" w:rsidRPr="00F11C06" w:rsidTr="00F11C06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Any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148 (48.9)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67 (62.0)</w:t>
            </w:r>
          </w:p>
        </w:tc>
      </w:tr>
      <w:tr w:rsidR="00F11C06" w:rsidRPr="00F11C06" w:rsidTr="00F11C06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General weakness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21 (6.9)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 (10.2)</w:t>
            </w:r>
          </w:p>
        </w:tc>
      </w:tr>
      <w:tr w:rsidR="00F11C06" w:rsidRPr="00F11C06" w:rsidTr="00F11C06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Nausea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28 (9.2)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16 (14.8)</w:t>
            </w:r>
          </w:p>
        </w:tc>
      </w:tr>
      <w:tr w:rsidR="00F11C06" w:rsidRPr="00F11C06" w:rsidTr="00F11C06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8178B6" w:rsidP="00F11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Vomiting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22 (7.3)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18 (16.7)</w:t>
            </w:r>
          </w:p>
        </w:tc>
      </w:tr>
      <w:tr w:rsidR="00F11C06" w:rsidRPr="00F11C06" w:rsidTr="00F11C06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Constipation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36 (11.9)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 (9.3)</w:t>
            </w:r>
          </w:p>
        </w:tc>
      </w:tr>
      <w:tr w:rsidR="00F11C06" w:rsidRPr="00F11C06" w:rsidTr="00F11C06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Diarrhea 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 (4.0)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 (8.3)</w:t>
            </w:r>
          </w:p>
        </w:tc>
      </w:tr>
      <w:tr w:rsidR="00F11C06" w:rsidRPr="00F11C06" w:rsidTr="00F11C06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Hypertension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32 (10.6)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 (4.6)</w:t>
            </w:r>
          </w:p>
        </w:tc>
      </w:tr>
      <w:tr w:rsidR="00F11C06" w:rsidRPr="00F11C06" w:rsidTr="00F11C06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Paresthesia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63 (20.8)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 (0.9)</w:t>
            </w:r>
          </w:p>
        </w:tc>
      </w:tr>
      <w:tr w:rsidR="00F11C06" w:rsidRPr="00F11C06" w:rsidTr="00F11C06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Headache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32 (10.6)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 (8.3)</w:t>
            </w:r>
          </w:p>
        </w:tc>
      </w:tr>
      <w:tr w:rsidR="00F11C06" w:rsidRPr="00F11C06" w:rsidTr="00F11C06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Dizziness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28 (9.2)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 (4.6)</w:t>
            </w:r>
          </w:p>
        </w:tc>
      </w:tr>
      <w:tr w:rsidR="00F11C06" w:rsidRPr="00F11C06" w:rsidTr="00F11C06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Dry mouth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45 (14.9)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F11C06" w:rsidRPr="00F11C06" w:rsidTr="00F11C06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Palpitation 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22 (7.3)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F11C06" w:rsidRPr="00F11C06" w:rsidTr="00F11C06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Insomnia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32 (10.6)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 (11.1)</w:t>
            </w:r>
          </w:p>
        </w:tc>
      </w:tr>
      <w:tr w:rsidR="00F11C06" w:rsidRPr="00F11C06" w:rsidTr="00F11C06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Depression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42 (13.9)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 (10.2)</w:t>
            </w:r>
          </w:p>
        </w:tc>
      </w:tr>
      <w:tr w:rsidR="00F11C06" w:rsidRPr="00F11C06" w:rsidTr="00F11C06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Anxiety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31 (10.2)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 (7.4)</w:t>
            </w:r>
          </w:p>
        </w:tc>
      </w:tr>
      <w:tr w:rsidR="00F11C06" w:rsidRPr="00F11C06" w:rsidTr="00F11C06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Visual disturbance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 (0.7)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F11C06" w:rsidRPr="00F11C06" w:rsidTr="00F11C06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Pruritus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 (1.3)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 (1.9)</w:t>
            </w:r>
          </w:p>
        </w:tc>
      </w:tr>
      <w:tr w:rsidR="00F11C06" w:rsidRPr="00F11C06" w:rsidTr="00F11C06">
        <w:trPr>
          <w:trHeight w:val="330"/>
        </w:trPr>
        <w:tc>
          <w:tcPr>
            <w:tcW w:w="69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C06" w:rsidRPr="00F11C06" w:rsidRDefault="00F11C06" w:rsidP="00F11C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11C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Variables are expressed as n (%)</w:t>
            </w:r>
          </w:p>
        </w:tc>
      </w:tr>
    </w:tbl>
    <w:p w:rsidR="00F11C06" w:rsidRDefault="00F11C06"/>
    <w:p w:rsidR="008F48C6" w:rsidRDefault="008F48C6"/>
    <w:p w:rsidR="008F48C6" w:rsidRDefault="008F48C6"/>
    <w:p w:rsidR="008F48C6" w:rsidRDefault="008F48C6"/>
    <w:p w:rsidR="008F48C6" w:rsidRDefault="008F48C6"/>
    <w:p w:rsidR="008F48C6" w:rsidRDefault="008F48C6"/>
    <w:p w:rsidR="008F48C6" w:rsidRDefault="008F48C6"/>
    <w:p w:rsidR="008F48C6" w:rsidRDefault="008F48C6"/>
    <w:p w:rsidR="008F48C6" w:rsidRDefault="008F48C6"/>
    <w:p w:rsidR="008F48C6" w:rsidRDefault="008F48C6"/>
    <w:p w:rsidR="008F48C6" w:rsidRDefault="008F48C6"/>
    <w:p w:rsidR="008F48C6" w:rsidRDefault="008F48C6"/>
    <w:p w:rsidR="008F48C6" w:rsidRDefault="008F48C6"/>
    <w:p w:rsidR="008F48C6" w:rsidRDefault="00DA1C40">
      <w:r>
        <w:rPr>
          <w:noProof/>
        </w:rPr>
        <w:lastRenderedPageBreak/>
        <w:drawing>
          <wp:inline distT="0" distB="0" distL="0" distR="0">
            <wp:extent cx="5731510" cy="3223895"/>
            <wp:effectExtent l="0" t="0" r="254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F1_NEW_Obesity.t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48C6" w:rsidRPr="008F48C6" w:rsidRDefault="008F48C6">
      <w:pPr>
        <w:rPr>
          <w:rFonts w:ascii="Times New Roman" w:hAnsi="Times New Roman" w:cs="Times New Roman"/>
          <w:sz w:val="22"/>
        </w:rPr>
      </w:pPr>
      <w:r w:rsidRPr="008F48C6">
        <w:rPr>
          <w:rFonts w:ascii="Times New Roman" w:hAnsi="Times New Roman" w:cs="Times New Roman"/>
          <w:b/>
          <w:sz w:val="22"/>
        </w:rPr>
        <w:t>Supplementary Figure 1</w:t>
      </w:r>
      <w:r w:rsidRPr="008F48C6">
        <w:rPr>
          <w:rFonts w:ascii="Times New Roman" w:hAnsi="Times New Roman" w:cs="Times New Roman"/>
          <w:sz w:val="22"/>
        </w:rPr>
        <w:t>. Flow chart of study populations</w:t>
      </w:r>
    </w:p>
    <w:p w:rsidR="008F48C6" w:rsidRPr="00F11C06" w:rsidRDefault="008F48C6">
      <w:bookmarkStart w:id="0" w:name="_GoBack"/>
      <w:bookmarkEnd w:id="0"/>
    </w:p>
    <w:sectPr w:rsidR="008F48C6" w:rsidRPr="00F11C0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71629" w:rsidRDefault="00C71629" w:rsidP="00DA1C40">
      <w:pPr>
        <w:spacing w:after="0" w:line="240" w:lineRule="auto"/>
      </w:pPr>
      <w:r>
        <w:separator/>
      </w:r>
    </w:p>
  </w:endnote>
  <w:endnote w:type="continuationSeparator" w:id="0">
    <w:p w:rsidR="00C71629" w:rsidRDefault="00C71629" w:rsidP="00DA1C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71629" w:rsidRDefault="00C71629" w:rsidP="00DA1C40">
      <w:pPr>
        <w:spacing w:after="0" w:line="240" w:lineRule="auto"/>
      </w:pPr>
      <w:r>
        <w:separator/>
      </w:r>
    </w:p>
  </w:footnote>
  <w:footnote w:type="continuationSeparator" w:id="0">
    <w:p w:rsidR="00C71629" w:rsidRDefault="00C71629" w:rsidP="00DA1C4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A94"/>
    <w:rsid w:val="002428A8"/>
    <w:rsid w:val="006E5D62"/>
    <w:rsid w:val="008178B6"/>
    <w:rsid w:val="008F48C6"/>
    <w:rsid w:val="00C71629"/>
    <w:rsid w:val="00CE7868"/>
    <w:rsid w:val="00D41A94"/>
    <w:rsid w:val="00DA1C40"/>
    <w:rsid w:val="00F11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0F9CABC-D88B-46F2-B8A0-A70478C5D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1C4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DA1C40"/>
  </w:style>
  <w:style w:type="paragraph" w:styleId="a4">
    <w:name w:val="footer"/>
    <w:basedOn w:val="a"/>
    <w:link w:val="Char0"/>
    <w:uiPriority w:val="99"/>
    <w:unhideWhenUsed/>
    <w:rsid w:val="00DA1C4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DA1C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661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03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4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6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309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</dc:creator>
  <cp:keywords/>
  <dc:description/>
  <cp:lastModifiedBy>cha</cp:lastModifiedBy>
  <cp:revision>7</cp:revision>
  <dcterms:created xsi:type="dcterms:W3CDTF">2024-01-10T07:41:00Z</dcterms:created>
  <dcterms:modified xsi:type="dcterms:W3CDTF">2024-01-30T08:00:00Z</dcterms:modified>
</cp:coreProperties>
</file>