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43565" w14:textId="172701BF" w:rsidR="003F6409" w:rsidRPr="004513C7" w:rsidRDefault="003F6409" w:rsidP="001B1080">
      <w:pPr>
        <w:pStyle w:val="Heading1"/>
        <w:rPr>
          <w:rFonts w:ascii="Times New Roman" w:hAnsi="Times New Roman" w:cs="Times New Roman"/>
          <w:color w:val="000000" w:themeColor="text1"/>
          <w:sz w:val="24"/>
          <w:szCs w:val="24"/>
        </w:rPr>
      </w:pPr>
      <w:r>
        <w:rPr>
          <w:rStyle w:val="Heading2Char"/>
          <w:rFonts w:ascii="Times New Roman" w:hAnsi="Times New Roman" w:cs="Times New Roman"/>
          <w:color w:val="000000" w:themeColor="text1"/>
          <w:sz w:val="24"/>
          <w:szCs w:val="24"/>
        </w:rPr>
        <w:t xml:space="preserve">Appendix </w:t>
      </w:r>
      <w:r w:rsidR="00FB7FE5">
        <w:rPr>
          <w:rStyle w:val="Heading2Char"/>
          <w:rFonts w:ascii="Times New Roman" w:hAnsi="Times New Roman" w:cs="Times New Roman"/>
          <w:color w:val="000000" w:themeColor="text1"/>
          <w:sz w:val="24"/>
          <w:szCs w:val="24"/>
        </w:rPr>
        <w:t>A</w:t>
      </w:r>
      <w:r w:rsidRPr="004513C7">
        <w:rPr>
          <w:rStyle w:val="Heading2Char"/>
          <w:rFonts w:ascii="Times New Roman" w:hAnsi="Times New Roman" w:cs="Times New Roman"/>
          <w:color w:val="000000" w:themeColor="text1"/>
          <w:sz w:val="24"/>
          <w:szCs w:val="24"/>
        </w:rPr>
        <w:t>: Perioperative Interventions</w:t>
      </w:r>
    </w:p>
    <w:tbl>
      <w:tblPr>
        <w:tblStyle w:val="TableGrid"/>
        <w:tblW w:w="5000" w:type="pct"/>
        <w:tblLook w:val="04A0" w:firstRow="1" w:lastRow="0" w:firstColumn="1" w:lastColumn="0" w:noHBand="0" w:noVBand="1"/>
      </w:tblPr>
      <w:tblGrid>
        <w:gridCol w:w="6044"/>
        <w:gridCol w:w="1872"/>
        <w:gridCol w:w="1434"/>
      </w:tblGrid>
      <w:tr w:rsidR="003F6409" w:rsidRPr="004513C7" w14:paraId="15859566" w14:textId="77777777" w:rsidTr="006924F3">
        <w:tc>
          <w:tcPr>
            <w:tcW w:w="3232" w:type="pct"/>
            <w:shd w:val="clear" w:color="auto" w:fill="auto"/>
            <w:vAlign w:val="center"/>
          </w:tcPr>
          <w:p w14:paraId="45E1476C" w14:textId="77777777" w:rsidR="003F6409" w:rsidRPr="004513C7" w:rsidRDefault="003F6409" w:rsidP="001B1080">
            <w:pPr>
              <w:rPr>
                <w:rFonts w:ascii="Times New Roman" w:hAnsi="Times New Roman" w:cs="Times New Roman"/>
                <w:b/>
                <w:bCs/>
                <w:color w:val="000000" w:themeColor="text1"/>
                <w:lang w:val="en-CA"/>
              </w:rPr>
            </w:pPr>
          </w:p>
        </w:tc>
        <w:tc>
          <w:tcPr>
            <w:tcW w:w="1001" w:type="pct"/>
            <w:shd w:val="clear" w:color="auto" w:fill="auto"/>
            <w:vAlign w:val="center"/>
          </w:tcPr>
          <w:p w14:paraId="6E7DCB01" w14:textId="77777777" w:rsidR="003F6409" w:rsidRPr="004513C7" w:rsidRDefault="003F6409" w:rsidP="001B1080">
            <w:pPr>
              <w:jc w:val="cente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ERAS-outpatient</w:t>
            </w:r>
          </w:p>
          <w:p w14:paraId="6AE1DE38" w14:textId="77777777" w:rsidR="003F6409" w:rsidRPr="004513C7" w:rsidRDefault="003F6409" w:rsidP="001B1080">
            <w:pPr>
              <w:jc w:val="cente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N=48</w:t>
            </w:r>
          </w:p>
        </w:tc>
        <w:tc>
          <w:tcPr>
            <w:tcW w:w="767" w:type="pct"/>
            <w:shd w:val="clear" w:color="auto" w:fill="auto"/>
            <w:vAlign w:val="center"/>
          </w:tcPr>
          <w:p w14:paraId="76170A18" w14:textId="2F82C11D" w:rsidR="003F6409" w:rsidRPr="004513C7" w:rsidRDefault="003F6409" w:rsidP="001B1080">
            <w:pPr>
              <w:jc w:val="cente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S</w:t>
            </w:r>
            <w:r w:rsidR="008F458F">
              <w:rPr>
                <w:rFonts w:ascii="Times New Roman" w:hAnsi="Times New Roman" w:cs="Times New Roman"/>
                <w:b/>
                <w:bCs/>
                <w:color w:val="000000" w:themeColor="text1"/>
                <w:lang w:val="en-CA"/>
              </w:rPr>
              <w:t>TD</w:t>
            </w:r>
            <w:r w:rsidRPr="004513C7">
              <w:rPr>
                <w:rFonts w:ascii="Times New Roman" w:hAnsi="Times New Roman" w:cs="Times New Roman"/>
                <w:b/>
                <w:bCs/>
                <w:color w:val="000000" w:themeColor="text1"/>
                <w:lang w:val="en-CA"/>
              </w:rPr>
              <w:t>- inpatient</w:t>
            </w:r>
          </w:p>
          <w:p w14:paraId="6CEB2F61" w14:textId="77777777" w:rsidR="003F6409" w:rsidRPr="004513C7" w:rsidRDefault="003F6409" w:rsidP="001B1080">
            <w:pPr>
              <w:jc w:val="cente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N=48</w:t>
            </w:r>
          </w:p>
        </w:tc>
      </w:tr>
      <w:tr w:rsidR="003F6409" w:rsidRPr="004513C7" w14:paraId="6737B978" w14:textId="77777777" w:rsidTr="006924F3">
        <w:tc>
          <w:tcPr>
            <w:tcW w:w="3232" w:type="pct"/>
            <w:shd w:val="clear" w:color="auto" w:fill="auto"/>
            <w:vAlign w:val="center"/>
          </w:tcPr>
          <w:p w14:paraId="40C138F4" w14:textId="77777777" w:rsidR="003F6409" w:rsidRPr="004513C7" w:rsidRDefault="003F6409" w:rsidP="001B1080">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 xml:space="preserve">PREEMPTIVE ANALGESIA </w:t>
            </w:r>
          </w:p>
        </w:tc>
        <w:tc>
          <w:tcPr>
            <w:tcW w:w="1001" w:type="pct"/>
            <w:shd w:val="clear" w:color="auto" w:fill="auto"/>
            <w:vAlign w:val="center"/>
          </w:tcPr>
          <w:p w14:paraId="4FB2CCBF" w14:textId="77777777" w:rsidR="003F6409" w:rsidRPr="004513C7" w:rsidRDefault="003F6409" w:rsidP="001B1080">
            <w:pPr>
              <w:jc w:val="center"/>
              <w:rPr>
                <w:rFonts w:ascii="Times New Roman" w:hAnsi="Times New Roman" w:cs="Times New Roman"/>
                <w:color w:val="000000" w:themeColor="text1"/>
                <w:lang w:val="en-CA"/>
              </w:rPr>
            </w:pPr>
          </w:p>
        </w:tc>
        <w:tc>
          <w:tcPr>
            <w:tcW w:w="767" w:type="pct"/>
            <w:shd w:val="clear" w:color="auto" w:fill="auto"/>
            <w:vAlign w:val="center"/>
          </w:tcPr>
          <w:p w14:paraId="196588A4" w14:textId="77777777" w:rsidR="003F6409" w:rsidRPr="004513C7" w:rsidRDefault="003F6409" w:rsidP="001B1080">
            <w:pPr>
              <w:jc w:val="center"/>
              <w:rPr>
                <w:rFonts w:ascii="Times New Roman" w:hAnsi="Times New Roman" w:cs="Times New Roman"/>
                <w:color w:val="000000" w:themeColor="text1"/>
                <w:lang w:val="en-CA"/>
              </w:rPr>
            </w:pPr>
          </w:p>
        </w:tc>
      </w:tr>
      <w:tr w:rsidR="003F6409" w:rsidRPr="004513C7" w14:paraId="1E4DCB6C" w14:textId="77777777" w:rsidTr="006924F3">
        <w:tc>
          <w:tcPr>
            <w:tcW w:w="3232" w:type="pct"/>
            <w:shd w:val="clear" w:color="auto" w:fill="auto"/>
            <w:vAlign w:val="center"/>
          </w:tcPr>
          <w:p w14:paraId="5FD30BC8" w14:textId="52941571"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Acetaminophen 975-1950</w:t>
            </w:r>
            <w:r w:rsidR="0075475B">
              <w:rPr>
                <w:rFonts w:ascii="Times New Roman" w:hAnsi="Times New Roman" w:cs="Times New Roman"/>
                <w:color w:val="000000" w:themeColor="text1"/>
                <w:lang w:val="en-CA"/>
              </w:rPr>
              <w:t xml:space="preserve"> mg</w:t>
            </w:r>
            <w:r w:rsidRPr="004513C7">
              <w:rPr>
                <w:rFonts w:ascii="Times New Roman" w:hAnsi="Times New Roman" w:cs="Times New Roman"/>
                <w:color w:val="000000" w:themeColor="text1"/>
                <w:lang w:val="en-CA"/>
              </w:rPr>
              <w:t xml:space="preserve"> PO/IR</w:t>
            </w:r>
          </w:p>
        </w:tc>
        <w:tc>
          <w:tcPr>
            <w:tcW w:w="1001" w:type="pct"/>
            <w:shd w:val="clear" w:color="auto" w:fill="auto"/>
            <w:vAlign w:val="center"/>
          </w:tcPr>
          <w:p w14:paraId="3E77D3AB"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16002310"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36 (75.0%)</w:t>
            </w:r>
          </w:p>
        </w:tc>
      </w:tr>
      <w:tr w:rsidR="003F6409" w:rsidRPr="004513C7" w14:paraId="1C127234" w14:textId="77777777" w:rsidTr="006924F3">
        <w:tc>
          <w:tcPr>
            <w:tcW w:w="3232" w:type="pct"/>
            <w:shd w:val="clear" w:color="auto" w:fill="auto"/>
            <w:vAlign w:val="center"/>
          </w:tcPr>
          <w:p w14:paraId="2981A0F6" w14:textId="77777777"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Celecoxib 200-400 mg PO</w:t>
            </w:r>
          </w:p>
        </w:tc>
        <w:tc>
          <w:tcPr>
            <w:tcW w:w="1001" w:type="pct"/>
            <w:shd w:val="clear" w:color="auto" w:fill="auto"/>
            <w:vAlign w:val="center"/>
          </w:tcPr>
          <w:p w14:paraId="6D08D614"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45 (93.8%)</w:t>
            </w:r>
          </w:p>
        </w:tc>
        <w:tc>
          <w:tcPr>
            <w:tcW w:w="767" w:type="pct"/>
            <w:shd w:val="clear" w:color="auto" w:fill="auto"/>
            <w:vAlign w:val="center"/>
          </w:tcPr>
          <w:p w14:paraId="0709BFDF"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36 (75%)</w:t>
            </w:r>
          </w:p>
        </w:tc>
      </w:tr>
      <w:tr w:rsidR="003F6409" w:rsidRPr="004513C7" w14:paraId="5B7DB179" w14:textId="77777777" w:rsidTr="006924F3">
        <w:tc>
          <w:tcPr>
            <w:tcW w:w="3232" w:type="pct"/>
            <w:shd w:val="clear" w:color="auto" w:fill="auto"/>
            <w:vAlign w:val="center"/>
          </w:tcPr>
          <w:p w14:paraId="0AB40478" w14:textId="77777777"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Pregabalin 50 -150 PO</w:t>
            </w:r>
          </w:p>
        </w:tc>
        <w:tc>
          <w:tcPr>
            <w:tcW w:w="1001" w:type="pct"/>
            <w:shd w:val="clear" w:color="auto" w:fill="auto"/>
            <w:vAlign w:val="center"/>
          </w:tcPr>
          <w:p w14:paraId="371C1F53"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4CEA81AD"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7 (14.6%)</w:t>
            </w:r>
          </w:p>
        </w:tc>
      </w:tr>
      <w:tr w:rsidR="003F6409" w:rsidRPr="004513C7" w14:paraId="705D9AEA" w14:textId="77777777" w:rsidTr="006924F3">
        <w:tc>
          <w:tcPr>
            <w:tcW w:w="3232" w:type="pct"/>
            <w:shd w:val="clear" w:color="auto" w:fill="auto"/>
            <w:vAlign w:val="center"/>
          </w:tcPr>
          <w:p w14:paraId="000E50D1" w14:textId="77777777"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Gabapentin 400 mg PO</w:t>
            </w:r>
          </w:p>
        </w:tc>
        <w:tc>
          <w:tcPr>
            <w:tcW w:w="1001" w:type="pct"/>
            <w:shd w:val="clear" w:color="auto" w:fill="auto"/>
            <w:vAlign w:val="center"/>
          </w:tcPr>
          <w:p w14:paraId="403F1DF2"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506C9359"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3F6409" w:rsidRPr="004513C7" w14:paraId="6B797E11" w14:textId="77777777" w:rsidTr="006924F3">
        <w:tc>
          <w:tcPr>
            <w:tcW w:w="3232" w:type="pct"/>
            <w:shd w:val="clear" w:color="auto" w:fill="auto"/>
            <w:vAlign w:val="center"/>
          </w:tcPr>
          <w:p w14:paraId="520CFE30" w14:textId="77777777"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Oxycodone 10 mg PO</w:t>
            </w:r>
          </w:p>
        </w:tc>
        <w:tc>
          <w:tcPr>
            <w:tcW w:w="1001" w:type="pct"/>
            <w:shd w:val="clear" w:color="auto" w:fill="auto"/>
            <w:vAlign w:val="center"/>
          </w:tcPr>
          <w:p w14:paraId="578068F4"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46 (95.8%)</w:t>
            </w:r>
          </w:p>
        </w:tc>
        <w:tc>
          <w:tcPr>
            <w:tcW w:w="767" w:type="pct"/>
            <w:shd w:val="clear" w:color="auto" w:fill="auto"/>
            <w:vAlign w:val="center"/>
          </w:tcPr>
          <w:p w14:paraId="74473998"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r>
      <w:tr w:rsidR="003F6409" w:rsidRPr="004513C7" w14:paraId="26779315" w14:textId="77777777" w:rsidTr="006924F3">
        <w:tc>
          <w:tcPr>
            <w:tcW w:w="3232" w:type="pct"/>
            <w:shd w:val="clear" w:color="auto" w:fill="auto"/>
            <w:vAlign w:val="center"/>
          </w:tcPr>
          <w:p w14:paraId="2EE64A23" w14:textId="77777777" w:rsidR="003F6409" w:rsidRPr="004513C7" w:rsidRDefault="003F6409" w:rsidP="001B1080">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Tramadol (37.5mg) PO</w:t>
            </w:r>
          </w:p>
        </w:tc>
        <w:tc>
          <w:tcPr>
            <w:tcW w:w="1001" w:type="pct"/>
            <w:shd w:val="clear" w:color="auto" w:fill="auto"/>
            <w:vAlign w:val="center"/>
          </w:tcPr>
          <w:p w14:paraId="53B6F336"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2C9D37EF"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3F6409" w:rsidRPr="004513C7" w14:paraId="3A1950FA" w14:textId="77777777" w:rsidTr="006924F3">
        <w:tc>
          <w:tcPr>
            <w:tcW w:w="3232" w:type="pct"/>
            <w:shd w:val="clear" w:color="auto" w:fill="auto"/>
            <w:vAlign w:val="center"/>
          </w:tcPr>
          <w:p w14:paraId="54525C80" w14:textId="77777777" w:rsidR="003F6409" w:rsidRPr="004513C7" w:rsidRDefault="003F6409" w:rsidP="001B1080">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 xml:space="preserve">OPERATIVE ROOM MEDICATION </w:t>
            </w:r>
          </w:p>
        </w:tc>
        <w:tc>
          <w:tcPr>
            <w:tcW w:w="1001" w:type="pct"/>
            <w:shd w:val="clear" w:color="auto" w:fill="auto"/>
            <w:vAlign w:val="center"/>
          </w:tcPr>
          <w:p w14:paraId="76B38C77" w14:textId="77777777" w:rsidR="003F6409" w:rsidRPr="004513C7" w:rsidRDefault="003F6409" w:rsidP="001B1080">
            <w:pPr>
              <w:jc w:val="center"/>
              <w:rPr>
                <w:rFonts w:ascii="Times New Roman" w:hAnsi="Times New Roman" w:cs="Times New Roman"/>
                <w:color w:val="000000" w:themeColor="text1"/>
                <w:lang w:val="en-CA"/>
              </w:rPr>
            </w:pPr>
          </w:p>
        </w:tc>
        <w:tc>
          <w:tcPr>
            <w:tcW w:w="767" w:type="pct"/>
            <w:shd w:val="clear" w:color="auto" w:fill="auto"/>
            <w:vAlign w:val="center"/>
          </w:tcPr>
          <w:p w14:paraId="612095A2" w14:textId="77777777" w:rsidR="003F6409" w:rsidRPr="004513C7" w:rsidRDefault="003F6409" w:rsidP="001B1080">
            <w:pPr>
              <w:jc w:val="center"/>
              <w:rPr>
                <w:rFonts w:ascii="Times New Roman" w:hAnsi="Times New Roman" w:cs="Times New Roman"/>
                <w:color w:val="000000" w:themeColor="text1"/>
                <w:lang w:val="en-CA"/>
              </w:rPr>
            </w:pPr>
          </w:p>
        </w:tc>
      </w:tr>
      <w:tr w:rsidR="003F6409" w:rsidRPr="004513C7" w14:paraId="272FA66D" w14:textId="77777777" w:rsidTr="006924F3">
        <w:tc>
          <w:tcPr>
            <w:tcW w:w="3232" w:type="pct"/>
            <w:shd w:val="clear" w:color="auto" w:fill="auto"/>
            <w:vAlign w:val="center"/>
          </w:tcPr>
          <w:p w14:paraId="78445A96" w14:textId="77777777" w:rsidR="003F6409" w:rsidRPr="004513C7" w:rsidRDefault="003F6409" w:rsidP="001B1080">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Prophylactic antibiotics IV (any)</w:t>
            </w:r>
          </w:p>
        </w:tc>
        <w:tc>
          <w:tcPr>
            <w:tcW w:w="1001" w:type="pct"/>
            <w:shd w:val="clear" w:color="auto" w:fill="auto"/>
            <w:vAlign w:val="center"/>
          </w:tcPr>
          <w:p w14:paraId="71542F8A"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45B0B57F"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r>
      <w:tr w:rsidR="003F6409" w:rsidRPr="004513C7" w14:paraId="45F1A5C6" w14:textId="77777777" w:rsidTr="006924F3">
        <w:tc>
          <w:tcPr>
            <w:tcW w:w="3232" w:type="pct"/>
            <w:shd w:val="clear" w:color="auto" w:fill="auto"/>
            <w:vAlign w:val="center"/>
          </w:tcPr>
          <w:p w14:paraId="6A105C8A" w14:textId="77777777" w:rsidR="003F6409" w:rsidRPr="004513C7" w:rsidRDefault="003F6409" w:rsidP="001B1080">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Cefazoline 1-2g IV</w:t>
            </w:r>
          </w:p>
        </w:tc>
        <w:tc>
          <w:tcPr>
            <w:tcW w:w="1001" w:type="pct"/>
            <w:shd w:val="clear" w:color="auto" w:fill="auto"/>
            <w:vAlign w:val="center"/>
          </w:tcPr>
          <w:p w14:paraId="10BB1C23"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45 (93.8%)</w:t>
            </w:r>
          </w:p>
        </w:tc>
        <w:tc>
          <w:tcPr>
            <w:tcW w:w="767" w:type="pct"/>
            <w:shd w:val="clear" w:color="auto" w:fill="auto"/>
            <w:vAlign w:val="center"/>
          </w:tcPr>
          <w:p w14:paraId="753323CF"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41 (85.4%)</w:t>
            </w:r>
          </w:p>
        </w:tc>
      </w:tr>
      <w:tr w:rsidR="003F6409" w:rsidRPr="004513C7" w14:paraId="176ACE8E" w14:textId="77777777" w:rsidTr="006924F3">
        <w:tc>
          <w:tcPr>
            <w:tcW w:w="3232" w:type="pct"/>
            <w:shd w:val="clear" w:color="auto" w:fill="auto"/>
            <w:vAlign w:val="center"/>
          </w:tcPr>
          <w:p w14:paraId="62717438" w14:textId="77777777" w:rsidR="003F6409" w:rsidRPr="004513C7" w:rsidRDefault="003F6409" w:rsidP="001B1080">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 xml:space="preserve"> Vancomycin 1g IV</w:t>
            </w:r>
          </w:p>
        </w:tc>
        <w:tc>
          <w:tcPr>
            <w:tcW w:w="1001" w:type="pct"/>
            <w:shd w:val="clear" w:color="auto" w:fill="auto"/>
            <w:vAlign w:val="center"/>
          </w:tcPr>
          <w:p w14:paraId="358479A3"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w:t>
            </w:r>
          </w:p>
        </w:tc>
        <w:tc>
          <w:tcPr>
            <w:tcW w:w="767" w:type="pct"/>
            <w:shd w:val="clear" w:color="auto" w:fill="auto"/>
            <w:vAlign w:val="center"/>
          </w:tcPr>
          <w:p w14:paraId="363B2E45"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3F6409" w:rsidRPr="004513C7" w14:paraId="6850BF41" w14:textId="77777777" w:rsidTr="006924F3">
        <w:tc>
          <w:tcPr>
            <w:tcW w:w="3232" w:type="pct"/>
            <w:shd w:val="clear" w:color="auto" w:fill="auto"/>
            <w:vAlign w:val="center"/>
          </w:tcPr>
          <w:p w14:paraId="7782EDFB" w14:textId="77777777" w:rsidR="003F6409" w:rsidRPr="004513C7" w:rsidRDefault="003F6409" w:rsidP="001B1080">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 xml:space="preserve"> Tobramycin 160 mg IV</w:t>
            </w:r>
          </w:p>
        </w:tc>
        <w:tc>
          <w:tcPr>
            <w:tcW w:w="1001" w:type="pct"/>
            <w:shd w:val="clear" w:color="auto" w:fill="auto"/>
            <w:vAlign w:val="center"/>
          </w:tcPr>
          <w:p w14:paraId="74F0B290"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50FF2C3B"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3F6409" w:rsidRPr="004513C7" w14:paraId="71CE7FD5" w14:textId="77777777" w:rsidTr="006924F3">
        <w:tc>
          <w:tcPr>
            <w:tcW w:w="3232" w:type="pct"/>
            <w:shd w:val="clear" w:color="auto" w:fill="auto"/>
            <w:vAlign w:val="center"/>
          </w:tcPr>
          <w:p w14:paraId="0904EA40" w14:textId="77777777" w:rsidR="003F6409" w:rsidRPr="004513C7" w:rsidRDefault="003F6409" w:rsidP="001B1080">
            <w:pPr>
              <w:rPr>
                <w:rFonts w:ascii="Times New Roman" w:hAnsi="Times New Roman" w:cs="Times New Roman"/>
                <w:b/>
                <w:bCs/>
                <w:color w:val="000000" w:themeColor="text1"/>
                <w:lang w:val="en-CA"/>
              </w:rPr>
            </w:pPr>
            <w:proofErr w:type="spellStart"/>
            <w:r w:rsidRPr="004513C7">
              <w:rPr>
                <w:rFonts w:ascii="Times New Roman" w:hAnsi="Times New Roman" w:cs="Times New Roman"/>
                <w:b/>
                <w:bCs/>
                <w:color w:val="000000" w:themeColor="text1"/>
                <w:lang w:val="en-CA"/>
              </w:rPr>
              <w:t>Antinauseous</w:t>
            </w:r>
            <w:proofErr w:type="spellEnd"/>
            <w:r w:rsidRPr="004513C7">
              <w:rPr>
                <w:rFonts w:ascii="Times New Roman" w:hAnsi="Times New Roman" w:cs="Times New Roman"/>
                <w:b/>
                <w:bCs/>
                <w:color w:val="000000" w:themeColor="text1"/>
                <w:lang w:val="en-CA"/>
              </w:rPr>
              <w:t xml:space="preserve"> drug (any)</w:t>
            </w:r>
          </w:p>
        </w:tc>
        <w:tc>
          <w:tcPr>
            <w:tcW w:w="1001" w:type="pct"/>
            <w:shd w:val="clear" w:color="auto" w:fill="auto"/>
            <w:vAlign w:val="center"/>
          </w:tcPr>
          <w:p w14:paraId="1C9B495B"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0C59F311" w14:textId="77777777" w:rsidR="003F6409" w:rsidRPr="004513C7" w:rsidRDefault="003F6409" w:rsidP="001B1080">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10 (20.8%)</w:t>
            </w:r>
          </w:p>
        </w:tc>
      </w:tr>
      <w:tr w:rsidR="00D74B4F" w:rsidRPr="004513C7" w14:paraId="10C7D752" w14:textId="77777777" w:rsidTr="006924F3">
        <w:tc>
          <w:tcPr>
            <w:tcW w:w="3232" w:type="pct"/>
            <w:shd w:val="clear" w:color="auto" w:fill="auto"/>
            <w:vAlign w:val="center"/>
          </w:tcPr>
          <w:p w14:paraId="2852D504" w14:textId="0E6BBF18" w:rsidR="00D74B4F" w:rsidRPr="004513C7" w:rsidRDefault="00D74B4F" w:rsidP="00D74B4F">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Dexamethasone 4-12 mg IV</w:t>
            </w:r>
          </w:p>
        </w:tc>
        <w:tc>
          <w:tcPr>
            <w:tcW w:w="1001" w:type="pct"/>
            <w:shd w:val="clear" w:color="auto" w:fill="auto"/>
            <w:vAlign w:val="center"/>
          </w:tcPr>
          <w:p w14:paraId="0CC2C636" w14:textId="568EAD78"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45 (93.8%)</w:t>
            </w:r>
          </w:p>
        </w:tc>
        <w:tc>
          <w:tcPr>
            <w:tcW w:w="767" w:type="pct"/>
            <w:shd w:val="clear" w:color="auto" w:fill="auto"/>
            <w:vAlign w:val="center"/>
          </w:tcPr>
          <w:p w14:paraId="273AAB3C" w14:textId="3AA1C5D0"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D74B4F" w:rsidRPr="004513C7" w14:paraId="0597495B" w14:textId="77777777" w:rsidTr="006924F3">
        <w:tc>
          <w:tcPr>
            <w:tcW w:w="3232" w:type="pct"/>
            <w:shd w:val="clear" w:color="auto" w:fill="auto"/>
            <w:vAlign w:val="center"/>
          </w:tcPr>
          <w:p w14:paraId="1A0AF21C" w14:textId="77777777" w:rsidR="00D74B4F" w:rsidRPr="004513C7" w:rsidRDefault="00D74B4F" w:rsidP="00D74B4F">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Metoclopramide 10 mg IV</w:t>
            </w:r>
          </w:p>
        </w:tc>
        <w:tc>
          <w:tcPr>
            <w:tcW w:w="1001" w:type="pct"/>
            <w:shd w:val="clear" w:color="auto" w:fill="auto"/>
            <w:vAlign w:val="center"/>
          </w:tcPr>
          <w:p w14:paraId="30F6ED0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0BEFB24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w:t>
            </w:r>
          </w:p>
        </w:tc>
      </w:tr>
      <w:tr w:rsidR="00D74B4F" w:rsidRPr="004513C7" w14:paraId="1DA86C02" w14:textId="77777777" w:rsidTr="006924F3">
        <w:tc>
          <w:tcPr>
            <w:tcW w:w="3232" w:type="pct"/>
            <w:shd w:val="clear" w:color="auto" w:fill="auto"/>
            <w:vAlign w:val="center"/>
          </w:tcPr>
          <w:p w14:paraId="17E5C954" w14:textId="77777777" w:rsidR="00D74B4F" w:rsidRPr="004513C7" w:rsidRDefault="00D74B4F" w:rsidP="00D74B4F">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Ondansetron 4-8 mg IV</w:t>
            </w:r>
          </w:p>
        </w:tc>
        <w:tc>
          <w:tcPr>
            <w:tcW w:w="1001" w:type="pct"/>
            <w:shd w:val="clear" w:color="auto" w:fill="auto"/>
            <w:vAlign w:val="center"/>
          </w:tcPr>
          <w:p w14:paraId="656967D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w:t>
            </w:r>
          </w:p>
        </w:tc>
        <w:tc>
          <w:tcPr>
            <w:tcW w:w="767" w:type="pct"/>
            <w:shd w:val="clear" w:color="auto" w:fill="auto"/>
            <w:vAlign w:val="center"/>
          </w:tcPr>
          <w:p w14:paraId="17C28D0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8 (16.7%)</w:t>
            </w:r>
          </w:p>
        </w:tc>
      </w:tr>
      <w:tr w:rsidR="00D74B4F" w:rsidRPr="004513C7" w14:paraId="34295255" w14:textId="77777777" w:rsidTr="006924F3">
        <w:tc>
          <w:tcPr>
            <w:tcW w:w="3232" w:type="pct"/>
            <w:shd w:val="clear" w:color="auto" w:fill="auto"/>
            <w:vAlign w:val="center"/>
          </w:tcPr>
          <w:p w14:paraId="614439E1" w14:textId="77777777" w:rsidR="00D74B4F" w:rsidRPr="004513C7" w:rsidRDefault="00D74B4F" w:rsidP="00D74B4F">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Aprepitant 125 mg PO</w:t>
            </w:r>
          </w:p>
        </w:tc>
        <w:tc>
          <w:tcPr>
            <w:tcW w:w="1001" w:type="pct"/>
            <w:shd w:val="clear" w:color="auto" w:fill="auto"/>
            <w:vAlign w:val="center"/>
          </w:tcPr>
          <w:p w14:paraId="116D4C9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45 (93.8%)</w:t>
            </w:r>
          </w:p>
        </w:tc>
        <w:tc>
          <w:tcPr>
            <w:tcW w:w="767" w:type="pct"/>
            <w:shd w:val="clear" w:color="auto" w:fill="auto"/>
            <w:vAlign w:val="center"/>
          </w:tcPr>
          <w:p w14:paraId="291F631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r>
      <w:tr w:rsidR="00D74B4F" w:rsidRPr="004513C7" w14:paraId="3A37390E" w14:textId="77777777" w:rsidTr="006924F3">
        <w:tc>
          <w:tcPr>
            <w:tcW w:w="3232" w:type="pct"/>
            <w:shd w:val="clear" w:color="auto" w:fill="auto"/>
            <w:vAlign w:val="center"/>
          </w:tcPr>
          <w:p w14:paraId="30484CB7" w14:textId="77777777" w:rsidR="00D74B4F" w:rsidRPr="004513C7" w:rsidRDefault="00D74B4F" w:rsidP="00D74B4F">
            <w:pPr>
              <w:ind w:left="740"/>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Scopolamine 1.5mg TD</w:t>
            </w:r>
          </w:p>
        </w:tc>
        <w:tc>
          <w:tcPr>
            <w:tcW w:w="1001" w:type="pct"/>
            <w:shd w:val="clear" w:color="auto" w:fill="auto"/>
            <w:vAlign w:val="center"/>
          </w:tcPr>
          <w:p w14:paraId="60B3C70B"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44 (91.7%)</w:t>
            </w:r>
          </w:p>
        </w:tc>
        <w:tc>
          <w:tcPr>
            <w:tcW w:w="767" w:type="pct"/>
            <w:shd w:val="clear" w:color="auto" w:fill="auto"/>
            <w:vAlign w:val="center"/>
          </w:tcPr>
          <w:p w14:paraId="6BE7E48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r>
      <w:tr w:rsidR="00D74B4F" w:rsidRPr="004513C7" w14:paraId="33ABDA3C" w14:textId="77777777" w:rsidTr="006924F3">
        <w:tc>
          <w:tcPr>
            <w:tcW w:w="3232" w:type="pct"/>
            <w:shd w:val="clear" w:color="auto" w:fill="auto"/>
            <w:vAlign w:val="center"/>
          </w:tcPr>
          <w:p w14:paraId="7394AD78"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Vasopressor (any)</w:t>
            </w:r>
          </w:p>
        </w:tc>
        <w:tc>
          <w:tcPr>
            <w:tcW w:w="1001" w:type="pct"/>
            <w:shd w:val="clear" w:color="auto" w:fill="auto"/>
            <w:vAlign w:val="center"/>
          </w:tcPr>
          <w:p w14:paraId="29CFB73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36 (75.0%)</w:t>
            </w:r>
          </w:p>
        </w:tc>
        <w:tc>
          <w:tcPr>
            <w:tcW w:w="767" w:type="pct"/>
            <w:shd w:val="clear" w:color="auto" w:fill="auto"/>
            <w:vAlign w:val="center"/>
          </w:tcPr>
          <w:p w14:paraId="20B3FAD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19 (39.6%)</w:t>
            </w:r>
          </w:p>
        </w:tc>
      </w:tr>
      <w:tr w:rsidR="00D74B4F" w:rsidRPr="004513C7" w14:paraId="52FC1328" w14:textId="77777777" w:rsidTr="006924F3">
        <w:tc>
          <w:tcPr>
            <w:tcW w:w="3232" w:type="pct"/>
            <w:shd w:val="clear" w:color="auto" w:fill="auto"/>
            <w:vAlign w:val="center"/>
          </w:tcPr>
          <w:p w14:paraId="62E0037D" w14:textId="77777777" w:rsidR="00D74B4F" w:rsidRPr="004513C7" w:rsidRDefault="00D74B4F" w:rsidP="00D74B4F">
            <w:pPr>
              <w:ind w:left="882"/>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Ephedrine 5-10 mg IV</w:t>
            </w:r>
          </w:p>
        </w:tc>
        <w:tc>
          <w:tcPr>
            <w:tcW w:w="1001" w:type="pct"/>
            <w:shd w:val="clear" w:color="auto" w:fill="auto"/>
            <w:vAlign w:val="center"/>
          </w:tcPr>
          <w:p w14:paraId="46F2CE7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14 (29.2%)</w:t>
            </w:r>
          </w:p>
        </w:tc>
        <w:tc>
          <w:tcPr>
            <w:tcW w:w="767" w:type="pct"/>
            <w:shd w:val="clear" w:color="auto" w:fill="auto"/>
            <w:vAlign w:val="center"/>
          </w:tcPr>
          <w:p w14:paraId="6BE889D1"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13 (27.1%)</w:t>
            </w:r>
          </w:p>
        </w:tc>
      </w:tr>
      <w:tr w:rsidR="00D74B4F" w:rsidRPr="004513C7" w14:paraId="015D817E" w14:textId="77777777" w:rsidTr="006924F3">
        <w:tc>
          <w:tcPr>
            <w:tcW w:w="3232" w:type="pct"/>
            <w:shd w:val="clear" w:color="auto" w:fill="auto"/>
            <w:vAlign w:val="center"/>
          </w:tcPr>
          <w:p w14:paraId="2B77C5AA" w14:textId="77777777" w:rsidR="00D74B4F" w:rsidRPr="004513C7" w:rsidRDefault="00D74B4F" w:rsidP="00D74B4F">
            <w:pPr>
              <w:ind w:left="882"/>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Phenylephrine 100-400mg IV</w:t>
            </w:r>
          </w:p>
        </w:tc>
        <w:tc>
          <w:tcPr>
            <w:tcW w:w="1001" w:type="pct"/>
            <w:shd w:val="clear" w:color="auto" w:fill="auto"/>
            <w:vAlign w:val="center"/>
          </w:tcPr>
          <w:p w14:paraId="2CE6E652"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22 (45.8%)</w:t>
            </w:r>
          </w:p>
        </w:tc>
        <w:tc>
          <w:tcPr>
            <w:tcW w:w="767" w:type="pct"/>
            <w:shd w:val="clear" w:color="auto" w:fill="auto"/>
            <w:vAlign w:val="center"/>
          </w:tcPr>
          <w:p w14:paraId="311EB04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D74B4F" w:rsidRPr="004513C7" w14:paraId="68309AE5" w14:textId="77777777" w:rsidTr="006924F3">
        <w:tc>
          <w:tcPr>
            <w:tcW w:w="3232" w:type="pct"/>
            <w:shd w:val="clear" w:color="auto" w:fill="auto"/>
            <w:vAlign w:val="center"/>
          </w:tcPr>
          <w:p w14:paraId="7B3D6F40"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 xml:space="preserve">Tranexamic acid 500-1000 mg IV </w:t>
            </w:r>
          </w:p>
        </w:tc>
        <w:tc>
          <w:tcPr>
            <w:tcW w:w="1001" w:type="pct"/>
            <w:shd w:val="clear" w:color="auto" w:fill="auto"/>
            <w:vAlign w:val="center"/>
          </w:tcPr>
          <w:p w14:paraId="7EE1D81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47 (97.9%)</w:t>
            </w:r>
          </w:p>
        </w:tc>
        <w:tc>
          <w:tcPr>
            <w:tcW w:w="767" w:type="pct"/>
            <w:shd w:val="clear" w:color="auto" w:fill="auto"/>
            <w:vAlign w:val="center"/>
          </w:tcPr>
          <w:p w14:paraId="392C010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11 (22.9%)</w:t>
            </w:r>
          </w:p>
        </w:tc>
      </w:tr>
      <w:tr w:rsidR="00D74B4F" w:rsidRPr="004513C7" w14:paraId="25EE5EB2" w14:textId="77777777" w:rsidTr="006924F3">
        <w:tc>
          <w:tcPr>
            <w:tcW w:w="3232" w:type="pct"/>
            <w:shd w:val="clear" w:color="auto" w:fill="auto"/>
            <w:vAlign w:val="center"/>
          </w:tcPr>
          <w:p w14:paraId="2BB34139"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Benzodiazepine PO/IV</w:t>
            </w:r>
          </w:p>
        </w:tc>
        <w:tc>
          <w:tcPr>
            <w:tcW w:w="1001" w:type="pct"/>
            <w:shd w:val="clear" w:color="auto" w:fill="auto"/>
            <w:vAlign w:val="center"/>
          </w:tcPr>
          <w:p w14:paraId="16D9EF1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w:t>
            </w:r>
          </w:p>
        </w:tc>
        <w:tc>
          <w:tcPr>
            <w:tcW w:w="767" w:type="pct"/>
            <w:shd w:val="clear" w:color="auto" w:fill="auto"/>
            <w:vAlign w:val="center"/>
          </w:tcPr>
          <w:p w14:paraId="41B7095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13 (27.1%)</w:t>
            </w:r>
          </w:p>
        </w:tc>
      </w:tr>
      <w:tr w:rsidR="00D74B4F" w:rsidRPr="004513C7" w14:paraId="202A48EC" w14:textId="77777777" w:rsidTr="006924F3">
        <w:tc>
          <w:tcPr>
            <w:tcW w:w="3232" w:type="pct"/>
            <w:shd w:val="clear" w:color="auto" w:fill="auto"/>
            <w:vAlign w:val="center"/>
          </w:tcPr>
          <w:p w14:paraId="44B39174"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ANESTHESIA TYPE</w:t>
            </w:r>
          </w:p>
        </w:tc>
        <w:tc>
          <w:tcPr>
            <w:tcW w:w="1001" w:type="pct"/>
            <w:shd w:val="clear" w:color="auto" w:fill="auto"/>
            <w:vAlign w:val="center"/>
          </w:tcPr>
          <w:p w14:paraId="37DFF139" w14:textId="77777777" w:rsidR="00D74B4F" w:rsidRPr="004513C7" w:rsidRDefault="00D74B4F" w:rsidP="00D74B4F">
            <w:pPr>
              <w:jc w:val="center"/>
              <w:rPr>
                <w:rFonts w:ascii="Times New Roman" w:hAnsi="Times New Roman" w:cs="Times New Roman"/>
                <w:color w:val="000000" w:themeColor="text1"/>
                <w:lang w:val="en-CA"/>
              </w:rPr>
            </w:pPr>
          </w:p>
        </w:tc>
        <w:tc>
          <w:tcPr>
            <w:tcW w:w="767" w:type="pct"/>
            <w:shd w:val="clear" w:color="auto" w:fill="auto"/>
            <w:vAlign w:val="center"/>
          </w:tcPr>
          <w:p w14:paraId="2535E8A2" w14:textId="77777777" w:rsidR="00D74B4F" w:rsidRPr="004513C7" w:rsidRDefault="00D74B4F" w:rsidP="00D74B4F">
            <w:pPr>
              <w:jc w:val="center"/>
              <w:rPr>
                <w:rFonts w:ascii="Times New Roman" w:hAnsi="Times New Roman" w:cs="Times New Roman"/>
                <w:color w:val="000000" w:themeColor="text1"/>
                <w:lang w:val="en-CA"/>
              </w:rPr>
            </w:pPr>
          </w:p>
        </w:tc>
      </w:tr>
      <w:tr w:rsidR="00D74B4F" w:rsidRPr="004513C7" w14:paraId="7F4E49BE" w14:textId="77777777" w:rsidTr="006924F3">
        <w:tc>
          <w:tcPr>
            <w:tcW w:w="3232" w:type="pct"/>
            <w:shd w:val="clear" w:color="auto" w:fill="auto"/>
            <w:vAlign w:val="center"/>
          </w:tcPr>
          <w:p w14:paraId="113C56CF"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General</w:t>
            </w:r>
          </w:p>
        </w:tc>
        <w:tc>
          <w:tcPr>
            <w:tcW w:w="1001" w:type="pct"/>
            <w:shd w:val="clear" w:color="auto" w:fill="auto"/>
            <w:vAlign w:val="center"/>
          </w:tcPr>
          <w:p w14:paraId="52DB0B34"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c>
          <w:tcPr>
            <w:tcW w:w="767" w:type="pct"/>
            <w:shd w:val="clear" w:color="auto" w:fill="auto"/>
            <w:vAlign w:val="center"/>
          </w:tcPr>
          <w:p w14:paraId="3849B916"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9 (18.8%)</w:t>
            </w:r>
          </w:p>
        </w:tc>
      </w:tr>
      <w:tr w:rsidR="00D74B4F" w:rsidRPr="004513C7" w14:paraId="48480D1D" w14:textId="77777777" w:rsidTr="006924F3">
        <w:tc>
          <w:tcPr>
            <w:tcW w:w="3232" w:type="pct"/>
            <w:shd w:val="clear" w:color="auto" w:fill="auto"/>
            <w:vAlign w:val="center"/>
          </w:tcPr>
          <w:p w14:paraId="79700C89"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Spinal</w:t>
            </w:r>
          </w:p>
        </w:tc>
        <w:tc>
          <w:tcPr>
            <w:tcW w:w="1001" w:type="pct"/>
            <w:shd w:val="clear" w:color="auto" w:fill="auto"/>
            <w:vAlign w:val="center"/>
          </w:tcPr>
          <w:p w14:paraId="5A9DD031"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7348BB5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39 (81.3 %)</w:t>
            </w:r>
          </w:p>
        </w:tc>
      </w:tr>
      <w:tr w:rsidR="00D74B4F" w:rsidRPr="004513C7" w14:paraId="0C6E561A" w14:textId="77777777" w:rsidTr="006924F3">
        <w:tc>
          <w:tcPr>
            <w:tcW w:w="3232" w:type="pct"/>
            <w:shd w:val="clear" w:color="auto" w:fill="auto"/>
            <w:vAlign w:val="center"/>
          </w:tcPr>
          <w:p w14:paraId="0F2BEBFA"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Epidural</w:t>
            </w:r>
          </w:p>
        </w:tc>
        <w:tc>
          <w:tcPr>
            <w:tcW w:w="1001" w:type="pct"/>
            <w:shd w:val="clear" w:color="auto" w:fill="auto"/>
            <w:vAlign w:val="center"/>
          </w:tcPr>
          <w:p w14:paraId="23089284"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45 (93.8%)</w:t>
            </w:r>
          </w:p>
        </w:tc>
        <w:tc>
          <w:tcPr>
            <w:tcW w:w="767" w:type="pct"/>
            <w:shd w:val="clear" w:color="auto" w:fill="auto"/>
            <w:vAlign w:val="center"/>
          </w:tcPr>
          <w:p w14:paraId="1AE98A6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r>
      <w:tr w:rsidR="00D74B4F" w:rsidRPr="004513C7" w14:paraId="0EB04369" w14:textId="77777777" w:rsidTr="006924F3">
        <w:tc>
          <w:tcPr>
            <w:tcW w:w="3232" w:type="pct"/>
            <w:shd w:val="clear" w:color="auto" w:fill="auto"/>
            <w:vAlign w:val="center"/>
          </w:tcPr>
          <w:p w14:paraId="7FE9D305"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Lumbar block</w:t>
            </w:r>
          </w:p>
        </w:tc>
        <w:tc>
          <w:tcPr>
            <w:tcW w:w="1001" w:type="pct"/>
            <w:shd w:val="clear" w:color="auto" w:fill="auto"/>
            <w:vAlign w:val="center"/>
          </w:tcPr>
          <w:p w14:paraId="48517422"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77E10601"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1BA7A8FC" w14:textId="77777777" w:rsidTr="006924F3">
        <w:tc>
          <w:tcPr>
            <w:tcW w:w="3232" w:type="pct"/>
            <w:shd w:val="clear" w:color="auto" w:fill="auto"/>
            <w:vAlign w:val="center"/>
          </w:tcPr>
          <w:p w14:paraId="1B16CE1E"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Femoral block</w:t>
            </w:r>
          </w:p>
        </w:tc>
        <w:tc>
          <w:tcPr>
            <w:tcW w:w="1001" w:type="pct"/>
            <w:shd w:val="clear" w:color="auto" w:fill="auto"/>
            <w:vAlign w:val="center"/>
          </w:tcPr>
          <w:p w14:paraId="54EE068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4A7C3FC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D74B4F" w:rsidRPr="004513C7" w14:paraId="32B915C3" w14:textId="77777777" w:rsidTr="006924F3">
        <w:tc>
          <w:tcPr>
            <w:tcW w:w="3232" w:type="pct"/>
            <w:shd w:val="clear" w:color="auto" w:fill="auto"/>
            <w:vAlign w:val="center"/>
          </w:tcPr>
          <w:p w14:paraId="0A0A9069"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Local infiltration analgesia</w:t>
            </w:r>
            <w:r w:rsidRPr="004513C7">
              <w:rPr>
                <w:rFonts w:ascii="Times New Roman" w:hAnsi="Times New Roman" w:cs="Times New Roman"/>
                <w:color w:val="000000" w:themeColor="text1"/>
                <w:lang w:val="en-CA"/>
              </w:rPr>
              <w:fldChar w:fldCharType="begin"/>
            </w:r>
            <w:r w:rsidRPr="004513C7">
              <w:rPr>
                <w:rFonts w:ascii="Times New Roman" w:hAnsi="Times New Roman" w:cs="Times New Roman"/>
                <w:color w:val="000000" w:themeColor="text1"/>
                <w:lang w:val="en-CA"/>
              </w:rPr>
              <w:instrText xml:space="preserve"> ADDIN ZOTERO_ITEM CSL_CITATION {"citationID":"a1cv01pimmp","properties":{"formattedCitation":"\\super 6\\nosupersub{}","plainCitation":"6","noteIndex":0},"citationItems":[{"id":1097,"uris":["http://zotero.org/users/6046711/items/YHVT7P5K"],"uri":["http://zotero.org/users/6046711/items/YHVT7P5K"],"itemData":{"id":1097,"type":"article-journal","abstract":"Introduction\nAn attractive option to reduce hospital length of stay (LOS) after hip or knee joint replacement (THA, TKA) is to follow the Enhanced Recovery After Surgery principles (ERAS) to improve patient experience to a level where they will feel confident to leave for home earlier. The objective of this study was to evaluate the implementation of short-stay protocol following the ERAS principles.\nHypothesis\nWe hypothesized that our ERAS THA and TKA short-stay protocol would result in a lower complication rate, shorter hospital LOS and reduced direct health care costs compared to our standard procedure.\nMaterial and methods\nWe compared the complications rated according to Clavien-Dindo scale, hospital LOS and costs of the episode of care between a prospective cohort of 120 ERAS short-stay THA or TKA and a matched historical control group of 150 THA or TKA.\nResults\nSignificantly lower rate of Grade 1 and 2 complications in the ERAS short-stay group compared with the standard group (mean 0.8 vs 3.0, p&lt;0.001). No difference was found between the 2 groups for Grade 3, 4, or 5 complications. The mean hospital LOS for the ERAS short-stay group decreased by 2.8 days for the THAs (0.1 vs 2.9 days, p&lt;0.001) and 3.9 days for the TKAs (1.0 vs 4.9 days, p&lt;0.001). The mean estimated direct health care costs reduction with the ERAS short-stay protocol was 1489 CAD per THA and 4158 CAD per TKA.\nDiscussion\nIn many short-stay protocols, focus has shifted from ERAS goals of a reduction in complications and improved recuperation to use length of stay as the main factor of success. Implementation of an ERAS short-stay protocol for patients undergoing THA or TKA at our institution resulted not only in reduced hospital LOS, but also in improved patient care and reduced direct health care costs.\nLevel of evidence\nLevel II.","container-title":"Orthopaedics &amp; Traumatology: Surgery &amp; Research","DOI":"10.1016/j.otsr.2019.08.013","ISSN":"1877-0568","issue":"7","journalAbbreviation":"Orthopaedics &amp; Traumatology: Surgery &amp; Research","language":"en","page":"1237-1243","source":"ScienceDirect","title":"Enhanced recovery short-stay hip and knee joint replacement program improves patients outcomes while reducing hospital costs","volume":"105","author":[{"family":"Vendittoli","given":"Pascal-André"},{"family":"Pellei","given":"Karina"},{"family":"Desmeules","given":"François"},{"family":"Massé","given":"Vincent"},{"family":"Loubert","given":"Christian"},{"family":"Lavigne","given":"Martin"},{"family":"Fafard","given":"Josée"},{"family":"Fortier","given":"Louis-Philippe"}],"issued":{"date-parts":[["2019",11,1]]}}}],"schema":"https://github.com/citation-style-language/schema/raw/master/csl-citation.json"} </w:instrText>
            </w:r>
            <w:r w:rsidRPr="004513C7">
              <w:rPr>
                <w:rFonts w:ascii="Times New Roman" w:hAnsi="Times New Roman" w:cs="Times New Roman"/>
                <w:color w:val="000000" w:themeColor="text1"/>
                <w:lang w:val="en-CA"/>
              </w:rPr>
              <w:fldChar w:fldCharType="separate"/>
            </w:r>
            <w:r w:rsidRPr="004513C7">
              <w:rPr>
                <w:rFonts w:ascii="Times New Roman" w:hAnsi="Times New Roman" w:cs="Times New Roman"/>
                <w:color w:val="000000"/>
                <w:vertAlign w:val="superscript"/>
                <w:lang w:val="en-CA"/>
              </w:rPr>
              <w:t>6</w:t>
            </w:r>
            <w:r w:rsidRPr="004513C7">
              <w:rPr>
                <w:rFonts w:ascii="Times New Roman" w:hAnsi="Times New Roman" w:cs="Times New Roman"/>
                <w:color w:val="000000" w:themeColor="text1"/>
                <w:lang w:val="en-CA"/>
              </w:rPr>
              <w:fldChar w:fldCharType="end"/>
            </w:r>
            <w:r w:rsidRPr="004513C7">
              <w:rPr>
                <w:rFonts w:ascii="Times New Roman" w:hAnsi="Times New Roman" w:cs="Times New Roman"/>
                <w:color w:val="000000" w:themeColor="text1"/>
                <w:lang w:val="en-CA"/>
              </w:rPr>
              <w:t xml:space="preserve"> </w:t>
            </w:r>
          </w:p>
        </w:tc>
        <w:tc>
          <w:tcPr>
            <w:tcW w:w="1001" w:type="pct"/>
            <w:shd w:val="clear" w:color="auto" w:fill="auto"/>
            <w:vAlign w:val="center"/>
          </w:tcPr>
          <w:p w14:paraId="5252BCD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(100.0 %)</w:t>
            </w:r>
          </w:p>
        </w:tc>
        <w:tc>
          <w:tcPr>
            <w:tcW w:w="767" w:type="pct"/>
            <w:shd w:val="clear" w:color="auto" w:fill="auto"/>
            <w:vAlign w:val="center"/>
          </w:tcPr>
          <w:p w14:paraId="4B23AD3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13 (27.1%)</w:t>
            </w:r>
          </w:p>
        </w:tc>
      </w:tr>
      <w:tr w:rsidR="00D74B4F" w:rsidRPr="004513C7" w14:paraId="69343485" w14:textId="77777777" w:rsidTr="006924F3">
        <w:tc>
          <w:tcPr>
            <w:tcW w:w="3232" w:type="pct"/>
            <w:shd w:val="clear" w:color="auto" w:fill="auto"/>
            <w:vAlign w:val="center"/>
          </w:tcPr>
          <w:p w14:paraId="01849A35"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SUPERFICIAL WOUND CLOSURE</w:t>
            </w:r>
          </w:p>
        </w:tc>
        <w:tc>
          <w:tcPr>
            <w:tcW w:w="1001" w:type="pct"/>
            <w:shd w:val="clear" w:color="auto" w:fill="auto"/>
            <w:vAlign w:val="center"/>
          </w:tcPr>
          <w:p w14:paraId="571C97DA" w14:textId="77777777" w:rsidR="00D74B4F" w:rsidRPr="004513C7" w:rsidRDefault="00D74B4F" w:rsidP="00D74B4F">
            <w:pPr>
              <w:jc w:val="center"/>
              <w:rPr>
                <w:rFonts w:ascii="Times New Roman" w:hAnsi="Times New Roman" w:cs="Times New Roman"/>
                <w:color w:val="000000" w:themeColor="text1"/>
                <w:lang w:val="en-CA"/>
              </w:rPr>
            </w:pPr>
          </w:p>
        </w:tc>
        <w:tc>
          <w:tcPr>
            <w:tcW w:w="767" w:type="pct"/>
            <w:shd w:val="clear" w:color="auto" w:fill="auto"/>
            <w:vAlign w:val="center"/>
          </w:tcPr>
          <w:p w14:paraId="7EFA73AA" w14:textId="77777777" w:rsidR="00D74B4F" w:rsidRPr="004513C7" w:rsidRDefault="00D74B4F" w:rsidP="00D74B4F">
            <w:pPr>
              <w:jc w:val="center"/>
              <w:rPr>
                <w:rFonts w:ascii="Times New Roman" w:hAnsi="Times New Roman" w:cs="Times New Roman"/>
                <w:color w:val="000000" w:themeColor="text1"/>
                <w:lang w:val="en-CA"/>
              </w:rPr>
            </w:pPr>
          </w:p>
        </w:tc>
      </w:tr>
      <w:tr w:rsidR="00D74B4F" w:rsidRPr="004513C7" w14:paraId="6AE0FA7B" w14:textId="77777777" w:rsidTr="006924F3">
        <w:tc>
          <w:tcPr>
            <w:tcW w:w="3232" w:type="pct"/>
            <w:shd w:val="clear" w:color="auto" w:fill="auto"/>
            <w:vAlign w:val="center"/>
          </w:tcPr>
          <w:p w14:paraId="12CFC496"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Subcuticular sutures</w:t>
            </w:r>
          </w:p>
        </w:tc>
        <w:tc>
          <w:tcPr>
            <w:tcW w:w="1001" w:type="pct"/>
            <w:shd w:val="clear" w:color="auto" w:fill="auto"/>
            <w:vAlign w:val="center"/>
          </w:tcPr>
          <w:p w14:paraId="47B5620B"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147F18A4"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7B564382" w14:textId="77777777" w:rsidTr="006924F3">
        <w:tc>
          <w:tcPr>
            <w:tcW w:w="3232" w:type="pct"/>
            <w:shd w:val="clear" w:color="auto" w:fill="auto"/>
            <w:vAlign w:val="center"/>
          </w:tcPr>
          <w:p w14:paraId="53F635A5"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 xml:space="preserve">Subcuticular sutures + glue </w:t>
            </w:r>
          </w:p>
        </w:tc>
        <w:tc>
          <w:tcPr>
            <w:tcW w:w="1001" w:type="pct"/>
            <w:shd w:val="clear" w:color="auto" w:fill="auto"/>
            <w:vAlign w:val="center"/>
          </w:tcPr>
          <w:p w14:paraId="2774E99D"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4B32EA6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w:t>
            </w:r>
          </w:p>
        </w:tc>
      </w:tr>
      <w:tr w:rsidR="00D74B4F" w:rsidRPr="004513C7" w14:paraId="641BCE7F" w14:textId="77777777" w:rsidTr="006924F3">
        <w:tc>
          <w:tcPr>
            <w:tcW w:w="3232" w:type="pct"/>
            <w:shd w:val="clear" w:color="auto" w:fill="auto"/>
            <w:vAlign w:val="center"/>
          </w:tcPr>
          <w:p w14:paraId="3768BBE0"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Staples</w:t>
            </w:r>
          </w:p>
        </w:tc>
        <w:tc>
          <w:tcPr>
            <w:tcW w:w="1001" w:type="pct"/>
            <w:shd w:val="clear" w:color="auto" w:fill="auto"/>
            <w:vAlign w:val="center"/>
          </w:tcPr>
          <w:p w14:paraId="47FC5EB6"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37CA39E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41 (85.4%)</w:t>
            </w:r>
          </w:p>
        </w:tc>
      </w:tr>
      <w:tr w:rsidR="00D74B4F" w:rsidRPr="003F6409" w14:paraId="483490E2" w14:textId="77777777" w:rsidTr="006924F3">
        <w:tc>
          <w:tcPr>
            <w:tcW w:w="3232" w:type="pct"/>
            <w:shd w:val="clear" w:color="auto" w:fill="auto"/>
            <w:vAlign w:val="center"/>
          </w:tcPr>
          <w:p w14:paraId="19CDC2D8"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ANALGESIA IN THE FIRST 8 HOURS AFTER SURGERY</w:t>
            </w:r>
          </w:p>
        </w:tc>
        <w:tc>
          <w:tcPr>
            <w:tcW w:w="1001" w:type="pct"/>
            <w:shd w:val="clear" w:color="auto" w:fill="auto"/>
            <w:vAlign w:val="center"/>
          </w:tcPr>
          <w:p w14:paraId="05B890BE" w14:textId="77777777" w:rsidR="00D74B4F" w:rsidRPr="004513C7" w:rsidRDefault="00D74B4F" w:rsidP="00D74B4F">
            <w:pPr>
              <w:jc w:val="center"/>
              <w:rPr>
                <w:rFonts w:ascii="Times New Roman" w:hAnsi="Times New Roman" w:cs="Times New Roman"/>
                <w:color w:val="000000" w:themeColor="text1"/>
                <w:lang w:val="en-CA"/>
              </w:rPr>
            </w:pPr>
          </w:p>
        </w:tc>
        <w:tc>
          <w:tcPr>
            <w:tcW w:w="767" w:type="pct"/>
            <w:shd w:val="clear" w:color="auto" w:fill="auto"/>
            <w:vAlign w:val="center"/>
          </w:tcPr>
          <w:p w14:paraId="14958C50" w14:textId="77777777" w:rsidR="00D74B4F" w:rsidRPr="004513C7" w:rsidRDefault="00D74B4F" w:rsidP="00D74B4F">
            <w:pPr>
              <w:jc w:val="center"/>
              <w:rPr>
                <w:rFonts w:ascii="Times New Roman" w:hAnsi="Times New Roman" w:cs="Times New Roman"/>
                <w:color w:val="000000" w:themeColor="text1"/>
                <w:lang w:val="en-CA"/>
              </w:rPr>
            </w:pPr>
          </w:p>
        </w:tc>
      </w:tr>
      <w:tr w:rsidR="00D74B4F" w:rsidRPr="004513C7" w14:paraId="7E775CC3" w14:textId="77777777" w:rsidTr="006924F3">
        <w:tc>
          <w:tcPr>
            <w:tcW w:w="3232" w:type="pct"/>
            <w:shd w:val="clear" w:color="auto" w:fill="auto"/>
            <w:vAlign w:val="center"/>
          </w:tcPr>
          <w:p w14:paraId="23A7144E"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Acetaminophen 325-1950 PO/IR</w:t>
            </w:r>
          </w:p>
        </w:tc>
        <w:tc>
          <w:tcPr>
            <w:tcW w:w="1001" w:type="pct"/>
            <w:shd w:val="clear" w:color="auto" w:fill="auto"/>
            <w:vAlign w:val="center"/>
          </w:tcPr>
          <w:p w14:paraId="5BC2C4E2"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38 (79.2%)</w:t>
            </w:r>
          </w:p>
        </w:tc>
        <w:tc>
          <w:tcPr>
            <w:tcW w:w="767" w:type="pct"/>
            <w:shd w:val="clear" w:color="auto" w:fill="auto"/>
            <w:vAlign w:val="center"/>
          </w:tcPr>
          <w:p w14:paraId="5A07F60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36 (75.0%)</w:t>
            </w:r>
          </w:p>
        </w:tc>
      </w:tr>
      <w:tr w:rsidR="00D74B4F" w:rsidRPr="004513C7" w14:paraId="44B1A77D" w14:textId="77777777" w:rsidTr="006924F3">
        <w:tc>
          <w:tcPr>
            <w:tcW w:w="3232" w:type="pct"/>
            <w:shd w:val="clear" w:color="auto" w:fill="auto"/>
            <w:vAlign w:val="center"/>
          </w:tcPr>
          <w:p w14:paraId="442E9156"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Celecoxib 100-400 mg PO</w:t>
            </w:r>
          </w:p>
        </w:tc>
        <w:tc>
          <w:tcPr>
            <w:tcW w:w="1001" w:type="pct"/>
            <w:shd w:val="clear" w:color="auto" w:fill="auto"/>
            <w:vAlign w:val="center"/>
          </w:tcPr>
          <w:p w14:paraId="498A6AA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c>
          <w:tcPr>
            <w:tcW w:w="767" w:type="pct"/>
            <w:shd w:val="clear" w:color="auto" w:fill="auto"/>
            <w:vAlign w:val="center"/>
          </w:tcPr>
          <w:p w14:paraId="5E2B7844"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23 (47.2%)</w:t>
            </w:r>
          </w:p>
        </w:tc>
      </w:tr>
      <w:tr w:rsidR="00D74B4F" w:rsidRPr="004513C7" w14:paraId="021A5568" w14:textId="77777777" w:rsidTr="006924F3">
        <w:tc>
          <w:tcPr>
            <w:tcW w:w="3232" w:type="pct"/>
            <w:shd w:val="clear" w:color="auto" w:fill="auto"/>
            <w:vAlign w:val="center"/>
          </w:tcPr>
          <w:p w14:paraId="6E7337A1"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Ibuprofen (500mg PO + 1000mg IR)</w:t>
            </w:r>
          </w:p>
        </w:tc>
        <w:tc>
          <w:tcPr>
            <w:tcW w:w="1001" w:type="pct"/>
            <w:shd w:val="clear" w:color="auto" w:fill="auto"/>
            <w:vAlign w:val="center"/>
          </w:tcPr>
          <w:p w14:paraId="552A17CB"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4ADFADC6"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D74B4F" w:rsidRPr="004513C7" w14:paraId="6E063FB3" w14:textId="77777777" w:rsidTr="006924F3">
        <w:tc>
          <w:tcPr>
            <w:tcW w:w="3232" w:type="pct"/>
            <w:shd w:val="clear" w:color="auto" w:fill="auto"/>
            <w:vAlign w:val="center"/>
          </w:tcPr>
          <w:p w14:paraId="474B2D67"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Pregabalin 75 mg PO</w:t>
            </w:r>
          </w:p>
        </w:tc>
        <w:tc>
          <w:tcPr>
            <w:tcW w:w="1001" w:type="pct"/>
            <w:shd w:val="clear" w:color="auto" w:fill="auto"/>
            <w:vAlign w:val="center"/>
          </w:tcPr>
          <w:p w14:paraId="2A19B23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w:t>
            </w:r>
          </w:p>
        </w:tc>
        <w:tc>
          <w:tcPr>
            <w:tcW w:w="767" w:type="pct"/>
            <w:shd w:val="clear" w:color="auto" w:fill="auto"/>
            <w:vAlign w:val="center"/>
          </w:tcPr>
          <w:p w14:paraId="36D6EB1B"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3B59A955" w14:textId="77777777" w:rsidTr="006924F3">
        <w:tc>
          <w:tcPr>
            <w:tcW w:w="3232" w:type="pct"/>
            <w:shd w:val="clear" w:color="auto" w:fill="auto"/>
            <w:vAlign w:val="center"/>
          </w:tcPr>
          <w:p w14:paraId="00C6AE84"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lastRenderedPageBreak/>
              <w:t>Gabapentin 900 mg PO</w:t>
            </w:r>
          </w:p>
        </w:tc>
        <w:tc>
          <w:tcPr>
            <w:tcW w:w="1001" w:type="pct"/>
            <w:shd w:val="clear" w:color="auto" w:fill="auto"/>
            <w:vAlign w:val="center"/>
          </w:tcPr>
          <w:p w14:paraId="6121B46D"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6513957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D74B4F" w:rsidRPr="004513C7" w14:paraId="0FCB79A0" w14:textId="77777777" w:rsidTr="006924F3">
        <w:tc>
          <w:tcPr>
            <w:tcW w:w="3232" w:type="pct"/>
            <w:shd w:val="clear" w:color="auto" w:fill="auto"/>
            <w:vAlign w:val="center"/>
          </w:tcPr>
          <w:p w14:paraId="79C1F712"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Codeine PO</w:t>
            </w:r>
          </w:p>
        </w:tc>
        <w:tc>
          <w:tcPr>
            <w:tcW w:w="1001" w:type="pct"/>
            <w:shd w:val="clear" w:color="auto" w:fill="auto"/>
            <w:vAlign w:val="center"/>
          </w:tcPr>
          <w:p w14:paraId="21305B8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5734631F"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D74B4F" w:rsidRPr="004513C7" w14:paraId="59BBBA44" w14:textId="77777777" w:rsidTr="006924F3">
        <w:tc>
          <w:tcPr>
            <w:tcW w:w="3232" w:type="pct"/>
            <w:shd w:val="clear" w:color="auto" w:fill="auto"/>
            <w:vAlign w:val="center"/>
          </w:tcPr>
          <w:p w14:paraId="0C05AF0B"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Tramadol PO</w:t>
            </w:r>
          </w:p>
        </w:tc>
        <w:tc>
          <w:tcPr>
            <w:tcW w:w="1001" w:type="pct"/>
            <w:shd w:val="clear" w:color="auto" w:fill="auto"/>
            <w:vAlign w:val="center"/>
          </w:tcPr>
          <w:p w14:paraId="5118EA26"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27 (56.3%)</w:t>
            </w:r>
          </w:p>
        </w:tc>
        <w:tc>
          <w:tcPr>
            <w:tcW w:w="767" w:type="pct"/>
            <w:shd w:val="clear" w:color="auto" w:fill="auto"/>
            <w:vAlign w:val="center"/>
          </w:tcPr>
          <w:p w14:paraId="43DB93A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5 (10.4%)</w:t>
            </w:r>
          </w:p>
        </w:tc>
      </w:tr>
      <w:tr w:rsidR="00D74B4F" w:rsidRPr="004513C7" w14:paraId="36BE2B46" w14:textId="77777777" w:rsidTr="006924F3">
        <w:tc>
          <w:tcPr>
            <w:tcW w:w="3232" w:type="pct"/>
            <w:shd w:val="clear" w:color="auto" w:fill="auto"/>
            <w:vAlign w:val="center"/>
          </w:tcPr>
          <w:p w14:paraId="11E5ABAE"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Oxycodone PO/SC</w:t>
            </w:r>
          </w:p>
        </w:tc>
        <w:tc>
          <w:tcPr>
            <w:tcW w:w="1001" w:type="pct"/>
            <w:shd w:val="clear" w:color="auto" w:fill="auto"/>
            <w:vAlign w:val="center"/>
          </w:tcPr>
          <w:p w14:paraId="32F7F80C"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11 (22.9%)</w:t>
            </w:r>
          </w:p>
        </w:tc>
        <w:tc>
          <w:tcPr>
            <w:tcW w:w="767" w:type="pct"/>
            <w:shd w:val="clear" w:color="auto" w:fill="auto"/>
            <w:vAlign w:val="center"/>
          </w:tcPr>
          <w:p w14:paraId="6DF3A2EC"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768BFCAD" w14:textId="77777777" w:rsidTr="006924F3">
        <w:tc>
          <w:tcPr>
            <w:tcW w:w="3232" w:type="pct"/>
            <w:shd w:val="clear" w:color="auto" w:fill="auto"/>
            <w:vAlign w:val="center"/>
          </w:tcPr>
          <w:p w14:paraId="388EF9DE"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Hydromorphone PO/SC</w:t>
            </w:r>
          </w:p>
        </w:tc>
        <w:tc>
          <w:tcPr>
            <w:tcW w:w="1001" w:type="pct"/>
            <w:shd w:val="clear" w:color="auto" w:fill="auto"/>
            <w:vAlign w:val="center"/>
          </w:tcPr>
          <w:p w14:paraId="60148087"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(8.3 %)</w:t>
            </w:r>
          </w:p>
        </w:tc>
        <w:tc>
          <w:tcPr>
            <w:tcW w:w="767" w:type="pct"/>
            <w:shd w:val="clear" w:color="auto" w:fill="auto"/>
            <w:vAlign w:val="center"/>
          </w:tcPr>
          <w:p w14:paraId="0D93B4C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5 (10.4%)</w:t>
            </w:r>
          </w:p>
        </w:tc>
      </w:tr>
      <w:tr w:rsidR="00D74B4F" w:rsidRPr="004513C7" w14:paraId="4C636223" w14:textId="77777777" w:rsidTr="006924F3">
        <w:tc>
          <w:tcPr>
            <w:tcW w:w="3232" w:type="pct"/>
            <w:shd w:val="clear" w:color="auto" w:fill="auto"/>
            <w:vAlign w:val="center"/>
          </w:tcPr>
          <w:p w14:paraId="736981BD"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Fentanyl TD</w:t>
            </w:r>
          </w:p>
        </w:tc>
        <w:tc>
          <w:tcPr>
            <w:tcW w:w="1001" w:type="pct"/>
            <w:shd w:val="clear" w:color="auto" w:fill="auto"/>
            <w:vAlign w:val="center"/>
          </w:tcPr>
          <w:p w14:paraId="31A32A7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w:t>
            </w:r>
          </w:p>
        </w:tc>
        <w:tc>
          <w:tcPr>
            <w:tcW w:w="767" w:type="pct"/>
            <w:shd w:val="clear" w:color="auto" w:fill="auto"/>
            <w:vAlign w:val="center"/>
          </w:tcPr>
          <w:p w14:paraId="5BA10C58"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40077C9D" w14:textId="77777777" w:rsidTr="006924F3">
        <w:tc>
          <w:tcPr>
            <w:tcW w:w="3232" w:type="pct"/>
            <w:shd w:val="clear" w:color="auto" w:fill="auto"/>
            <w:vAlign w:val="center"/>
          </w:tcPr>
          <w:p w14:paraId="1BB8AE36"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Meperidine PO</w:t>
            </w:r>
          </w:p>
        </w:tc>
        <w:tc>
          <w:tcPr>
            <w:tcW w:w="1001" w:type="pct"/>
            <w:shd w:val="clear" w:color="auto" w:fill="auto"/>
            <w:vAlign w:val="center"/>
          </w:tcPr>
          <w:p w14:paraId="17000AC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77A996B4"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w:t>
            </w:r>
          </w:p>
        </w:tc>
      </w:tr>
      <w:tr w:rsidR="00D74B4F" w:rsidRPr="004513C7" w14:paraId="2941D7AA" w14:textId="77777777" w:rsidTr="006924F3">
        <w:tc>
          <w:tcPr>
            <w:tcW w:w="3232" w:type="pct"/>
            <w:shd w:val="clear" w:color="auto" w:fill="auto"/>
            <w:vAlign w:val="center"/>
          </w:tcPr>
          <w:p w14:paraId="7A446B5F"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Nalbuphine IV/IM</w:t>
            </w:r>
          </w:p>
        </w:tc>
        <w:tc>
          <w:tcPr>
            <w:tcW w:w="1001" w:type="pct"/>
            <w:shd w:val="clear" w:color="auto" w:fill="auto"/>
            <w:vAlign w:val="center"/>
          </w:tcPr>
          <w:p w14:paraId="2DD821A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578F2316"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r>
      <w:tr w:rsidR="00D74B4F" w:rsidRPr="004513C7" w14:paraId="02B93F23" w14:textId="77777777" w:rsidTr="006924F3">
        <w:tc>
          <w:tcPr>
            <w:tcW w:w="3232" w:type="pct"/>
            <w:shd w:val="clear" w:color="auto" w:fill="auto"/>
            <w:vAlign w:val="center"/>
          </w:tcPr>
          <w:p w14:paraId="5DFB51F9"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Patient control analgesia (morphine, hydromorphone, fentanyl) IV</w:t>
            </w:r>
          </w:p>
        </w:tc>
        <w:tc>
          <w:tcPr>
            <w:tcW w:w="1001" w:type="pct"/>
            <w:shd w:val="clear" w:color="auto" w:fill="auto"/>
            <w:vAlign w:val="center"/>
          </w:tcPr>
          <w:p w14:paraId="0D84A6A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34FA55C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28 (53.3%)</w:t>
            </w:r>
          </w:p>
        </w:tc>
      </w:tr>
      <w:tr w:rsidR="00D74B4F" w:rsidRPr="004513C7" w14:paraId="763FE6A0" w14:textId="77777777" w:rsidTr="006924F3">
        <w:tc>
          <w:tcPr>
            <w:tcW w:w="3232" w:type="pct"/>
            <w:shd w:val="clear" w:color="auto" w:fill="auto"/>
            <w:vAlign w:val="center"/>
          </w:tcPr>
          <w:p w14:paraId="17B7C9A8"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Continuous epidural analgesia</w:t>
            </w:r>
          </w:p>
        </w:tc>
        <w:tc>
          <w:tcPr>
            <w:tcW w:w="1001" w:type="pct"/>
            <w:shd w:val="clear" w:color="auto" w:fill="auto"/>
            <w:vAlign w:val="center"/>
          </w:tcPr>
          <w:p w14:paraId="00BFDE6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5BC3813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(4.2 %)</w:t>
            </w:r>
          </w:p>
        </w:tc>
      </w:tr>
      <w:tr w:rsidR="00D74B4F" w:rsidRPr="003F6409" w14:paraId="0A655876" w14:textId="77777777" w:rsidTr="006924F3">
        <w:tc>
          <w:tcPr>
            <w:tcW w:w="3232" w:type="pct"/>
            <w:shd w:val="clear" w:color="auto" w:fill="auto"/>
            <w:vAlign w:val="center"/>
          </w:tcPr>
          <w:p w14:paraId="0C7F8BC7"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OTHER DRUG IN THE FIRST 8 HOURS AFTER SURGERY</w:t>
            </w:r>
          </w:p>
        </w:tc>
        <w:tc>
          <w:tcPr>
            <w:tcW w:w="1001" w:type="pct"/>
            <w:shd w:val="clear" w:color="auto" w:fill="auto"/>
            <w:vAlign w:val="center"/>
          </w:tcPr>
          <w:p w14:paraId="14220A51" w14:textId="77777777" w:rsidR="00D74B4F" w:rsidRPr="004513C7" w:rsidRDefault="00D74B4F" w:rsidP="00D74B4F">
            <w:pPr>
              <w:jc w:val="center"/>
              <w:rPr>
                <w:rFonts w:ascii="Times New Roman" w:hAnsi="Times New Roman" w:cs="Times New Roman"/>
                <w:color w:val="000000" w:themeColor="text1"/>
                <w:lang w:val="en-CA"/>
              </w:rPr>
            </w:pPr>
          </w:p>
        </w:tc>
        <w:tc>
          <w:tcPr>
            <w:tcW w:w="767" w:type="pct"/>
            <w:shd w:val="clear" w:color="auto" w:fill="auto"/>
            <w:vAlign w:val="center"/>
          </w:tcPr>
          <w:p w14:paraId="78F281AA" w14:textId="77777777" w:rsidR="00D74B4F" w:rsidRPr="004513C7" w:rsidRDefault="00D74B4F" w:rsidP="00D74B4F">
            <w:pPr>
              <w:jc w:val="center"/>
              <w:rPr>
                <w:rFonts w:ascii="Times New Roman" w:hAnsi="Times New Roman" w:cs="Times New Roman"/>
                <w:color w:val="000000" w:themeColor="text1"/>
                <w:lang w:val="en-CA"/>
              </w:rPr>
            </w:pPr>
          </w:p>
        </w:tc>
      </w:tr>
      <w:tr w:rsidR="00D74B4F" w:rsidRPr="004513C7" w14:paraId="54B02ADB" w14:textId="77777777" w:rsidTr="006924F3">
        <w:tc>
          <w:tcPr>
            <w:tcW w:w="3232" w:type="pct"/>
            <w:shd w:val="clear" w:color="auto" w:fill="auto"/>
            <w:vAlign w:val="center"/>
          </w:tcPr>
          <w:p w14:paraId="6CFF6A86"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Diphenhydramine 25-50 mg PO/IV</w:t>
            </w:r>
          </w:p>
        </w:tc>
        <w:tc>
          <w:tcPr>
            <w:tcW w:w="1001" w:type="pct"/>
            <w:shd w:val="clear" w:color="auto" w:fill="auto"/>
            <w:vAlign w:val="center"/>
          </w:tcPr>
          <w:p w14:paraId="1DA697B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w:t>
            </w:r>
          </w:p>
        </w:tc>
        <w:tc>
          <w:tcPr>
            <w:tcW w:w="767" w:type="pct"/>
            <w:shd w:val="clear" w:color="auto" w:fill="auto"/>
            <w:vAlign w:val="center"/>
          </w:tcPr>
          <w:p w14:paraId="1B16CC81"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D74B4F" w:rsidRPr="004513C7" w14:paraId="41CA2BD4" w14:textId="77777777" w:rsidTr="006924F3">
        <w:tc>
          <w:tcPr>
            <w:tcW w:w="3232" w:type="pct"/>
            <w:shd w:val="clear" w:color="auto" w:fill="auto"/>
            <w:vAlign w:val="center"/>
          </w:tcPr>
          <w:p w14:paraId="05690408"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Ondansetron 4-8 mg PO/IV</w:t>
            </w:r>
          </w:p>
        </w:tc>
        <w:tc>
          <w:tcPr>
            <w:tcW w:w="1001" w:type="pct"/>
            <w:shd w:val="clear" w:color="auto" w:fill="auto"/>
            <w:vAlign w:val="center"/>
          </w:tcPr>
          <w:p w14:paraId="28CC4CAC"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7 (14.6%)</w:t>
            </w:r>
          </w:p>
        </w:tc>
        <w:tc>
          <w:tcPr>
            <w:tcW w:w="767" w:type="pct"/>
            <w:shd w:val="clear" w:color="auto" w:fill="auto"/>
            <w:vAlign w:val="center"/>
          </w:tcPr>
          <w:p w14:paraId="40A62AF1"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6 (12.5%)</w:t>
            </w:r>
          </w:p>
        </w:tc>
      </w:tr>
      <w:tr w:rsidR="00D74B4F" w:rsidRPr="004513C7" w14:paraId="424C1F8D" w14:textId="77777777" w:rsidTr="006924F3">
        <w:tc>
          <w:tcPr>
            <w:tcW w:w="3232" w:type="pct"/>
            <w:shd w:val="clear" w:color="auto" w:fill="auto"/>
            <w:vAlign w:val="center"/>
          </w:tcPr>
          <w:p w14:paraId="04003A69"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Metoclopramide 10mg PO/IV</w:t>
            </w:r>
          </w:p>
        </w:tc>
        <w:tc>
          <w:tcPr>
            <w:tcW w:w="1001" w:type="pct"/>
            <w:shd w:val="clear" w:color="auto" w:fill="auto"/>
            <w:vAlign w:val="center"/>
          </w:tcPr>
          <w:p w14:paraId="17CD922F"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c>
          <w:tcPr>
            <w:tcW w:w="767" w:type="pct"/>
            <w:shd w:val="clear" w:color="auto" w:fill="auto"/>
            <w:vAlign w:val="center"/>
          </w:tcPr>
          <w:p w14:paraId="446DC5DA"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3 (6.3%)</w:t>
            </w:r>
          </w:p>
        </w:tc>
      </w:tr>
      <w:tr w:rsidR="00D74B4F" w:rsidRPr="004513C7" w14:paraId="44BAC2E8" w14:textId="77777777" w:rsidTr="006924F3">
        <w:tc>
          <w:tcPr>
            <w:tcW w:w="3232" w:type="pct"/>
            <w:shd w:val="clear" w:color="auto" w:fill="auto"/>
            <w:vAlign w:val="center"/>
          </w:tcPr>
          <w:p w14:paraId="7D633883"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Ferrous sulfate 300-600 mg PO</w:t>
            </w:r>
          </w:p>
        </w:tc>
        <w:tc>
          <w:tcPr>
            <w:tcW w:w="1001" w:type="pct"/>
            <w:shd w:val="clear" w:color="auto" w:fill="auto"/>
            <w:vAlign w:val="center"/>
          </w:tcPr>
          <w:p w14:paraId="627C070D"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4B277B87"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8 (16.7%)</w:t>
            </w:r>
          </w:p>
        </w:tc>
      </w:tr>
      <w:tr w:rsidR="00D74B4F" w:rsidRPr="004513C7" w14:paraId="28B33869" w14:textId="77777777" w:rsidTr="006924F3">
        <w:tc>
          <w:tcPr>
            <w:tcW w:w="3232" w:type="pct"/>
            <w:shd w:val="clear" w:color="auto" w:fill="auto"/>
            <w:vAlign w:val="center"/>
          </w:tcPr>
          <w:p w14:paraId="4BD42874"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Sodium docusate 100-200 mg PO</w:t>
            </w:r>
          </w:p>
        </w:tc>
        <w:tc>
          <w:tcPr>
            <w:tcW w:w="1001" w:type="pct"/>
            <w:shd w:val="clear" w:color="auto" w:fill="auto"/>
            <w:vAlign w:val="center"/>
          </w:tcPr>
          <w:p w14:paraId="2520D2BE"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 (2.1%)</w:t>
            </w:r>
          </w:p>
        </w:tc>
        <w:tc>
          <w:tcPr>
            <w:tcW w:w="767" w:type="pct"/>
            <w:shd w:val="clear" w:color="auto" w:fill="auto"/>
            <w:vAlign w:val="center"/>
          </w:tcPr>
          <w:p w14:paraId="77418C6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 (8.3 %)</w:t>
            </w:r>
          </w:p>
        </w:tc>
      </w:tr>
      <w:tr w:rsidR="00D74B4F" w:rsidRPr="004513C7" w14:paraId="7E3F5A54" w14:textId="77777777" w:rsidTr="006924F3">
        <w:tc>
          <w:tcPr>
            <w:tcW w:w="3232" w:type="pct"/>
            <w:shd w:val="clear" w:color="auto" w:fill="auto"/>
            <w:vAlign w:val="center"/>
          </w:tcPr>
          <w:p w14:paraId="7E87DF98"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Iron sucrose (Venofer</w:t>
            </w:r>
            <w:r w:rsidRPr="004513C7">
              <w:rPr>
                <w:rFonts w:ascii="Times New Roman" w:hAnsi="Times New Roman" w:cs="Times New Roman"/>
                <w:color w:val="000000" w:themeColor="text1"/>
                <w:vertAlign w:val="superscript"/>
                <w:lang w:val="en-CA"/>
              </w:rPr>
              <w:t>TM</w:t>
            </w:r>
            <w:r w:rsidRPr="004513C7">
              <w:rPr>
                <w:rFonts w:ascii="Times New Roman" w:hAnsi="Times New Roman" w:cs="Times New Roman"/>
                <w:color w:val="000000" w:themeColor="text1"/>
                <w:lang w:val="en-CA"/>
              </w:rPr>
              <w:t>) 300-600 mg IV</w:t>
            </w:r>
          </w:p>
        </w:tc>
        <w:tc>
          <w:tcPr>
            <w:tcW w:w="1001" w:type="pct"/>
            <w:shd w:val="clear" w:color="auto" w:fill="auto"/>
            <w:vAlign w:val="center"/>
          </w:tcPr>
          <w:p w14:paraId="3D99C70D"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4F7608E0"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(4.2 %)</w:t>
            </w:r>
          </w:p>
        </w:tc>
      </w:tr>
      <w:tr w:rsidR="00D74B4F" w:rsidRPr="004513C7" w14:paraId="3AD8B58C" w14:textId="77777777" w:rsidTr="006924F3">
        <w:tc>
          <w:tcPr>
            <w:tcW w:w="3232" w:type="pct"/>
            <w:shd w:val="clear" w:color="auto" w:fill="auto"/>
            <w:vAlign w:val="center"/>
          </w:tcPr>
          <w:p w14:paraId="5F794A5D" w14:textId="77777777" w:rsidR="00D74B4F" w:rsidRPr="004513C7" w:rsidRDefault="00D74B4F" w:rsidP="00D74B4F">
            <w:pPr>
              <w:rPr>
                <w:rFonts w:ascii="Times New Roman" w:hAnsi="Times New Roman" w:cs="Times New Roman"/>
                <w:b/>
                <w:bCs/>
                <w:color w:val="000000" w:themeColor="text1"/>
                <w:lang w:val="en-CA"/>
              </w:rPr>
            </w:pPr>
            <w:r w:rsidRPr="004513C7">
              <w:rPr>
                <w:rFonts w:ascii="Times New Roman" w:hAnsi="Times New Roman" w:cs="Times New Roman"/>
                <w:b/>
                <w:bCs/>
                <w:color w:val="000000" w:themeColor="text1"/>
                <w:lang w:val="en-CA"/>
              </w:rPr>
              <w:t>CHEMICAL THROMBOPROPHYLAXIA</w:t>
            </w:r>
          </w:p>
        </w:tc>
        <w:tc>
          <w:tcPr>
            <w:tcW w:w="1001" w:type="pct"/>
            <w:shd w:val="clear" w:color="auto" w:fill="auto"/>
            <w:vAlign w:val="center"/>
          </w:tcPr>
          <w:p w14:paraId="4B26C9BF" w14:textId="77777777" w:rsidR="00D74B4F" w:rsidRPr="004513C7" w:rsidRDefault="00D74B4F" w:rsidP="00D74B4F">
            <w:pPr>
              <w:jc w:val="center"/>
              <w:rPr>
                <w:rFonts w:ascii="Times New Roman" w:hAnsi="Times New Roman" w:cs="Times New Roman"/>
                <w:color w:val="000000" w:themeColor="text1"/>
                <w:lang w:val="en-CA"/>
              </w:rPr>
            </w:pPr>
          </w:p>
        </w:tc>
        <w:tc>
          <w:tcPr>
            <w:tcW w:w="767" w:type="pct"/>
            <w:shd w:val="clear" w:color="auto" w:fill="auto"/>
            <w:vAlign w:val="center"/>
          </w:tcPr>
          <w:p w14:paraId="2A1676CF" w14:textId="77777777" w:rsidR="00D74B4F" w:rsidRPr="004513C7" w:rsidRDefault="00D74B4F" w:rsidP="00D74B4F">
            <w:pPr>
              <w:jc w:val="center"/>
              <w:rPr>
                <w:rFonts w:ascii="Times New Roman" w:hAnsi="Times New Roman" w:cs="Times New Roman"/>
                <w:color w:val="000000" w:themeColor="text1"/>
                <w:lang w:val="en-CA"/>
              </w:rPr>
            </w:pPr>
          </w:p>
        </w:tc>
      </w:tr>
      <w:tr w:rsidR="00D74B4F" w:rsidRPr="004513C7" w14:paraId="5EC188F6" w14:textId="77777777" w:rsidTr="006924F3">
        <w:tc>
          <w:tcPr>
            <w:tcW w:w="3232" w:type="pct"/>
            <w:shd w:val="clear" w:color="auto" w:fill="auto"/>
            <w:vAlign w:val="center"/>
          </w:tcPr>
          <w:p w14:paraId="26B9873D"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Rivaroxaban 10mg DIE x 14-35 days</w:t>
            </w:r>
          </w:p>
        </w:tc>
        <w:tc>
          <w:tcPr>
            <w:tcW w:w="1001" w:type="pct"/>
            <w:shd w:val="clear" w:color="auto" w:fill="auto"/>
            <w:vAlign w:val="center"/>
          </w:tcPr>
          <w:p w14:paraId="3685FEA9"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4D876885"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16 (36.4%)</w:t>
            </w:r>
          </w:p>
        </w:tc>
      </w:tr>
      <w:tr w:rsidR="00D74B4F" w:rsidRPr="004513C7" w14:paraId="3A0A53EE" w14:textId="77777777" w:rsidTr="006924F3">
        <w:tc>
          <w:tcPr>
            <w:tcW w:w="3232" w:type="pct"/>
            <w:shd w:val="clear" w:color="auto" w:fill="auto"/>
            <w:vAlign w:val="center"/>
          </w:tcPr>
          <w:p w14:paraId="41B02C9E"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Rivaroxaban 10 mg DIE x J1-J5 and then acetylsalicylic acid 80 mg DIE J6-J14 (TKR) and J6-J35 (THR)</w:t>
            </w:r>
          </w:p>
        </w:tc>
        <w:tc>
          <w:tcPr>
            <w:tcW w:w="1001" w:type="pct"/>
            <w:shd w:val="clear" w:color="auto" w:fill="auto"/>
            <w:vAlign w:val="center"/>
          </w:tcPr>
          <w:p w14:paraId="1EAC8EC7"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48 (100.0%)</w:t>
            </w:r>
          </w:p>
        </w:tc>
        <w:tc>
          <w:tcPr>
            <w:tcW w:w="767" w:type="pct"/>
            <w:shd w:val="clear" w:color="auto" w:fill="auto"/>
            <w:vAlign w:val="center"/>
          </w:tcPr>
          <w:p w14:paraId="5CEE38EA"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 (4.5%)</w:t>
            </w:r>
          </w:p>
        </w:tc>
      </w:tr>
      <w:tr w:rsidR="00D74B4F" w:rsidRPr="004513C7" w14:paraId="2A7A00FE" w14:textId="77777777" w:rsidTr="006924F3">
        <w:tc>
          <w:tcPr>
            <w:tcW w:w="3232" w:type="pct"/>
            <w:shd w:val="clear" w:color="auto" w:fill="auto"/>
            <w:vAlign w:val="center"/>
          </w:tcPr>
          <w:p w14:paraId="3942B305" w14:textId="77777777" w:rsidR="00D74B4F" w:rsidRPr="004513C7" w:rsidRDefault="00D74B4F" w:rsidP="00D74B4F">
            <w:pP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Low-molecular-weight heparins (</w:t>
            </w:r>
            <w:proofErr w:type="spellStart"/>
            <w:r w:rsidRPr="004513C7">
              <w:rPr>
                <w:rFonts w:ascii="Times New Roman" w:hAnsi="Times New Roman" w:cs="Times New Roman"/>
                <w:color w:val="000000" w:themeColor="text1"/>
                <w:lang w:val="en-CA"/>
              </w:rPr>
              <w:t>Dalteheparine</w:t>
            </w:r>
            <w:proofErr w:type="spellEnd"/>
            <w:r w:rsidRPr="004513C7">
              <w:rPr>
                <w:rFonts w:ascii="Times New Roman" w:hAnsi="Times New Roman" w:cs="Times New Roman"/>
                <w:color w:val="000000" w:themeColor="text1"/>
                <w:lang w:val="en-CA"/>
              </w:rPr>
              <w:t>, Enoxparine, Tinzaparine) x 14-35 days</w:t>
            </w:r>
          </w:p>
        </w:tc>
        <w:tc>
          <w:tcPr>
            <w:tcW w:w="1001" w:type="pct"/>
            <w:shd w:val="clear" w:color="auto" w:fill="auto"/>
            <w:vAlign w:val="center"/>
          </w:tcPr>
          <w:p w14:paraId="4EDA8D53"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0</w:t>
            </w:r>
          </w:p>
        </w:tc>
        <w:tc>
          <w:tcPr>
            <w:tcW w:w="767" w:type="pct"/>
            <w:shd w:val="clear" w:color="auto" w:fill="auto"/>
            <w:vAlign w:val="center"/>
          </w:tcPr>
          <w:p w14:paraId="316C8012" w14:textId="77777777" w:rsidR="00D74B4F" w:rsidRPr="004513C7" w:rsidRDefault="00D74B4F" w:rsidP="00D74B4F">
            <w:pPr>
              <w:jc w:val="center"/>
              <w:rPr>
                <w:rFonts w:ascii="Times New Roman" w:hAnsi="Times New Roman" w:cs="Times New Roman"/>
                <w:color w:val="000000" w:themeColor="text1"/>
                <w:lang w:val="en-CA"/>
              </w:rPr>
            </w:pPr>
            <w:r w:rsidRPr="004513C7">
              <w:rPr>
                <w:rFonts w:ascii="Times New Roman" w:hAnsi="Times New Roman" w:cs="Times New Roman"/>
                <w:color w:val="000000" w:themeColor="text1"/>
                <w:lang w:val="en-CA"/>
              </w:rPr>
              <w:t>26 (59.1%)</w:t>
            </w:r>
          </w:p>
        </w:tc>
      </w:tr>
    </w:tbl>
    <w:p w14:paraId="4C846455" w14:textId="77777777" w:rsidR="006170B8" w:rsidRPr="006E003A" w:rsidRDefault="00FB7FE5" w:rsidP="001B1080">
      <w:pPr>
        <w:rPr>
          <w:lang w:val="en-CA"/>
        </w:rPr>
      </w:pPr>
    </w:p>
    <w:sectPr w:rsidR="006170B8" w:rsidRPr="006E003A" w:rsidSect="006E003A">
      <w:type w:val="continuous"/>
      <w:pgSz w:w="12240" w:h="15840"/>
      <w:pgMar w:top="1440" w:right="1440" w:bottom="1440" w:left="1440" w:header="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48507B"/>
    <w:multiLevelType w:val="hybridMultilevel"/>
    <w:tmpl w:val="5E52C674"/>
    <w:lvl w:ilvl="0" w:tplc="76587DE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grammar="clean"/>
  <w:defaultTabStop w:val="720"/>
  <w:drawingGridHorizontalSpacing w:val="90"/>
  <w:drawingGridVerticalSpacing w:val="245"/>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45"/>
    <w:rsid w:val="0006675C"/>
    <w:rsid w:val="00067ED4"/>
    <w:rsid w:val="000765C4"/>
    <w:rsid w:val="00081C5D"/>
    <w:rsid w:val="001B1080"/>
    <w:rsid w:val="002E0DC8"/>
    <w:rsid w:val="003F6409"/>
    <w:rsid w:val="00480715"/>
    <w:rsid w:val="004B524B"/>
    <w:rsid w:val="00527A23"/>
    <w:rsid w:val="0054263B"/>
    <w:rsid w:val="00560795"/>
    <w:rsid w:val="00602945"/>
    <w:rsid w:val="00651D6F"/>
    <w:rsid w:val="006E003A"/>
    <w:rsid w:val="00733F93"/>
    <w:rsid w:val="0075475B"/>
    <w:rsid w:val="007B3FEA"/>
    <w:rsid w:val="008A6BA1"/>
    <w:rsid w:val="008C5882"/>
    <w:rsid w:val="008F458F"/>
    <w:rsid w:val="00991D35"/>
    <w:rsid w:val="009C0C95"/>
    <w:rsid w:val="009C7A64"/>
    <w:rsid w:val="00AA76C3"/>
    <w:rsid w:val="00AF5E6F"/>
    <w:rsid w:val="00CA7B3F"/>
    <w:rsid w:val="00CB6B11"/>
    <w:rsid w:val="00CD5A18"/>
    <w:rsid w:val="00D74B4F"/>
    <w:rsid w:val="00D866C5"/>
    <w:rsid w:val="00DA0635"/>
    <w:rsid w:val="00DD48AD"/>
    <w:rsid w:val="00F41637"/>
    <w:rsid w:val="00F72D6A"/>
    <w:rsid w:val="00FB7331"/>
    <w:rsid w:val="00FB7FE5"/>
    <w:rsid w:val="00FF3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A3F059"/>
  <w15:chartTrackingRefBased/>
  <w15:docId w15:val="{571ED671-DA89-1749-88A4-E76D9650C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F6409"/>
    <w:rPr>
      <w:lang w:val="fr-CA"/>
    </w:rPr>
  </w:style>
  <w:style w:type="paragraph" w:styleId="Heading1">
    <w:name w:val="heading 1"/>
    <w:basedOn w:val="Normal"/>
    <w:next w:val="Normal"/>
    <w:link w:val="Heading1Char"/>
    <w:uiPriority w:val="9"/>
    <w:qFormat/>
    <w:rsid w:val="00CA7B3F"/>
    <w:pPr>
      <w:keepNext/>
      <w:keepLines/>
      <w:spacing w:before="240"/>
      <w:outlineLvl w:val="0"/>
    </w:pPr>
    <w:rPr>
      <w:rFonts w:asciiTheme="majorHAnsi" w:eastAsiaTheme="majorEastAsia" w:hAnsiTheme="majorHAnsi" w:cstheme="majorBidi"/>
      <w:color w:val="2F5496" w:themeColor="accent1" w:themeShade="BF"/>
      <w:sz w:val="32"/>
      <w:szCs w:val="32"/>
      <w:lang w:val="en-CA"/>
    </w:rPr>
  </w:style>
  <w:style w:type="paragraph" w:styleId="Heading2">
    <w:name w:val="heading 2"/>
    <w:basedOn w:val="Normal"/>
    <w:next w:val="Normal"/>
    <w:link w:val="Heading2Char"/>
    <w:uiPriority w:val="9"/>
    <w:unhideWhenUsed/>
    <w:qFormat/>
    <w:rsid w:val="006E003A"/>
    <w:pPr>
      <w:keepNext/>
      <w:keepLines/>
      <w:spacing w:before="40"/>
      <w:outlineLvl w:val="1"/>
    </w:pPr>
    <w:rPr>
      <w:rFonts w:asciiTheme="majorHAnsi" w:eastAsiaTheme="majorEastAsia" w:hAnsiTheme="majorHAnsi" w:cstheme="majorBidi"/>
      <w:color w:val="2F5496" w:themeColor="accent1" w:themeShade="BF"/>
      <w:sz w:val="26"/>
      <w:szCs w:val="2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003A"/>
    <w:rPr>
      <w:rFonts w:asciiTheme="majorHAnsi" w:eastAsiaTheme="majorEastAsia" w:hAnsiTheme="majorHAnsi" w:cstheme="majorBidi"/>
      <w:color w:val="2F5496" w:themeColor="accent1" w:themeShade="BF"/>
      <w:sz w:val="26"/>
      <w:szCs w:val="26"/>
      <w:lang w:val="en-CA"/>
    </w:rPr>
  </w:style>
  <w:style w:type="table" w:styleId="TableGrid">
    <w:name w:val="Table Grid"/>
    <w:basedOn w:val="TableNormal"/>
    <w:uiPriority w:val="39"/>
    <w:rsid w:val="006E0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A7B3F"/>
    <w:rPr>
      <w:rFonts w:asciiTheme="majorHAnsi" w:eastAsiaTheme="majorEastAsia" w:hAnsiTheme="majorHAnsi" w:cstheme="majorBidi"/>
      <w:color w:val="2F5496" w:themeColor="accent1" w:themeShade="BF"/>
      <w:sz w:val="32"/>
      <w:szCs w:val="32"/>
      <w:lang w:val="en-CA"/>
    </w:rPr>
  </w:style>
  <w:style w:type="paragraph" w:styleId="BalloonText">
    <w:name w:val="Balloon Text"/>
    <w:basedOn w:val="Normal"/>
    <w:link w:val="BalloonTextChar"/>
    <w:uiPriority w:val="99"/>
    <w:semiHidden/>
    <w:unhideWhenUsed/>
    <w:rsid w:val="004B524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B524B"/>
    <w:rPr>
      <w:rFonts w:ascii="Times New Roman" w:hAnsi="Times New Roman" w:cs="Times New Roman"/>
      <w:sz w:val="18"/>
      <w:szCs w:val="18"/>
      <w:lang w:val="fr-CA"/>
    </w:rPr>
  </w:style>
  <w:style w:type="paragraph" w:styleId="NoSpacing">
    <w:name w:val="No Spacing"/>
    <w:uiPriority w:val="1"/>
    <w:qFormat/>
    <w:rsid w:val="00733F93"/>
    <w:rPr>
      <w:lang w:val="fr-CA"/>
    </w:rPr>
  </w:style>
  <w:style w:type="paragraph" w:styleId="ListParagraph">
    <w:name w:val="List Paragraph"/>
    <w:basedOn w:val="Normal"/>
    <w:uiPriority w:val="34"/>
    <w:qFormat/>
    <w:rsid w:val="00DD48AD"/>
    <w:pPr>
      <w:ind w:left="720"/>
      <w:contextualSpacing/>
    </w:pPr>
    <w:rPr>
      <w:rFonts w:ascii="Times New Roman" w:eastAsia="Times New Roman" w:hAnsi="Times New Roman" w:cs="Times New Roman"/>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850</Words>
  <Characters>4849</Characters>
  <Application>Microsoft Office Word</Application>
  <DocSecurity>0</DocSecurity>
  <Lines>40</Lines>
  <Paragraphs>11</Paragraphs>
  <ScaleCrop>false</ScaleCrop>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Hardy Alexandre</dc:creator>
  <cp:keywords/>
  <dc:description/>
  <cp:lastModifiedBy>Hardy Alexandre</cp:lastModifiedBy>
  <cp:revision>4</cp:revision>
  <dcterms:created xsi:type="dcterms:W3CDTF">2021-04-12T00:47:00Z</dcterms:created>
  <dcterms:modified xsi:type="dcterms:W3CDTF">2021-04-15T23:41:00Z</dcterms:modified>
</cp:coreProperties>
</file>