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A2562E" w14:textId="2DDA0CBC" w:rsidR="00123D86" w:rsidRPr="00905E22" w:rsidRDefault="00123D86" w:rsidP="00123D86">
      <w:pPr>
        <w:pStyle w:val="Titre"/>
        <w:rPr>
          <w:lang w:val="en-US"/>
        </w:rPr>
      </w:pPr>
      <w:r w:rsidRPr="00905E22">
        <w:rPr>
          <w:lang w:val="en-US"/>
        </w:rPr>
        <w:t>Supplemental material</w:t>
      </w:r>
    </w:p>
    <w:p w14:paraId="7D44CC9A" w14:textId="77777777" w:rsidR="00123D86" w:rsidRDefault="00123D86" w:rsidP="00123D86">
      <w:pPr>
        <w:pStyle w:val="Titre"/>
        <w:rPr>
          <w:sz w:val="40"/>
          <w:szCs w:val="40"/>
          <w:lang w:val="en-US"/>
        </w:rPr>
      </w:pPr>
    </w:p>
    <w:p w14:paraId="282E1CF0" w14:textId="77777777" w:rsidR="00123D86" w:rsidRDefault="00123D86" w:rsidP="00123D86">
      <w:pPr>
        <w:pStyle w:val="Titre"/>
        <w:rPr>
          <w:sz w:val="40"/>
          <w:szCs w:val="40"/>
          <w:lang w:val="en-US"/>
        </w:rPr>
      </w:pPr>
    </w:p>
    <w:p w14:paraId="33120559" w14:textId="77777777" w:rsidR="00123D86" w:rsidRDefault="00123D86" w:rsidP="00123D86">
      <w:pPr>
        <w:pStyle w:val="Titre"/>
        <w:rPr>
          <w:sz w:val="40"/>
          <w:szCs w:val="40"/>
          <w:lang w:val="en-US"/>
        </w:rPr>
      </w:pPr>
    </w:p>
    <w:p w14:paraId="23FC08FD" w14:textId="0C18EB92" w:rsidR="00123D86" w:rsidRPr="00123D86" w:rsidRDefault="00123D86" w:rsidP="00123D86">
      <w:pPr>
        <w:pStyle w:val="Titre"/>
        <w:rPr>
          <w:sz w:val="40"/>
          <w:szCs w:val="40"/>
          <w:lang w:val="en-US"/>
        </w:rPr>
      </w:pPr>
      <w:r w:rsidRPr="00123D86">
        <w:rPr>
          <w:sz w:val="40"/>
          <w:szCs w:val="40"/>
          <w:lang w:val="en-US"/>
        </w:rPr>
        <w:t>Epidemiology and therapeutic management of highly active relapsing-remitting multiple sclerosis adults in the French national health insurance database</w:t>
      </w:r>
    </w:p>
    <w:p w14:paraId="16F18C95" w14:textId="77777777" w:rsidR="00123D86" w:rsidRPr="00F07BA0" w:rsidRDefault="00123D86" w:rsidP="00123D86">
      <w:pPr>
        <w:rPr>
          <w:lang w:val="en-US"/>
        </w:rPr>
      </w:pPr>
    </w:p>
    <w:p w14:paraId="7735141B" w14:textId="77777777" w:rsidR="00123D86" w:rsidRPr="00E11CCD" w:rsidRDefault="00123D86" w:rsidP="00123D86">
      <w:pPr>
        <w:rPr>
          <w:color w:val="FF0000"/>
          <w:lang w:val="en-US"/>
        </w:rPr>
      </w:pPr>
    </w:p>
    <w:p w14:paraId="2A5DCCF3" w14:textId="270C1D33" w:rsidR="00123D86" w:rsidRPr="00F537DE" w:rsidRDefault="00123D86" w:rsidP="00123D86">
      <w:r w:rsidRPr="00F537DE">
        <w:t>A</w:t>
      </w:r>
      <w:r w:rsidR="00F537DE" w:rsidRPr="00F537DE">
        <w:t xml:space="preserve">. </w:t>
      </w:r>
      <w:r w:rsidRPr="00F537DE">
        <w:t>Kwiatkowski, M</w:t>
      </w:r>
      <w:r w:rsidR="00F537DE" w:rsidRPr="00F537DE">
        <w:t>.</w:t>
      </w:r>
      <w:r w:rsidRPr="00F537DE">
        <w:t xml:space="preserve"> Payet, E</w:t>
      </w:r>
      <w:r w:rsidR="00F537DE" w:rsidRPr="00F537DE">
        <w:t>.</w:t>
      </w:r>
      <w:r w:rsidRPr="00F537DE">
        <w:t xml:space="preserve"> </w:t>
      </w:r>
      <w:proofErr w:type="spellStart"/>
      <w:r w:rsidRPr="00F537DE">
        <w:t>Préaud</w:t>
      </w:r>
      <w:proofErr w:type="spellEnd"/>
      <w:r w:rsidRPr="00F537DE">
        <w:t>, L</w:t>
      </w:r>
      <w:r w:rsidR="00F537DE" w:rsidRPr="00F537DE">
        <w:t>.</w:t>
      </w:r>
      <w:r w:rsidRPr="00F537DE">
        <w:t xml:space="preserve"> </w:t>
      </w:r>
      <w:proofErr w:type="spellStart"/>
      <w:r w:rsidRPr="00F537DE">
        <w:t>Lamarsalle</w:t>
      </w:r>
      <w:proofErr w:type="spellEnd"/>
      <w:r w:rsidRPr="00F537DE">
        <w:t>, F</w:t>
      </w:r>
      <w:r w:rsidR="00F537DE" w:rsidRPr="00F537DE">
        <w:t>.</w:t>
      </w:r>
      <w:r w:rsidRPr="00F537DE">
        <w:t xml:space="preserve"> </w:t>
      </w:r>
      <w:proofErr w:type="spellStart"/>
      <w:r w:rsidRPr="00F537DE">
        <w:t>Raguideau</w:t>
      </w:r>
      <w:proofErr w:type="spellEnd"/>
      <w:r w:rsidRPr="00F537DE">
        <w:t>, O</w:t>
      </w:r>
      <w:r w:rsidR="00F537DE" w:rsidRPr="00F537DE">
        <w:t>.</w:t>
      </w:r>
      <w:r w:rsidRPr="00F537DE">
        <w:t xml:space="preserve"> Chevreuil, B</w:t>
      </w:r>
      <w:r w:rsidR="00F537DE" w:rsidRPr="00F537DE">
        <w:t>.</w:t>
      </w:r>
      <w:r w:rsidRPr="00F537DE">
        <w:t xml:space="preserve"> van Hille, O</w:t>
      </w:r>
      <w:r w:rsidR="00F537DE">
        <w:t>.</w:t>
      </w:r>
      <w:r w:rsidRPr="00F537DE">
        <w:t xml:space="preserve"> Vandhuick</w:t>
      </w:r>
    </w:p>
    <w:p w14:paraId="37376978" w14:textId="77777777" w:rsidR="00F94292" w:rsidRPr="00F537DE" w:rsidRDefault="00F94292"/>
    <w:p w14:paraId="23C15CD1" w14:textId="77777777" w:rsidR="00F94292" w:rsidRPr="00F537DE" w:rsidRDefault="00F94292"/>
    <w:p w14:paraId="7CA91629" w14:textId="77777777" w:rsidR="00F94292" w:rsidRPr="00F537DE" w:rsidRDefault="00F94292"/>
    <w:sdt>
      <w:sdtPr>
        <w:rPr>
          <w:rFonts w:asciiTheme="minorHAnsi" w:eastAsiaTheme="minorHAnsi" w:hAnsiTheme="minorHAnsi" w:cstheme="minorBidi"/>
          <w:color w:val="auto"/>
          <w:sz w:val="22"/>
          <w:szCs w:val="22"/>
          <w:lang w:val="fr-FR"/>
        </w:rPr>
        <w:id w:val="-375393602"/>
        <w:docPartObj>
          <w:docPartGallery w:val="Table of Contents"/>
          <w:docPartUnique/>
        </w:docPartObj>
      </w:sdtPr>
      <w:sdtEndPr>
        <w:rPr>
          <w:b/>
          <w:bCs/>
          <w:noProof/>
        </w:rPr>
      </w:sdtEndPr>
      <w:sdtContent>
        <w:p w14:paraId="7A144CC1" w14:textId="09BDE67D" w:rsidR="00F94292" w:rsidRDefault="00F94292">
          <w:pPr>
            <w:pStyle w:val="En-ttedetabledesmatires"/>
          </w:pPr>
          <w:r>
            <w:t>Contents</w:t>
          </w:r>
        </w:p>
        <w:p w14:paraId="7F53EB71" w14:textId="13C00EE7" w:rsidR="00FE4F98" w:rsidRDefault="00F94292">
          <w:pPr>
            <w:pStyle w:val="TM1"/>
            <w:rPr>
              <w:rFonts w:eastAsiaTheme="minorEastAsia"/>
              <w:noProof/>
              <w:lang w:val="en-US"/>
            </w:rPr>
          </w:pPr>
          <w:r>
            <w:fldChar w:fldCharType="begin"/>
          </w:r>
          <w:r>
            <w:instrText xml:space="preserve"> TOC \o "1-3" \h \z \u </w:instrText>
          </w:r>
          <w:r>
            <w:fldChar w:fldCharType="separate"/>
          </w:r>
          <w:hyperlink w:anchor="_Toc61013787" w:history="1">
            <w:r w:rsidR="00FE4F98" w:rsidRPr="00702008">
              <w:rPr>
                <w:rStyle w:val="Lienhypertexte"/>
                <w:noProof/>
                <w:lang w:val="en-US"/>
              </w:rPr>
              <w:t>Supplement 1 – Methods – The SNIIRAM database</w:t>
            </w:r>
            <w:r w:rsidR="00FE4F98">
              <w:rPr>
                <w:noProof/>
                <w:webHidden/>
              </w:rPr>
              <w:tab/>
            </w:r>
            <w:r w:rsidR="00FE4F98">
              <w:rPr>
                <w:noProof/>
                <w:webHidden/>
              </w:rPr>
              <w:fldChar w:fldCharType="begin"/>
            </w:r>
            <w:r w:rsidR="00FE4F98">
              <w:rPr>
                <w:noProof/>
                <w:webHidden/>
              </w:rPr>
              <w:instrText xml:space="preserve"> PAGEREF _Toc61013787 \h </w:instrText>
            </w:r>
            <w:r w:rsidR="00FE4F98">
              <w:rPr>
                <w:noProof/>
                <w:webHidden/>
              </w:rPr>
            </w:r>
            <w:r w:rsidR="00FE4F98">
              <w:rPr>
                <w:noProof/>
                <w:webHidden/>
              </w:rPr>
              <w:fldChar w:fldCharType="separate"/>
            </w:r>
            <w:r w:rsidR="00FE4F98">
              <w:rPr>
                <w:noProof/>
                <w:webHidden/>
              </w:rPr>
              <w:t>2</w:t>
            </w:r>
            <w:r w:rsidR="00FE4F98">
              <w:rPr>
                <w:noProof/>
                <w:webHidden/>
              </w:rPr>
              <w:fldChar w:fldCharType="end"/>
            </w:r>
          </w:hyperlink>
        </w:p>
        <w:p w14:paraId="517C3FF1" w14:textId="0908C45B" w:rsidR="00FE4F98" w:rsidRDefault="00340F01">
          <w:pPr>
            <w:pStyle w:val="TM1"/>
            <w:rPr>
              <w:rFonts w:eastAsiaTheme="minorEastAsia"/>
              <w:noProof/>
              <w:lang w:val="en-US"/>
            </w:rPr>
          </w:pPr>
          <w:hyperlink w:anchor="_Toc61013788" w:history="1">
            <w:r w:rsidR="00FE4F98" w:rsidRPr="00702008">
              <w:rPr>
                <w:rStyle w:val="Lienhypertexte"/>
                <w:noProof/>
                <w:lang w:val="en-US"/>
              </w:rPr>
              <w:t>Supplement 2 – Methods – The French healthcare system</w:t>
            </w:r>
            <w:r w:rsidR="00FE4F98">
              <w:rPr>
                <w:noProof/>
                <w:webHidden/>
              </w:rPr>
              <w:tab/>
            </w:r>
            <w:r w:rsidR="00FE4F98">
              <w:rPr>
                <w:noProof/>
                <w:webHidden/>
              </w:rPr>
              <w:fldChar w:fldCharType="begin"/>
            </w:r>
            <w:r w:rsidR="00FE4F98">
              <w:rPr>
                <w:noProof/>
                <w:webHidden/>
              </w:rPr>
              <w:instrText xml:space="preserve"> PAGEREF _Toc61013788 \h </w:instrText>
            </w:r>
            <w:r w:rsidR="00FE4F98">
              <w:rPr>
                <w:noProof/>
                <w:webHidden/>
              </w:rPr>
            </w:r>
            <w:r w:rsidR="00FE4F98">
              <w:rPr>
                <w:noProof/>
                <w:webHidden/>
              </w:rPr>
              <w:fldChar w:fldCharType="separate"/>
            </w:r>
            <w:r w:rsidR="00FE4F98">
              <w:rPr>
                <w:noProof/>
                <w:webHidden/>
              </w:rPr>
              <w:t>2</w:t>
            </w:r>
            <w:r w:rsidR="00FE4F98">
              <w:rPr>
                <w:noProof/>
                <w:webHidden/>
              </w:rPr>
              <w:fldChar w:fldCharType="end"/>
            </w:r>
          </w:hyperlink>
        </w:p>
        <w:p w14:paraId="26ADDDFD" w14:textId="0C1B21D9" w:rsidR="00FE4F98" w:rsidRDefault="00340F01">
          <w:pPr>
            <w:pStyle w:val="TM1"/>
            <w:rPr>
              <w:rFonts w:eastAsiaTheme="minorEastAsia"/>
              <w:noProof/>
              <w:lang w:val="en-US"/>
            </w:rPr>
          </w:pPr>
          <w:hyperlink w:anchor="_Toc61013789" w:history="1">
            <w:r w:rsidR="00FE4F98" w:rsidRPr="00702008">
              <w:rPr>
                <w:rStyle w:val="Lienhypertexte"/>
                <w:noProof/>
                <w:lang w:val="en-US"/>
              </w:rPr>
              <w:t>Supplement 3 – Methods – Exclusion criteria</w:t>
            </w:r>
            <w:r w:rsidR="00FE4F98">
              <w:rPr>
                <w:noProof/>
                <w:webHidden/>
              </w:rPr>
              <w:tab/>
            </w:r>
            <w:r w:rsidR="00FE4F98">
              <w:rPr>
                <w:noProof/>
                <w:webHidden/>
              </w:rPr>
              <w:fldChar w:fldCharType="begin"/>
            </w:r>
            <w:r w:rsidR="00FE4F98">
              <w:rPr>
                <w:noProof/>
                <w:webHidden/>
              </w:rPr>
              <w:instrText xml:space="preserve"> PAGEREF _Toc61013789 \h </w:instrText>
            </w:r>
            <w:r w:rsidR="00FE4F98">
              <w:rPr>
                <w:noProof/>
                <w:webHidden/>
              </w:rPr>
            </w:r>
            <w:r w:rsidR="00FE4F98">
              <w:rPr>
                <w:noProof/>
                <w:webHidden/>
              </w:rPr>
              <w:fldChar w:fldCharType="separate"/>
            </w:r>
            <w:r w:rsidR="00FE4F98">
              <w:rPr>
                <w:noProof/>
                <w:webHidden/>
              </w:rPr>
              <w:t>3</w:t>
            </w:r>
            <w:r w:rsidR="00FE4F98">
              <w:rPr>
                <w:noProof/>
                <w:webHidden/>
              </w:rPr>
              <w:fldChar w:fldCharType="end"/>
            </w:r>
          </w:hyperlink>
        </w:p>
        <w:p w14:paraId="7729F9CA" w14:textId="03BD27CA" w:rsidR="00FE4F98" w:rsidRDefault="00340F01">
          <w:pPr>
            <w:pStyle w:val="TM1"/>
            <w:rPr>
              <w:rFonts w:eastAsiaTheme="minorEastAsia"/>
              <w:noProof/>
              <w:lang w:val="en-US"/>
            </w:rPr>
          </w:pPr>
          <w:hyperlink w:anchor="_Toc61013790" w:history="1">
            <w:r w:rsidR="00FE4F98" w:rsidRPr="00702008">
              <w:rPr>
                <w:rStyle w:val="Lienhypertexte"/>
                <w:noProof/>
                <w:lang w:val="en-US"/>
              </w:rPr>
              <w:t>Supplement 4 – Methods – Definition of multiple sclerosis-related hospitalization</w:t>
            </w:r>
            <w:r w:rsidR="00FE4F98">
              <w:rPr>
                <w:noProof/>
                <w:webHidden/>
              </w:rPr>
              <w:tab/>
            </w:r>
            <w:r w:rsidR="00FE4F98">
              <w:rPr>
                <w:noProof/>
                <w:webHidden/>
              </w:rPr>
              <w:fldChar w:fldCharType="begin"/>
            </w:r>
            <w:r w:rsidR="00FE4F98">
              <w:rPr>
                <w:noProof/>
                <w:webHidden/>
              </w:rPr>
              <w:instrText xml:space="preserve"> PAGEREF _Toc61013790 \h </w:instrText>
            </w:r>
            <w:r w:rsidR="00FE4F98">
              <w:rPr>
                <w:noProof/>
                <w:webHidden/>
              </w:rPr>
            </w:r>
            <w:r w:rsidR="00FE4F98">
              <w:rPr>
                <w:noProof/>
                <w:webHidden/>
              </w:rPr>
              <w:fldChar w:fldCharType="separate"/>
            </w:r>
            <w:r w:rsidR="00FE4F98">
              <w:rPr>
                <w:noProof/>
                <w:webHidden/>
              </w:rPr>
              <w:t>3</w:t>
            </w:r>
            <w:r w:rsidR="00FE4F98">
              <w:rPr>
                <w:noProof/>
                <w:webHidden/>
              </w:rPr>
              <w:fldChar w:fldCharType="end"/>
            </w:r>
          </w:hyperlink>
        </w:p>
        <w:p w14:paraId="2060B425" w14:textId="422C208C" w:rsidR="00FE4F98" w:rsidRDefault="00340F01">
          <w:pPr>
            <w:pStyle w:val="TM1"/>
            <w:rPr>
              <w:rFonts w:eastAsiaTheme="minorEastAsia"/>
              <w:noProof/>
              <w:lang w:val="en-US"/>
            </w:rPr>
          </w:pPr>
          <w:hyperlink w:anchor="_Toc61013791" w:history="1">
            <w:r w:rsidR="00FE4F98" w:rsidRPr="00702008">
              <w:rPr>
                <w:rStyle w:val="Lienhypertexte"/>
                <w:noProof/>
                <w:lang w:val="en-US"/>
              </w:rPr>
              <w:t>Supplement 5 – Methods – Definition of prevalence, incidence, mortality, and the Charlson Comorbidity Index</w:t>
            </w:r>
            <w:r w:rsidR="00FE4F98">
              <w:rPr>
                <w:noProof/>
                <w:webHidden/>
              </w:rPr>
              <w:tab/>
            </w:r>
            <w:r w:rsidR="00FE4F98">
              <w:rPr>
                <w:noProof/>
                <w:webHidden/>
              </w:rPr>
              <w:fldChar w:fldCharType="begin"/>
            </w:r>
            <w:r w:rsidR="00FE4F98">
              <w:rPr>
                <w:noProof/>
                <w:webHidden/>
              </w:rPr>
              <w:instrText xml:space="preserve"> PAGEREF _Toc61013791 \h </w:instrText>
            </w:r>
            <w:r w:rsidR="00FE4F98">
              <w:rPr>
                <w:noProof/>
                <w:webHidden/>
              </w:rPr>
            </w:r>
            <w:r w:rsidR="00FE4F98">
              <w:rPr>
                <w:noProof/>
                <w:webHidden/>
              </w:rPr>
              <w:fldChar w:fldCharType="separate"/>
            </w:r>
            <w:r w:rsidR="00FE4F98">
              <w:rPr>
                <w:noProof/>
                <w:webHidden/>
              </w:rPr>
              <w:t>3</w:t>
            </w:r>
            <w:r w:rsidR="00FE4F98">
              <w:rPr>
                <w:noProof/>
                <w:webHidden/>
              </w:rPr>
              <w:fldChar w:fldCharType="end"/>
            </w:r>
          </w:hyperlink>
        </w:p>
        <w:p w14:paraId="38EBA95D" w14:textId="3904272E" w:rsidR="00FE4F98" w:rsidRDefault="00340F01">
          <w:pPr>
            <w:pStyle w:val="TM1"/>
            <w:rPr>
              <w:rFonts w:eastAsiaTheme="minorEastAsia"/>
              <w:noProof/>
              <w:lang w:val="en-US"/>
            </w:rPr>
          </w:pPr>
          <w:hyperlink w:anchor="_Toc61013792" w:history="1">
            <w:r w:rsidR="00FE4F98" w:rsidRPr="00702008">
              <w:rPr>
                <w:rStyle w:val="Lienhypertexte"/>
                <w:noProof/>
                <w:lang w:val="en-US"/>
              </w:rPr>
              <w:t>Supplement Figure 1 – Patient selection process</w:t>
            </w:r>
            <w:r w:rsidR="00FE4F98">
              <w:rPr>
                <w:noProof/>
                <w:webHidden/>
              </w:rPr>
              <w:tab/>
            </w:r>
            <w:r w:rsidR="00FE4F98">
              <w:rPr>
                <w:noProof/>
                <w:webHidden/>
              </w:rPr>
              <w:fldChar w:fldCharType="begin"/>
            </w:r>
            <w:r w:rsidR="00FE4F98">
              <w:rPr>
                <w:noProof/>
                <w:webHidden/>
              </w:rPr>
              <w:instrText xml:space="preserve"> PAGEREF _Toc61013792 \h </w:instrText>
            </w:r>
            <w:r w:rsidR="00FE4F98">
              <w:rPr>
                <w:noProof/>
                <w:webHidden/>
              </w:rPr>
            </w:r>
            <w:r w:rsidR="00FE4F98">
              <w:rPr>
                <w:noProof/>
                <w:webHidden/>
              </w:rPr>
              <w:fldChar w:fldCharType="separate"/>
            </w:r>
            <w:r w:rsidR="00FE4F98">
              <w:rPr>
                <w:noProof/>
                <w:webHidden/>
              </w:rPr>
              <w:t>5</w:t>
            </w:r>
            <w:r w:rsidR="00FE4F98">
              <w:rPr>
                <w:noProof/>
                <w:webHidden/>
              </w:rPr>
              <w:fldChar w:fldCharType="end"/>
            </w:r>
          </w:hyperlink>
        </w:p>
        <w:p w14:paraId="43CD17EC" w14:textId="1D4B177B" w:rsidR="00FE4F98" w:rsidRDefault="00340F01">
          <w:pPr>
            <w:pStyle w:val="TM1"/>
            <w:rPr>
              <w:rFonts w:eastAsiaTheme="minorEastAsia"/>
              <w:noProof/>
              <w:lang w:val="en-US"/>
            </w:rPr>
          </w:pPr>
          <w:hyperlink w:anchor="_Toc61013793" w:history="1">
            <w:r w:rsidR="00FE4F98" w:rsidRPr="00702008">
              <w:rPr>
                <w:rStyle w:val="Lienhypertexte"/>
                <w:noProof/>
                <w:lang w:val="en-US"/>
              </w:rPr>
              <w:t>Supplement Table 1 – Multiple sclerosis treatments sought for</w:t>
            </w:r>
            <w:r w:rsidR="00FE4F98">
              <w:rPr>
                <w:noProof/>
                <w:webHidden/>
              </w:rPr>
              <w:tab/>
            </w:r>
            <w:r w:rsidR="00FE4F98">
              <w:rPr>
                <w:noProof/>
                <w:webHidden/>
              </w:rPr>
              <w:fldChar w:fldCharType="begin"/>
            </w:r>
            <w:r w:rsidR="00FE4F98">
              <w:rPr>
                <w:noProof/>
                <w:webHidden/>
              </w:rPr>
              <w:instrText xml:space="preserve"> PAGEREF _Toc61013793 \h </w:instrText>
            </w:r>
            <w:r w:rsidR="00FE4F98">
              <w:rPr>
                <w:noProof/>
                <w:webHidden/>
              </w:rPr>
            </w:r>
            <w:r w:rsidR="00FE4F98">
              <w:rPr>
                <w:noProof/>
                <w:webHidden/>
              </w:rPr>
              <w:fldChar w:fldCharType="separate"/>
            </w:r>
            <w:r w:rsidR="00FE4F98">
              <w:rPr>
                <w:noProof/>
                <w:webHidden/>
              </w:rPr>
              <w:t>6</w:t>
            </w:r>
            <w:r w:rsidR="00FE4F98">
              <w:rPr>
                <w:noProof/>
                <w:webHidden/>
              </w:rPr>
              <w:fldChar w:fldCharType="end"/>
            </w:r>
          </w:hyperlink>
        </w:p>
        <w:p w14:paraId="2E1B88FC" w14:textId="6506CB8F" w:rsidR="00FE4F98" w:rsidRDefault="00340F01">
          <w:pPr>
            <w:pStyle w:val="TM1"/>
            <w:rPr>
              <w:rFonts w:eastAsiaTheme="minorEastAsia"/>
              <w:noProof/>
              <w:lang w:val="en-US"/>
            </w:rPr>
          </w:pPr>
          <w:hyperlink w:anchor="_Toc61013794" w:history="1">
            <w:r w:rsidR="00FE4F98" w:rsidRPr="00702008">
              <w:rPr>
                <w:rStyle w:val="Lienhypertexte"/>
                <w:noProof/>
                <w:lang w:val="en-US"/>
              </w:rPr>
              <w:t>Supplement Table 2 –  Multiple sclerosis-related laboratory tests and imaging procedures in incident highly active relapsing-remitting multiple sclerosis adults with at least 2 years of follow-up (n = 8,045), 2010–2017</w:t>
            </w:r>
            <w:r w:rsidR="00FE4F98">
              <w:rPr>
                <w:noProof/>
                <w:webHidden/>
              </w:rPr>
              <w:tab/>
            </w:r>
            <w:r w:rsidR="00FE4F98">
              <w:rPr>
                <w:noProof/>
                <w:webHidden/>
              </w:rPr>
              <w:fldChar w:fldCharType="begin"/>
            </w:r>
            <w:r w:rsidR="00FE4F98">
              <w:rPr>
                <w:noProof/>
                <w:webHidden/>
              </w:rPr>
              <w:instrText xml:space="preserve"> PAGEREF _Toc61013794 \h </w:instrText>
            </w:r>
            <w:r w:rsidR="00FE4F98">
              <w:rPr>
                <w:noProof/>
                <w:webHidden/>
              </w:rPr>
            </w:r>
            <w:r w:rsidR="00FE4F98">
              <w:rPr>
                <w:noProof/>
                <w:webHidden/>
              </w:rPr>
              <w:fldChar w:fldCharType="separate"/>
            </w:r>
            <w:r w:rsidR="00FE4F98">
              <w:rPr>
                <w:noProof/>
                <w:webHidden/>
              </w:rPr>
              <w:t>7</w:t>
            </w:r>
            <w:r w:rsidR="00FE4F98">
              <w:rPr>
                <w:noProof/>
                <w:webHidden/>
              </w:rPr>
              <w:fldChar w:fldCharType="end"/>
            </w:r>
          </w:hyperlink>
        </w:p>
        <w:p w14:paraId="7162F3A0" w14:textId="093AF03D" w:rsidR="00FE4F98" w:rsidRDefault="00340F01">
          <w:pPr>
            <w:pStyle w:val="TM1"/>
            <w:rPr>
              <w:rFonts w:eastAsiaTheme="minorEastAsia"/>
              <w:noProof/>
              <w:lang w:val="en-US"/>
            </w:rPr>
          </w:pPr>
          <w:hyperlink w:anchor="_Toc61013795" w:history="1">
            <w:r w:rsidR="00FE4F98" w:rsidRPr="00702008">
              <w:rPr>
                <w:rStyle w:val="Lienhypertexte"/>
                <w:noProof/>
                <w:lang w:val="en-US"/>
              </w:rPr>
              <w:t>Supplement Table 3 — Multiple sclerosis-related medical device reimbursed in incident highly active relapsing-remitting multiple sclerosis adults with at least 2 years of follow-up (n = 8,045), 2010–2017</w:t>
            </w:r>
            <w:r w:rsidR="00FE4F98">
              <w:rPr>
                <w:noProof/>
                <w:webHidden/>
              </w:rPr>
              <w:tab/>
            </w:r>
            <w:r w:rsidR="00FE4F98">
              <w:rPr>
                <w:noProof/>
                <w:webHidden/>
              </w:rPr>
              <w:fldChar w:fldCharType="begin"/>
            </w:r>
            <w:r w:rsidR="00FE4F98">
              <w:rPr>
                <w:noProof/>
                <w:webHidden/>
              </w:rPr>
              <w:instrText xml:space="preserve"> PAGEREF _Toc61013795 \h </w:instrText>
            </w:r>
            <w:r w:rsidR="00FE4F98">
              <w:rPr>
                <w:noProof/>
                <w:webHidden/>
              </w:rPr>
            </w:r>
            <w:r w:rsidR="00FE4F98">
              <w:rPr>
                <w:noProof/>
                <w:webHidden/>
              </w:rPr>
              <w:fldChar w:fldCharType="separate"/>
            </w:r>
            <w:r w:rsidR="00FE4F98">
              <w:rPr>
                <w:noProof/>
                <w:webHidden/>
              </w:rPr>
              <w:t>7</w:t>
            </w:r>
            <w:r w:rsidR="00FE4F98">
              <w:rPr>
                <w:noProof/>
                <w:webHidden/>
              </w:rPr>
              <w:fldChar w:fldCharType="end"/>
            </w:r>
          </w:hyperlink>
        </w:p>
        <w:p w14:paraId="7C293749" w14:textId="36B52D20" w:rsidR="00FE4F98" w:rsidRDefault="00340F01">
          <w:pPr>
            <w:pStyle w:val="TM1"/>
            <w:rPr>
              <w:rFonts w:eastAsiaTheme="minorEastAsia"/>
              <w:noProof/>
              <w:lang w:val="en-US"/>
            </w:rPr>
          </w:pPr>
          <w:hyperlink w:anchor="_Toc61013796" w:history="1">
            <w:r w:rsidR="00FE4F98" w:rsidRPr="00702008">
              <w:rPr>
                <w:rStyle w:val="Lienhypertexte"/>
                <w:noProof/>
                <w:lang w:val="en-US"/>
              </w:rPr>
              <w:t>References</w:t>
            </w:r>
            <w:r w:rsidR="00FE4F98">
              <w:rPr>
                <w:noProof/>
                <w:webHidden/>
              </w:rPr>
              <w:tab/>
            </w:r>
            <w:r w:rsidR="00FE4F98">
              <w:rPr>
                <w:noProof/>
                <w:webHidden/>
              </w:rPr>
              <w:fldChar w:fldCharType="begin"/>
            </w:r>
            <w:r w:rsidR="00FE4F98">
              <w:rPr>
                <w:noProof/>
                <w:webHidden/>
              </w:rPr>
              <w:instrText xml:space="preserve"> PAGEREF _Toc61013796 \h </w:instrText>
            </w:r>
            <w:r w:rsidR="00FE4F98">
              <w:rPr>
                <w:noProof/>
                <w:webHidden/>
              </w:rPr>
            </w:r>
            <w:r w:rsidR="00FE4F98">
              <w:rPr>
                <w:noProof/>
                <w:webHidden/>
              </w:rPr>
              <w:fldChar w:fldCharType="separate"/>
            </w:r>
            <w:r w:rsidR="00FE4F98">
              <w:rPr>
                <w:noProof/>
                <w:webHidden/>
              </w:rPr>
              <w:t>9</w:t>
            </w:r>
            <w:r w:rsidR="00FE4F98">
              <w:rPr>
                <w:noProof/>
                <w:webHidden/>
              </w:rPr>
              <w:fldChar w:fldCharType="end"/>
            </w:r>
          </w:hyperlink>
        </w:p>
        <w:p w14:paraId="77D17EA6" w14:textId="543AD697" w:rsidR="00F94292" w:rsidRDefault="00F94292">
          <w:r>
            <w:rPr>
              <w:b/>
              <w:bCs/>
              <w:noProof/>
            </w:rPr>
            <w:fldChar w:fldCharType="end"/>
          </w:r>
        </w:p>
      </w:sdtContent>
    </w:sdt>
    <w:p w14:paraId="5A5747C0" w14:textId="4C127F43" w:rsidR="00123D86" w:rsidRDefault="00123D86">
      <w:pPr>
        <w:rPr>
          <w:lang w:val="en-US"/>
        </w:rPr>
      </w:pPr>
      <w:r>
        <w:rPr>
          <w:lang w:val="en-US"/>
        </w:rPr>
        <w:br w:type="page"/>
      </w:r>
    </w:p>
    <w:p w14:paraId="756E6280" w14:textId="5F7111DB" w:rsidR="008C7D86" w:rsidRPr="008C7D86" w:rsidRDefault="008C7D86" w:rsidP="008C7D86">
      <w:pPr>
        <w:pStyle w:val="Titre1"/>
        <w:rPr>
          <w:lang w:val="en-US"/>
        </w:rPr>
      </w:pPr>
      <w:bookmarkStart w:id="0" w:name="_Toc61013787"/>
      <w:r w:rsidRPr="008C7D86">
        <w:rPr>
          <w:lang w:val="en-US"/>
        </w:rPr>
        <w:lastRenderedPageBreak/>
        <w:t>Supplement 1 – Methods – The SNIIRAM database</w:t>
      </w:r>
      <w:bookmarkEnd w:id="0"/>
    </w:p>
    <w:p w14:paraId="45C4E7EA" w14:textId="77777777" w:rsidR="008C7D86" w:rsidRDefault="008C7D86" w:rsidP="008C7D86">
      <w:pPr>
        <w:rPr>
          <w:shd w:val="clear" w:color="auto" w:fill="FFFFFF"/>
          <w:lang w:val="en-US"/>
        </w:rPr>
      </w:pPr>
    </w:p>
    <w:p w14:paraId="26C5AD81" w14:textId="1C1B866F" w:rsidR="008C7D86" w:rsidRPr="006F4C34" w:rsidRDefault="008C7D86" w:rsidP="008C7D86">
      <w:pPr>
        <w:rPr>
          <w:color w:val="000000" w:themeColor="text1"/>
          <w:shd w:val="clear" w:color="auto" w:fill="FFFFFF"/>
          <w:lang w:val="en-US"/>
        </w:rPr>
      </w:pPr>
      <w:r w:rsidRPr="00167453">
        <w:rPr>
          <w:shd w:val="clear" w:color="auto" w:fill="FFFFFF"/>
          <w:lang w:val="en-US"/>
        </w:rPr>
        <w:t>The SNIIRAM (</w:t>
      </w:r>
      <w:proofErr w:type="spellStart"/>
      <w:r w:rsidRPr="00167453">
        <w:rPr>
          <w:shd w:val="clear" w:color="auto" w:fill="FFFFFF"/>
          <w:lang w:val="en-US"/>
        </w:rPr>
        <w:t>Système</w:t>
      </w:r>
      <w:proofErr w:type="spellEnd"/>
      <w:r w:rsidRPr="00167453">
        <w:rPr>
          <w:shd w:val="clear" w:color="auto" w:fill="FFFFFF"/>
          <w:lang w:val="en-US"/>
        </w:rPr>
        <w:t xml:space="preserve"> </w:t>
      </w:r>
      <w:proofErr w:type="spellStart"/>
      <w:r w:rsidRPr="00167453">
        <w:rPr>
          <w:shd w:val="clear" w:color="auto" w:fill="FFFFFF"/>
          <w:lang w:val="en-US"/>
        </w:rPr>
        <w:t>Système</w:t>
      </w:r>
      <w:proofErr w:type="spellEnd"/>
      <w:r w:rsidRPr="00167453">
        <w:rPr>
          <w:shd w:val="clear" w:color="auto" w:fill="FFFFFF"/>
          <w:lang w:val="en-US"/>
        </w:rPr>
        <w:t xml:space="preserve"> National </w:t>
      </w:r>
      <w:proofErr w:type="spellStart"/>
      <w:r w:rsidRPr="00167453">
        <w:rPr>
          <w:shd w:val="clear" w:color="auto" w:fill="FFFFFF"/>
          <w:lang w:val="en-US"/>
        </w:rPr>
        <w:t>d'Information</w:t>
      </w:r>
      <w:proofErr w:type="spellEnd"/>
      <w:r w:rsidRPr="00167453">
        <w:rPr>
          <w:shd w:val="clear" w:color="auto" w:fill="FFFFFF"/>
          <w:lang w:val="en-US"/>
        </w:rPr>
        <w:t xml:space="preserve"> Inter-Régimes de </w:t>
      </w:r>
      <w:proofErr w:type="spellStart"/>
      <w:r w:rsidRPr="00167453">
        <w:rPr>
          <w:shd w:val="clear" w:color="auto" w:fill="FFFFFF"/>
          <w:lang w:val="en-US"/>
        </w:rPr>
        <w:t>l'Assurance</w:t>
      </w:r>
      <w:proofErr w:type="spellEnd"/>
      <w:r w:rsidRPr="00167453">
        <w:rPr>
          <w:shd w:val="clear" w:color="auto" w:fill="FFFFFF"/>
          <w:lang w:val="en-US"/>
        </w:rPr>
        <w:t xml:space="preserve"> </w:t>
      </w:r>
      <w:proofErr w:type="spellStart"/>
      <w:r w:rsidRPr="00167453">
        <w:rPr>
          <w:shd w:val="clear" w:color="auto" w:fill="FFFFFF"/>
          <w:lang w:val="en-US"/>
        </w:rPr>
        <w:t>Maladie</w:t>
      </w:r>
      <w:proofErr w:type="spellEnd"/>
      <w:r w:rsidRPr="00167453">
        <w:rPr>
          <w:shd w:val="clear" w:color="auto" w:fill="FFFFFF"/>
          <w:lang w:val="en-US"/>
        </w:rPr>
        <w:t xml:space="preserve">) contains data used for billing and reimbursement of outpatient healthcare </w:t>
      </w:r>
      <w:r w:rsidRPr="00167453">
        <w:rPr>
          <w:color w:val="000000" w:themeColor="text1"/>
          <w:shd w:val="clear" w:color="auto" w:fill="FFFFFF"/>
          <w:lang w:val="en-US"/>
        </w:rPr>
        <w:t>consumption (DCIR [</w:t>
      </w:r>
      <w:proofErr w:type="spellStart"/>
      <w:r w:rsidRPr="00167453">
        <w:rPr>
          <w:color w:val="000000" w:themeColor="text1"/>
          <w:shd w:val="clear" w:color="auto" w:fill="FFFFFF"/>
          <w:lang w:val="en-US"/>
        </w:rPr>
        <w:t>Données</w:t>
      </w:r>
      <w:proofErr w:type="spellEnd"/>
      <w:r w:rsidRPr="00167453">
        <w:rPr>
          <w:color w:val="000000" w:themeColor="text1"/>
          <w:shd w:val="clear" w:color="auto" w:fill="FFFFFF"/>
          <w:lang w:val="en-US"/>
        </w:rPr>
        <w:t xml:space="preserve"> de Consommation </w:t>
      </w:r>
      <w:proofErr w:type="spellStart"/>
      <w:r w:rsidRPr="00167453">
        <w:rPr>
          <w:color w:val="000000" w:themeColor="text1"/>
          <w:shd w:val="clear" w:color="auto" w:fill="FFFFFF"/>
          <w:lang w:val="en-US"/>
        </w:rPr>
        <w:t>InterRégimes</w:t>
      </w:r>
      <w:proofErr w:type="spellEnd"/>
      <w:r w:rsidRPr="00167453">
        <w:rPr>
          <w:color w:val="000000" w:themeColor="text1"/>
          <w:shd w:val="clear" w:color="auto" w:fill="FFFFFF"/>
          <w:lang w:val="en-US"/>
        </w:rPr>
        <w:t>]) linked to the national hospital database (PMSI [</w:t>
      </w:r>
      <w:proofErr w:type="spellStart"/>
      <w:r w:rsidRPr="00167453">
        <w:rPr>
          <w:color w:val="000000" w:themeColor="text1"/>
          <w:shd w:val="clear" w:color="auto" w:fill="FFFFFF"/>
          <w:lang w:val="en-US"/>
        </w:rPr>
        <w:t>Programme</w:t>
      </w:r>
      <w:proofErr w:type="spellEnd"/>
      <w:r w:rsidRPr="00167453">
        <w:rPr>
          <w:color w:val="000000" w:themeColor="text1"/>
          <w:shd w:val="clear" w:color="auto" w:fill="FFFFFF"/>
          <w:lang w:val="en-US"/>
        </w:rPr>
        <w:t xml:space="preserve"> de </w:t>
      </w:r>
      <w:proofErr w:type="spellStart"/>
      <w:r w:rsidRPr="00167453">
        <w:rPr>
          <w:color w:val="000000" w:themeColor="text1"/>
          <w:shd w:val="clear" w:color="auto" w:fill="FFFFFF"/>
          <w:lang w:val="en-US"/>
        </w:rPr>
        <w:t>Médicalisation</w:t>
      </w:r>
      <w:proofErr w:type="spellEnd"/>
      <w:r w:rsidRPr="00167453">
        <w:rPr>
          <w:color w:val="000000" w:themeColor="text1"/>
          <w:shd w:val="clear" w:color="auto" w:fill="FFFFFF"/>
          <w:lang w:val="en-US"/>
        </w:rPr>
        <w:t xml:space="preserve"> des </w:t>
      </w:r>
      <w:proofErr w:type="spellStart"/>
      <w:r w:rsidRPr="00167453">
        <w:rPr>
          <w:color w:val="000000" w:themeColor="text1"/>
          <w:shd w:val="clear" w:color="auto" w:fill="FFFFFF"/>
          <w:lang w:val="en-US"/>
        </w:rPr>
        <w:t>Systèmes</w:t>
      </w:r>
      <w:proofErr w:type="spellEnd"/>
      <w:r w:rsidRPr="00167453">
        <w:rPr>
          <w:color w:val="000000" w:themeColor="text1"/>
          <w:shd w:val="clear" w:color="auto" w:fill="FFFFFF"/>
          <w:lang w:val="en-US"/>
        </w:rPr>
        <w:t xml:space="preserve"> </w:t>
      </w:r>
      <w:proofErr w:type="spellStart"/>
      <w:r w:rsidRPr="00167453">
        <w:rPr>
          <w:color w:val="000000" w:themeColor="text1"/>
          <w:shd w:val="clear" w:color="auto" w:fill="FFFFFF"/>
          <w:lang w:val="en-US"/>
        </w:rPr>
        <w:t>d’Information</w:t>
      </w:r>
      <w:proofErr w:type="spellEnd"/>
      <w:r w:rsidRPr="00167453">
        <w:rPr>
          <w:color w:val="000000" w:themeColor="text1"/>
          <w:shd w:val="clear" w:color="auto" w:fill="FFFFFF"/>
          <w:lang w:val="en-US"/>
        </w:rPr>
        <w:t>])</w:t>
      </w:r>
      <w:r w:rsidR="00B87A16" w:rsidRPr="00167453">
        <w:rPr>
          <w:color w:val="000000" w:themeColor="text1"/>
          <w:shd w:val="clear" w:color="auto" w:fill="FFFFFF"/>
          <w:lang w:val="en-US"/>
        </w:rPr>
        <w:t>.</w:t>
      </w:r>
      <w:r w:rsidR="00B87A16">
        <w:rPr>
          <w:color w:val="000000" w:themeColor="text1"/>
          <w:shd w:val="clear" w:color="auto" w:fill="FFFFFF"/>
        </w:rPr>
        <w:fldChar w:fldCharType="begin"/>
      </w:r>
      <w:r w:rsidR="00B87A16" w:rsidRPr="00167453">
        <w:rPr>
          <w:color w:val="000000" w:themeColor="text1"/>
          <w:shd w:val="clear" w:color="auto" w:fill="FFFFFF"/>
          <w:lang w:val="en-US"/>
        </w:rPr>
        <w:instrText xml:space="preserve"> ADDIN ZOTERO_ITEM CSL_CITATION {"citationID":"lYq7uYy0","properties":{"formattedCitation":"\\super 1\\nosupersub{}","plainCitation":"1","noteIndex":0},"citationItems":[{"id":11551,"uris":["http://zotero.org/groups/2557975/items/ST6QU4TR"],"uri":["http://zotero.org/groups/2557975/items/ST6QU4TR"],"itemData":{"id":11551,"type":"article-journal","abstract":"In 1999, French legislators asked health insurance funds to develop a syste`me national d’information interre´gimes de l’Assurance Maladie (SNIIRAM) [national health insurance information system] in order to more precisely determine and evaluate health care utilization and health care expenditure of bene</w:instrText>
      </w:r>
      <w:r w:rsidR="00B87A16">
        <w:rPr>
          <w:color w:val="000000" w:themeColor="text1"/>
          <w:shd w:val="clear" w:color="auto" w:fill="FFFFFF"/>
          <w:lang w:val="en-US"/>
        </w:rPr>
        <w:instrText>ﬁ</w:instrText>
      </w:r>
      <w:r w:rsidR="00B87A16" w:rsidRPr="00167453">
        <w:rPr>
          <w:color w:val="000000" w:themeColor="text1"/>
          <w:shd w:val="clear" w:color="auto" w:fill="FFFFFF"/>
          <w:lang w:val="en-US"/>
        </w:rPr>
        <w:instrText>ciaries. These data, based on almost 66 million inhabitants in 2015, have already been the subject of numerous international publications on various topics: prevalence and incidence of diseases, patient care pathways, health status and health care utilization of speci</w:instrText>
      </w:r>
      <w:r w:rsidR="00B87A16">
        <w:rPr>
          <w:color w:val="000000" w:themeColor="text1"/>
          <w:shd w:val="clear" w:color="auto" w:fill="FFFFFF"/>
          <w:lang w:val="en-US"/>
        </w:rPr>
        <w:instrText>ﬁ</w:instrText>
      </w:r>
      <w:r w:rsidR="00B87A16" w:rsidRPr="00167453">
        <w:rPr>
          <w:color w:val="000000" w:themeColor="text1"/>
          <w:shd w:val="clear" w:color="auto" w:fill="FFFFFF"/>
          <w:lang w:val="en-US"/>
        </w:rPr>
        <w:instrText>c populations, real-life use of drugs, assessment of adverse effects of drugs or other health care procedures, monitoring of national health insurance expenditure, etc. SNIIRAM comprises individual information on the sociodemographic and medical characteristics of bene</w:instrText>
      </w:r>
      <w:r w:rsidR="00B87A16">
        <w:rPr>
          <w:color w:val="000000" w:themeColor="text1"/>
          <w:shd w:val="clear" w:color="auto" w:fill="FFFFFF"/>
          <w:lang w:val="en-US"/>
        </w:rPr>
        <w:instrText>ﬁ</w:instrText>
      </w:r>
      <w:r w:rsidR="00B87A16" w:rsidRPr="00167453">
        <w:rPr>
          <w:color w:val="000000" w:themeColor="text1"/>
          <w:shd w:val="clear" w:color="auto" w:fill="FFFFFF"/>
          <w:lang w:val="en-US"/>
        </w:rPr>
        <w:instrText>ciaries and all hospital care and of</w:instrText>
      </w:r>
      <w:r w:rsidR="00B87A16">
        <w:rPr>
          <w:color w:val="000000" w:themeColor="text1"/>
          <w:shd w:val="clear" w:color="auto" w:fill="FFFFFF"/>
          <w:lang w:val="en-US"/>
        </w:rPr>
        <w:instrText>ﬁ</w:instrText>
      </w:r>
      <w:r w:rsidR="00B87A16" w:rsidRPr="00167453">
        <w:rPr>
          <w:color w:val="000000" w:themeColor="text1"/>
          <w:shd w:val="clear" w:color="auto" w:fill="FFFFFF"/>
          <w:lang w:val="en-US"/>
        </w:rPr>
        <w:instrText>ce medicine reimbursements, coded according to various systems. Access to data is controlled by permissions dependent on the type of data requested or used, their temporality and the researcher’s status. In general, data can be analyzed by accredited agencies over a period covering the last three years plus the current year, and speci</w:instrText>
      </w:r>
      <w:r w:rsidR="00B87A16">
        <w:rPr>
          <w:color w:val="000000" w:themeColor="text1"/>
          <w:shd w:val="clear" w:color="auto" w:fill="FFFFFF"/>
          <w:lang w:val="en-US"/>
        </w:rPr>
        <w:instrText>ﬁ</w:instrText>
      </w:r>
      <w:r w:rsidR="00B87A16" w:rsidRPr="00167453">
        <w:rPr>
          <w:color w:val="000000" w:themeColor="text1"/>
          <w:shd w:val="clear" w:color="auto" w:fill="FFFFFF"/>
          <w:lang w:val="en-US"/>
        </w:rPr>
        <w:instrText>c requests can be submitted to extract data over longer periods. A 1/97th random sample of SNIIRAM, the e´chantillon ge´ne´raliste des be´ne´</w:instrText>
      </w:r>
      <w:r w:rsidR="00B87A16">
        <w:rPr>
          <w:color w:val="000000" w:themeColor="text1"/>
          <w:shd w:val="clear" w:color="auto" w:fill="FFFFFF"/>
          <w:lang w:val="en-US"/>
        </w:rPr>
        <w:instrText>ﬁ</w:instrText>
      </w:r>
      <w:r w:rsidR="00B87A16" w:rsidRPr="00167453">
        <w:rPr>
          <w:color w:val="000000" w:themeColor="text1"/>
          <w:shd w:val="clear" w:color="auto" w:fill="FFFFFF"/>
          <w:lang w:val="en-US"/>
        </w:rPr>
        <w:instrText>ciaires (EGB), representative of the national population of health insurance bene</w:instrText>
      </w:r>
      <w:r w:rsidR="00B87A16">
        <w:rPr>
          <w:color w:val="000000" w:themeColor="text1"/>
          <w:shd w:val="clear" w:color="auto" w:fill="FFFFFF"/>
          <w:lang w:val="en-US"/>
        </w:rPr>
        <w:instrText>ﬁ</w:instrText>
      </w:r>
      <w:r w:rsidR="00B87A16" w:rsidRPr="00167453">
        <w:rPr>
          <w:color w:val="000000" w:themeColor="text1"/>
          <w:shd w:val="clear" w:color="auto" w:fill="FFFFFF"/>
          <w:lang w:val="en-US"/>
        </w:rPr>
        <w:instrText>ciaries, was composed in 2005 to allow 20-year follow-up with facilitated access for medical research. The EGB is an open cohort, which includes new bene</w:instrText>
      </w:r>
      <w:r w:rsidR="00B87A16">
        <w:rPr>
          <w:color w:val="000000" w:themeColor="text1"/>
          <w:shd w:val="clear" w:color="auto" w:fill="FFFFFF"/>
          <w:lang w:val="en-US"/>
        </w:rPr>
        <w:instrText>ﬁ</w:instrText>
      </w:r>
      <w:r w:rsidR="00B87A16" w:rsidRPr="00167453">
        <w:rPr>
          <w:color w:val="000000" w:themeColor="text1"/>
          <w:shd w:val="clear" w:color="auto" w:fill="FFFFFF"/>
          <w:lang w:val="en-US"/>
        </w:rPr>
        <w:instrText>ciaries and newborn infants. SNIIRAM has continued to grow and extend to become, in 2016, the cornerstone of the future syste`me national des donne´es de sante´ (SNDS) [national health data system], which will gradually integrate new information (causes of death, social and medical data and complementary health insurance). In parallel, the mo</w:instrText>
      </w:r>
      <w:r w:rsidR="00B87A16" w:rsidRPr="00F537DE">
        <w:rPr>
          <w:color w:val="000000" w:themeColor="text1"/>
          <w:shd w:val="clear" w:color="auto" w:fill="FFFFFF"/>
          <w:lang w:val="en-US"/>
        </w:rPr>
        <w:instrText>dalities of data access and protection systems have also evolved. This article describes the SNIIRAM data warehouse and its transformation into SNDS, the data collected, the tools developed in order to facilitate data analysis, the limitations encountered, and changing access permissions.","container-title":"Revue d'Épidémiologie et de Santé Publique","DOI":"10.1016/j.re</w:instrText>
      </w:r>
      <w:r w:rsidR="00B87A16" w:rsidRPr="004A1D59">
        <w:rPr>
          <w:color w:val="000000" w:themeColor="text1"/>
          <w:shd w:val="clear" w:color="auto" w:fill="FFFFFF"/>
          <w:lang w:val="en-US"/>
        </w:rPr>
        <w:instrText>s</w:instrText>
      </w:r>
      <w:r w:rsidR="00B87A16">
        <w:rPr>
          <w:color w:val="000000" w:themeColor="text1"/>
          <w:shd w:val="clear" w:color="auto" w:fill="FFFFFF"/>
          <w:lang w:val="en-US"/>
        </w:rPr>
        <w:instrText xml:space="preserve">pe.2017.05.004","ISSN":"03987620","journalAbbreviation":"Revue d'Épidémiologie et de Santé Publique","language":"en","page":"S149-S167","source":"DOI.org (Crossref)","title":"Value of a national administrative database to guide public decisions: From the système national d’information interrégimes de l’Assurance Maladie (SNIIRAM) to the système national des données de santé (SNDS) in France","title-short":"Value of a national administrative database to guide public decisions","volume":"65","author":[{"family":"Tuppin","given":"P."},{"family":"Rudant","given":"J."},{"family":"Constantinou","given":"P."},{"family":"Gastaldi-Ménager","given":"C."},{"family":"Rachas","given":"A."},{"family":"Roquefeuil","given":"L.","non-dropping-particle":"de"},{"family":"Maura","given":"G."},{"family":"Caillol","given":"H."},{"family":"Tajahmady","given":"A."},{"family":"Coste","given":"J."},{"family":"Gissot","given":"C."},{"family":"Weill","given":"A."},{"family":"Fagot-Campagna","given":"A."}],"issued":{"date-parts":[["2017",10]]}}}],"schema":"https://github.com/citation-style-language/schema/raw/master/csl-citation.json"} </w:instrText>
      </w:r>
      <w:r w:rsidR="00B87A16">
        <w:rPr>
          <w:color w:val="000000" w:themeColor="text1"/>
          <w:shd w:val="clear" w:color="auto" w:fill="FFFFFF"/>
        </w:rPr>
        <w:fldChar w:fldCharType="separate"/>
      </w:r>
      <w:r w:rsidR="00B861CA" w:rsidRPr="00B861CA">
        <w:rPr>
          <w:rFonts w:ascii="Calibri" w:hAnsi="Calibri" w:cs="Calibri"/>
          <w:szCs w:val="24"/>
          <w:vertAlign w:val="superscript"/>
          <w:lang w:val="en-US"/>
        </w:rPr>
        <w:t>1</w:t>
      </w:r>
      <w:r w:rsidR="00B87A16">
        <w:rPr>
          <w:color w:val="000000" w:themeColor="text1"/>
          <w:shd w:val="clear" w:color="auto" w:fill="FFFFFF"/>
        </w:rPr>
        <w:fldChar w:fldCharType="end"/>
      </w:r>
      <w:r w:rsidRPr="00B87A16">
        <w:rPr>
          <w:color w:val="000000" w:themeColor="text1"/>
          <w:shd w:val="clear" w:color="auto" w:fill="FFFFFF"/>
          <w:lang w:val="en-US"/>
        </w:rPr>
        <w:t xml:space="preserve"> </w:t>
      </w:r>
      <w:bookmarkStart w:id="1" w:name="_Hlk51078942"/>
      <w:r w:rsidRPr="005B6DEF">
        <w:rPr>
          <w:color w:val="000000" w:themeColor="text1"/>
          <w:shd w:val="clear" w:color="auto" w:fill="FFFFFF"/>
          <w:lang w:val="en-US"/>
        </w:rPr>
        <w:t xml:space="preserve">The DCIR includes socio-demographic data, </w:t>
      </w:r>
      <w:r>
        <w:rPr>
          <w:color w:val="000000" w:themeColor="text1"/>
          <w:shd w:val="clear" w:color="auto" w:fill="FFFFFF"/>
          <w:lang w:val="en-US"/>
        </w:rPr>
        <w:t xml:space="preserve">paid </w:t>
      </w:r>
      <w:r w:rsidRPr="005B6DEF">
        <w:rPr>
          <w:color w:val="000000" w:themeColor="text1"/>
          <w:shd w:val="clear" w:color="auto" w:fill="FFFFFF"/>
          <w:lang w:val="en-US"/>
        </w:rPr>
        <w:t>sick leave</w:t>
      </w:r>
      <w:r>
        <w:rPr>
          <w:color w:val="000000" w:themeColor="text1"/>
          <w:shd w:val="clear" w:color="auto" w:fill="FFFFFF"/>
          <w:lang w:val="en-US"/>
        </w:rPr>
        <w:t>,</w:t>
      </w:r>
      <w:r w:rsidRPr="005B6DEF">
        <w:rPr>
          <w:color w:val="000000" w:themeColor="text1"/>
          <w:shd w:val="clear" w:color="auto" w:fill="FFFFFF"/>
          <w:lang w:val="en-US"/>
        </w:rPr>
        <w:t xml:space="preserve"> disability pension,</w:t>
      </w:r>
      <w:bookmarkEnd w:id="1"/>
      <w:r w:rsidRPr="005B6DEF">
        <w:rPr>
          <w:color w:val="000000" w:themeColor="text1"/>
          <w:shd w:val="clear" w:color="auto" w:fill="FFFFFF"/>
          <w:lang w:val="en-US"/>
        </w:rPr>
        <w:t xml:space="preserve"> </w:t>
      </w:r>
      <w:r>
        <w:rPr>
          <w:color w:val="000000" w:themeColor="text1"/>
          <w:shd w:val="clear" w:color="auto" w:fill="FFFFFF"/>
          <w:lang w:val="en-US"/>
        </w:rPr>
        <w:t>p</w:t>
      </w:r>
      <w:r w:rsidRPr="00210F0F">
        <w:rPr>
          <w:color w:val="000000" w:themeColor="text1"/>
          <w:shd w:val="clear" w:color="auto" w:fill="FFFFFF"/>
          <w:lang w:val="en-US"/>
        </w:rPr>
        <w:t>rimary and secondary care visit</w:t>
      </w:r>
      <w:r>
        <w:rPr>
          <w:color w:val="000000" w:themeColor="text1"/>
          <w:shd w:val="clear" w:color="auto" w:fill="FFFFFF"/>
          <w:lang w:val="en-US"/>
        </w:rPr>
        <w:t>s</w:t>
      </w:r>
      <w:r w:rsidRPr="005B6DEF">
        <w:rPr>
          <w:color w:val="000000" w:themeColor="text1"/>
          <w:shd w:val="clear" w:color="auto" w:fill="FFFFFF"/>
          <w:lang w:val="en-US"/>
        </w:rPr>
        <w:t xml:space="preserve">, </w:t>
      </w:r>
      <w:r>
        <w:rPr>
          <w:color w:val="000000" w:themeColor="text1"/>
          <w:shd w:val="clear" w:color="auto" w:fill="FFFFFF"/>
          <w:lang w:val="en-US"/>
        </w:rPr>
        <w:t xml:space="preserve">community </w:t>
      </w:r>
      <w:r w:rsidRPr="005B6DEF">
        <w:rPr>
          <w:color w:val="000000" w:themeColor="text1"/>
          <w:shd w:val="clear" w:color="auto" w:fill="FFFFFF"/>
          <w:lang w:val="en-US"/>
        </w:rPr>
        <w:t xml:space="preserve">medical </w:t>
      </w:r>
      <w:r>
        <w:rPr>
          <w:color w:val="000000" w:themeColor="text1"/>
          <w:shd w:val="clear" w:color="auto" w:fill="FFFFFF"/>
          <w:lang w:val="en-US"/>
        </w:rPr>
        <w:t>care</w:t>
      </w:r>
      <w:r w:rsidRPr="005B6DEF">
        <w:rPr>
          <w:color w:val="000000" w:themeColor="text1"/>
          <w:shd w:val="clear" w:color="auto" w:fill="FFFFFF"/>
          <w:lang w:val="en-US"/>
        </w:rPr>
        <w:t xml:space="preserve"> and surgical procedures, imaging exams, drugs and medical devices covered by </w:t>
      </w:r>
      <w:r>
        <w:rPr>
          <w:color w:val="000000" w:themeColor="text1"/>
          <w:shd w:val="clear" w:color="auto" w:fill="FFFFFF"/>
          <w:lang w:val="en-US"/>
        </w:rPr>
        <w:t>the National Health Insurance (</w:t>
      </w:r>
      <w:r w:rsidRPr="005B6DEF">
        <w:rPr>
          <w:color w:val="000000" w:themeColor="text1"/>
          <w:shd w:val="clear" w:color="auto" w:fill="FFFFFF"/>
          <w:lang w:val="en-US"/>
        </w:rPr>
        <w:t>NHI</w:t>
      </w:r>
      <w:r>
        <w:rPr>
          <w:color w:val="000000" w:themeColor="text1"/>
          <w:shd w:val="clear" w:color="auto" w:fill="FFFFFF"/>
          <w:lang w:val="en-US"/>
        </w:rPr>
        <w:t>)</w:t>
      </w:r>
      <w:r w:rsidRPr="005B6DEF">
        <w:rPr>
          <w:color w:val="000000" w:themeColor="text1"/>
          <w:shd w:val="clear" w:color="auto" w:fill="FFFFFF"/>
          <w:lang w:val="en-US"/>
        </w:rPr>
        <w:t xml:space="preserve">, </w:t>
      </w:r>
      <w:r>
        <w:rPr>
          <w:color w:val="000000" w:themeColor="text1"/>
          <w:shd w:val="clear" w:color="auto" w:fill="FFFFFF"/>
          <w:lang w:val="en-US"/>
        </w:rPr>
        <w:t xml:space="preserve">and </w:t>
      </w:r>
      <w:r w:rsidRPr="005B6DEF">
        <w:rPr>
          <w:color w:val="000000" w:themeColor="text1"/>
          <w:shd w:val="clear" w:color="auto" w:fill="FFFFFF"/>
          <w:lang w:val="en-US"/>
        </w:rPr>
        <w:t>covered transportation expenditure.</w:t>
      </w:r>
      <w:r>
        <w:rPr>
          <w:color w:val="000000" w:themeColor="text1"/>
          <w:shd w:val="clear" w:color="auto" w:fill="FFFFFF"/>
          <w:lang w:val="en-US"/>
        </w:rPr>
        <w:t xml:space="preserve"> DCIR also records </w:t>
      </w:r>
      <w:r w:rsidR="00167453">
        <w:rPr>
          <w:color w:val="000000" w:themeColor="text1"/>
          <w:shd w:val="clear" w:color="auto" w:fill="FFFFFF"/>
          <w:lang w:val="en-US"/>
        </w:rPr>
        <w:t>LTD</w:t>
      </w:r>
      <w:r>
        <w:rPr>
          <w:color w:val="000000" w:themeColor="text1"/>
          <w:shd w:val="clear" w:color="auto" w:fill="FFFFFF"/>
          <w:lang w:val="en-US"/>
        </w:rPr>
        <w:t xml:space="preserve"> (long-term disease [Affection de Longue Durée]) status. </w:t>
      </w:r>
      <w:r w:rsidRPr="006F4C34">
        <w:rPr>
          <w:color w:val="000000" w:themeColor="text1"/>
          <w:shd w:val="clear" w:color="auto" w:fill="FFFFFF"/>
          <w:lang w:val="en-US"/>
        </w:rPr>
        <w:t>Meanwhile, the PMSI includes information based on anonymous discharge summaries following stays in hospitals, rehabilitation centers, hospitalization at home</w:t>
      </w:r>
      <w:r>
        <w:rPr>
          <w:color w:val="000000" w:themeColor="text1"/>
          <w:shd w:val="clear" w:color="auto" w:fill="FFFFFF"/>
          <w:lang w:val="en-US"/>
        </w:rPr>
        <w:t>,</w:t>
      </w:r>
      <w:r w:rsidRPr="006F4C34">
        <w:rPr>
          <w:color w:val="000000" w:themeColor="text1"/>
          <w:shd w:val="clear" w:color="auto" w:fill="FFFFFF"/>
          <w:lang w:val="en-US"/>
        </w:rPr>
        <w:t xml:space="preserve"> and psychiatric institutions.</w:t>
      </w:r>
    </w:p>
    <w:p w14:paraId="0A1F7F96" w14:textId="331F4CF3" w:rsidR="008C7D86" w:rsidRDefault="008C7D86" w:rsidP="00D56DD2">
      <w:pPr>
        <w:rPr>
          <w:color w:val="000000" w:themeColor="text1"/>
          <w:shd w:val="clear" w:color="auto" w:fill="FFFFFF"/>
          <w:lang w:val="en-US"/>
        </w:rPr>
      </w:pPr>
    </w:p>
    <w:p w14:paraId="52D7D480" w14:textId="77777777" w:rsidR="00430CB7" w:rsidRPr="00D56DD2" w:rsidRDefault="00430CB7" w:rsidP="00D56DD2">
      <w:pPr>
        <w:rPr>
          <w:color w:val="000000" w:themeColor="text1"/>
          <w:shd w:val="clear" w:color="auto" w:fill="FFFFFF"/>
          <w:lang w:val="en-US"/>
        </w:rPr>
      </w:pPr>
    </w:p>
    <w:p w14:paraId="7B7D11F5" w14:textId="4A0935C8" w:rsidR="005F2B2F" w:rsidRDefault="00123D86" w:rsidP="00123D86">
      <w:pPr>
        <w:pStyle w:val="Titre1"/>
        <w:rPr>
          <w:lang w:val="en-US"/>
        </w:rPr>
      </w:pPr>
      <w:bookmarkStart w:id="2" w:name="_Toc61013788"/>
      <w:r>
        <w:rPr>
          <w:lang w:val="en-US"/>
        </w:rPr>
        <w:t xml:space="preserve">Supplement </w:t>
      </w:r>
      <w:r w:rsidR="008C7D86">
        <w:rPr>
          <w:lang w:val="en-US"/>
        </w:rPr>
        <w:t>2</w:t>
      </w:r>
      <w:r>
        <w:rPr>
          <w:lang w:val="en-US"/>
        </w:rPr>
        <w:t xml:space="preserve"> – Methods</w:t>
      </w:r>
      <w:r w:rsidR="00F94292">
        <w:rPr>
          <w:lang w:val="en-US"/>
        </w:rPr>
        <w:t xml:space="preserve"> – The French healthcare system</w:t>
      </w:r>
      <w:bookmarkEnd w:id="2"/>
    </w:p>
    <w:p w14:paraId="493F61FF" w14:textId="77777777" w:rsidR="00F94292" w:rsidRDefault="00F94292" w:rsidP="00F94292">
      <w:pPr>
        <w:rPr>
          <w:shd w:val="clear" w:color="auto" w:fill="FFFFFF"/>
          <w:lang w:val="en-US"/>
        </w:rPr>
      </w:pPr>
    </w:p>
    <w:p w14:paraId="7D0EC65E" w14:textId="0EE46C8C" w:rsidR="00F94292" w:rsidRDefault="00F94292" w:rsidP="00F94292">
      <w:pPr>
        <w:rPr>
          <w:shd w:val="clear" w:color="auto" w:fill="FFFFFF"/>
          <w:lang w:val="en-US"/>
        </w:rPr>
      </w:pPr>
      <w:r w:rsidRPr="00AD00F9">
        <w:rPr>
          <w:shd w:val="clear" w:color="auto" w:fill="FFFFFF"/>
          <w:lang w:val="en-US"/>
        </w:rPr>
        <w:t xml:space="preserve">France’s universal healthcare system guarantees coverage of healthcare expenses to people working or residing in France. </w:t>
      </w:r>
      <w:bookmarkStart w:id="3" w:name="_Hlk56441908"/>
      <w:r w:rsidRPr="00AD00F9">
        <w:rPr>
          <w:shd w:val="clear" w:color="auto" w:fill="FFFFFF"/>
          <w:lang w:val="en-US"/>
        </w:rPr>
        <w:t>The healthcare system covers primary and secondary care expenses as well as medications, medical devices, and hospital costs</w:t>
      </w:r>
      <w:r w:rsidR="00F574CD">
        <w:rPr>
          <w:shd w:val="clear" w:color="auto" w:fill="FFFFFF"/>
          <w:lang w:val="en-US"/>
        </w:rPr>
        <w:t>.</w:t>
      </w:r>
      <w:r>
        <w:rPr>
          <w:shd w:val="clear" w:color="auto" w:fill="FFFFFF"/>
          <w:lang w:val="en-US"/>
        </w:rPr>
        <w:fldChar w:fldCharType="begin"/>
      </w:r>
      <w:r w:rsidR="00B87A16">
        <w:rPr>
          <w:shd w:val="clear" w:color="auto" w:fill="FFFFFF"/>
          <w:lang w:val="en-US"/>
        </w:rPr>
        <w:instrText xml:space="preserve"> ADDIN ZOTERO_ITEM CSL_CITATION {"citationID":"5ifCmcNV","properties":{"formattedCitation":"\\super 2\\nosupersub{}","plainCitation":"2","noteIndex":0},"citationItems":[{"id":10498,"uris":["http://zotero.org/groups/2474284/items/FS78KBP5"],"uri":["http://zotero.org/groups/2474284/items/FS78KBP5"],"itemData":{"id":10498,"type":"webpage","container-title":"Vous informer sur la protection sociale à l'international","language":"English","title":"The French Social Security System. I-Health, maternity, paternity, disability, and death","URL":"https://www.cleiss.fr/docs/regimes/regime_france/an_1.html","author":[{"family":"Centre des liaisons européennes et internationales de sécurité sociale","given":""},{"family":"République Française","given":""}],"accessed":{"date-parts":[["2020",10,12]]},"issued":{"date-parts":[["2020"]]}}}],"schema":"https://github.com/citation-style-language/schema/raw/master/csl-citation.json"} </w:instrText>
      </w:r>
      <w:r>
        <w:rPr>
          <w:shd w:val="clear" w:color="auto" w:fill="FFFFFF"/>
          <w:lang w:val="en-US"/>
        </w:rPr>
        <w:fldChar w:fldCharType="separate"/>
      </w:r>
      <w:r w:rsidR="00B861CA" w:rsidRPr="00B861CA">
        <w:rPr>
          <w:rFonts w:ascii="Calibri" w:hAnsi="Calibri" w:cs="Calibri"/>
          <w:szCs w:val="24"/>
          <w:vertAlign w:val="superscript"/>
          <w:lang w:val="en-US"/>
        </w:rPr>
        <w:t>2</w:t>
      </w:r>
      <w:r>
        <w:rPr>
          <w:shd w:val="clear" w:color="auto" w:fill="FFFFFF"/>
          <w:lang w:val="en-US"/>
        </w:rPr>
        <w:fldChar w:fldCharType="end"/>
      </w:r>
      <w:bookmarkEnd w:id="3"/>
      <w:r w:rsidRPr="00AD00F9">
        <w:rPr>
          <w:shd w:val="clear" w:color="auto" w:fill="FFFFFF"/>
          <w:lang w:val="en-US"/>
        </w:rPr>
        <w:t xml:space="preserve"> The majority of healthcare expenses are reimbursed by the NHI: usually about 70% of doctors’ appointments, 80% of hospital care, 65% of prescribed medications considered to be useful and 100% of very expensive drugs and medical devices administered during a hospital stay. The patient is generally required to pay part of their medical expenses ("ticket </w:t>
      </w:r>
      <w:proofErr w:type="spellStart"/>
      <w:r w:rsidRPr="00AD00F9">
        <w:rPr>
          <w:shd w:val="clear" w:color="auto" w:fill="FFFFFF"/>
          <w:lang w:val="en-US"/>
        </w:rPr>
        <w:t>modérateur</w:t>
      </w:r>
      <w:proofErr w:type="spellEnd"/>
      <w:r w:rsidRPr="00AD00F9">
        <w:rPr>
          <w:shd w:val="clear" w:color="auto" w:fill="FFFFFF"/>
          <w:lang w:val="en-US"/>
        </w:rPr>
        <w:t>") out of pocket. In special cases however, such as long-term diseases</w:t>
      </w:r>
      <w:r>
        <w:rPr>
          <w:shd w:val="clear" w:color="auto" w:fill="FFFFFF"/>
          <w:lang w:val="en-US"/>
        </w:rPr>
        <w:t xml:space="preserve"> </w:t>
      </w:r>
      <w:r w:rsidRPr="005B6DEF">
        <w:rPr>
          <w:color w:val="000000" w:themeColor="text1"/>
          <w:shd w:val="clear" w:color="auto" w:fill="FFFFFF"/>
          <w:lang w:val="en-US"/>
        </w:rPr>
        <w:t>(</w:t>
      </w:r>
      <w:r w:rsidR="00167453">
        <w:rPr>
          <w:color w:val="000000" w:themeColor="text1"/>
          <w:shd w:val="clear" w:color="auto" w:fill="FFFFFF"/>
          <w:lang w:val="en-US"/>
        </w:rPr>
        <w:t>LTD</w:t>
      </w:r>
      <w:r w:rsidRPr="005B6DEF">
        <w:rPr>
          <w:color w:val="000000" w:themeColor="text1"/>
          <w:shd w:val="clear" w:color="auto" w:fill="FFFFFF"/>
          <w:lang w:val="en-US"/>
        </w:rPr>
        <w:t xml:space="preserve"> [Affection de Longue Durée])</w:t>
      </w:r>
      <w:r w:rsidRPr="00AD00F9">
        <w:rPr>
          <w:shd w:val="clear" w:color="auto" w:fill="FFFFFF"/>
          <w:lang w:val="en-US"/>
        </w:rPr>
        <w:t>, the patient is exempted from this co-payment.</w:t>
      </w:r>
      <w:r>
        <w:rPr>
          <w:shd w:val="clear" w:color="auto" w:fill="FFFFFF"/>
          <w:lang w:val="en-US"/>
        </w:rPr>
        <w:t xml:space="preserve"> </w:t>
      </w:r>
      <w:r w:rsidR="004766C1">
        <w:rPr>
          <w:shd w:val="clear" w:color="auto" w:fill="FFFFFF"/>
          <w:lang w:val="en-US"/>
        </w:rPr>
        <w:t>Multiple sclerosis (</w:t>
      </w:r>
      <w:r>
        <w:rPr>
          <w:shd w:val="clear" w:color="auto" w:fill="FFFFFF"/>
          <w:lang w:val="en-US"/>
        </w:rPr>
        <w:t>MS</w:t>
      </w:r>
      <w:r w:rsidR="004766C1">
        <w:rPr>
          <w:shd w:val="clear" w:color="auto" w:fill="FFFFFF"/>
          <w:lang w:val="en-US"/>
        </w:rPr>
        <w:t>)</w:t>
      </w:r>
      <w:r>
        <w:rPr>
          <w:shd w:val="clear" w:color="auto" w:fill="FFFFFF"/>
          <w:lang w:val="en-US"/>
        </w:rPr>
        <w:t xml:space="preserve"> is one of the </w:t>
      </w:r>
      <w:r w:rsidR="00167453">
        <w:rPr>
          <w:shd w:val="clear" w:color="auto" w:fill="FFFFFF"/>
          <w:lang w:val="en-US"/>
        </w:rPr>
        <w:t>LTD</w:t>
      </w:r>
      <w:r>
        <w:rPr>
          <w:shd w:val="clear" w:color="auto" w:fill="FFFFFF"/>
          <w:lang w:val="en-US"/>
        </w:rPr>
        <w:t>s.</w:t>
      </w:r>
    </w:p>
    <w:p w14:paraId="16E11002" w14:textId="008F7DC3" w:rsidR="007A7869" w:rsidRPr="00AD00F9" w:rsidRDefault="007A7869" w:rsidP="00F94292">
      <w:pPr>
        <w:rPr>
          <w:shd w:val="clear" w:color="auto" w:fill="FFFFFF"/>
          <w:lang w:val="en-US"/>
        </w:rPr>
      </w:pPr>
      <w:r>
        <w:rPr>
          <w:shd w:val="clear" w:color="auto" w:fill="FFFFFF"/>
          <w:lang w:val="en-US"/>
        </w:rPr>
        <w:t xml:space="preserve">The NHI includes several insurance schemes. </w:t>
      </w:r>
      <w:r w:rsidRPr="00F463BF">
        <w:rPr>
          <w:shd w:val="clear" w:color="auto" w:fill="FFFFFF"/>
          <w:lang w:val="en-US"/>
        </w:rPr>
        <w:t xml:space="preserve">There are no major differences between schemes in terms of </w:t>
      </w:r>
      <w:r>
        <w:rPr>
          <w:shd w:val="clear" w:color="auto" w:fill="FFFFFF"/>
          <w:lang w:val="en-US"/>
        </w:rPr>
        <w:t xml:space="preserve">health expenses’ </w:t>
      </w:r>
      <w:r w:rsidRPr="00F463BF">
        <w:rPr>
          <w:shd w:val="clear" w:color="auto" w:fill="FFFFFF"/>
          <w:lang w:val="en-US"/>
        </w:rPr>
        <w:t>coverage.</w:t>
      </w:r>
      <w:r w:rsidR="004A1D59">
        <w:rPr>
          <w:shd w:val="clear" w:color="auto" w:fill="FFFFFF"/>
          <w:lang w:val="en-US"/>
        </w:rPr>
        <w:t xml:space="preserve"> The General Scheme covers employees of the private sector.</w:t>
      </w:r>
      <w:r w:rsidR="004A1D59">
        <w:rPr>
          <w:shd w:val="clear" w:color="auto" w:fill="FFFFFF"/>
          <w:lang w:val="en-US"/>
        </w:rPr>
        <w:fldChar w:fldCharType="begin"/>
      </w:r>
      <w:r w:rsidR="004A1D59">
        <w:rPr>
          <w:shd w:val="clear" w:color="auto" w:fill="FFFFFF"/>
          <w:lang w:val="en-US"/>
        </w:rPr>
        <w:instrText xml:space="preserve"> ADDIN ZOTERO_ITEM CSL_CITATION {"citationID":"T3RFGXuW","properties":{"formattedCitation":"\\super 1\\nosupersub{}","plainCitation":"1","noteIndex":0},"citationItems":[{"id":11551,"uris":["http://zotero.org/groups/2557975/items/ST6QU4TR"],"uri":["http://zotero.org/groups/2557975/items/ST6QU4TR"],"itemData":{"id":11551,"type":"article-journal","abstract":"In 1999, French legislators asked health insurance funds to develop a syste`me national d’information interre´gimes de l’Assurance Maladie (SNIIRAM) [national health insurance information system] in order to more precisely determine and evaluate health care utilization and health care expenditure of beneﬁciaries. These data, based on almost 66 million inhabitants in 2015, have already been the subject of numerous international publications on various topics: prevalence and incidence of diseases, patient care pathways, health status and health care utilization of speciﬁc populations, real-life use of drugs, assessment of adverse effects of drugs or other health care procedures, monitoring of national health insurance expenditure, etc. SNIIRAM comprises individual information on the sociodemographic and medical characteristics of beneﬁciaries and all hospital care and ofﬁce medicine reimbursements, coded according to various systems. Access to data is controlled by permissions dependent on the type of data requested or used, their temporality and the researcher’s status. In general, data can be analyzed by accredited agencies over a period covering the last three years plus the current year, and speciﬁc requests can be submitted to extract data over longer periods. A 1/97th random sample of SNIIRAM, the e´chantillon ge´ne´raliste des be´ne´ﬁciaires (EGB), representative of the national population of health insurance beneﬁciaries, was composed in 2005 to allow 20-year follow-up with facilitated access for medical research. The EGB is an open cohort, which includes new beneﬁciaries and newborn infants. SNIIRAM has continued to grow and extend to become, in 2016, the cornerstone of the future syste`me national des donne´es de sante´ (SNDS) [national health data system], which will gradually integrate new information (causes of death, social and medical data and complementary health insurance). In parallel, the modalities of data access and protection systems have also evolved. This article describes the SNIIRAM data warehouse and its transformation into SNDS, the data collected, the tools developed in order to facilitate data analysis, the limitations encountered, and changing access permissions.","container-title":"Revue d'Épidémiologie et de Santé Publique","DOI":"10.1016/j.respe.2017.05.004","ISSN":"03987620","journalAbbreviation":"Revue d'Épidémiologie et de Santé Publique","language":"en","page":"S149-S167","source":"DOI.org (Crossref)","title":"Value of a national administrative database to guide public decisions: From the système national d’information interrégimes de l’Assurance Maladie (SNIIRAM) to the système national des données de santé (SNDS) in France","title-short":"Value of a national administrative database to guide public decisions","volume":"65","author":[{"family":"Tuppin","given":"P."},{"family":"Rudant","given":"J."},{"family":"Constantinou","given":"P."},{"family":"Gastaldi-Ménager","given":"C."},{"family":"Rachas","given":"A."},{"family":"Roquefeuil","given":"L.","non-dropping-particle":"de"},{"family":"Maura","given":"G."},{"family":"Caillol","given":"H."},{"family":"Tajahmady","given":"A."},{"family":"Coste","given":"J."},{"family":"Gissot","given":"C."},{"family":"Weill","given":"A."},{"family":"Fagot-Campagna","given":"A."}],"issued":{"date-parts":[["2017",10]]}}}],"schema":"https://github.com/citation-style-language/schema/raw/master/csl-citation.json"} </w:instrText>
      </w:r>
      <w:r w:rsidR="004A1D59">
        <w:rPr>
          <w:shd w:val="clear" w:color="auto" w:fill="FFFFFF"/>
          <w:lang w:val="en-US"/>
        </w:rPr>
        <w:fldChar w:fldCharType="separate"/>
      </w:r>
      <w:r w:rsidR="00B861CA" w:rsidRPr="00B861CA">
        <w:rPr>
          <w:rFonts w:ascii="Calibri" w:hAnsi="Calibri" w:cs="Calibri"/>
          <w:szCs w:val="24"/>
          <w:vertAlign w:val="superscript"/>
          <w:lang w:val="en-US"/>
        </w:rPr>
        <w:t>1</w:t>
      </w:r>
      <w:r w:rsidR="004A1D59">
        <w:rPr>
          <w:shd w:val="clear" w:color="auto" w:fill="FFFFFF"/>
          <w:lang w:val="en-US"/>
        </w:rPr>
        <w:fldChar w:fldCharType="end"/>
      </w:r>
    </w:p>
    <w:p w14:paraId="1561D281" w14:textId="405D5C36" w:rsidR="008C7D86" w:rsidRDefault="00905E22">
      <w:pPr>
        <w:rPr>
          <w:shd w:val="clear" w:color="auto" w:fill="FFFFFF"/>
          <w:lang w:val="en-US"/>
        </w:rPr>
      </w:pPr>
      <w:r w:rsidRPr="00905E22">
        <w:rPr>
          <w:shd w:val="clear" w:color="auto" w:fill="FFFFFF"/>
          <w:lang w:val="en-US"/>
        </w:rPr>
        <w:t xml:space="preserve">Paid sick leave is granted </w:t>
      </w:r>
      <w:r>
        <w:rPr>
          <w:shd w:val="clear" w:color="auto" w:fill="FFFFFF"/>
          <w:lang w:val="en-US"/>
        </w:rPr>
        <w:t>by the NHI to</w:t>
      </w:r>
      <w:r w:rsidRPr="00905E22">
        <w:rPr>
          <w:shd w:val="clear" w:color="auto" w:fill="FFFFFF"/>
          <w:lang w:val="en-US"/>
        </w:rPr>
        <w:t xml:space="preserve"> employees and unemployed individuals</w:t>
      </w:r>
      <w:r w:rsidR="00F574CD">
        <w:rPr>
          <w:shd w:val="clear" w:color="auto" w:fill="FFFFFF"/>
          <w:lang w:val="en-US"/>
        </w:rPr>
        <w:t>.</w:t>
      </w:r>
      <w:r>
        <w:rPr>
          <w:shd w:val="clear" w:color="auto" w:fill="FFFFFF"/>
        </w:rPr>
        <w:fldChar w:fldCharType="begin"/>
      </w:r>
      <w:r w:rsidR="00B87A16">
        <w:rPr>
          <w:shd w:val="clear" w:color="auto" w:fill="FFFFFF"/>
          <w:lang w:val="en-US"/>
        </w:rPr>
        <w:instrText xml:space="preserve"> ADDIN ZOTERO_ITEM CSL_CITATION {"citationID":"SsJS0FmR","properties":{"formattedCitation":"\\super 3\\nosupersub{}","plainCitation":"3","noteIndex":0},"citationItems":[{"id":11550,"uris":["http://zotero.org/groups/2557975/items/BERVXLXW"],"uri":["http://zotero.org/groups/2557975/items/BERVXLXW"],"itemData":{"id":11550,"type":"webpage","abstract":"Salariés, sans emploi, artisans/commerçants : lors de votre arrêt maladie, l'Assurance Maladie peut vous verser une compensation partielle de votre perte de salaire : ce sont les indemnités journalières.","language":"fr","title":"Arrêt maladie","URL":"https://www.ameli.fr/assure/remboursements/indemnites-journalieres/arret-maladie","accessed":{"date-parts":[["2020",9,15]]}}}],"schema":"https://github.com/citation-style-language/schema/raw/master/csl-citation.json"} </w:instrText>
      </w:r>
      <w:r>
        <w:rPr>
          <w:shd w:val="clear" w:color="auto" w:fill="FFFFFF"/>
        </w:rPr>
        <w:fldChar w:fldCharType="separate"/>
      </w:r>
      <w:r w:rsidR="00B861CA" w:rsidRPr="00B861CA">
        <w:rPr>
          <w:rFonts w:ascii="Calibri" w:hAnsi="Calibri" w:cs="Calibri"/>
          <w:szCs w:val="24"/>
          <w:vertAlign w:val="superscript"/>
          <w:lang w:val="en-US"/>
        </w:rPr>
        <w:t>3</w:t>
      </w:r>
      <w:r>
        <w:rPr>
          <w:shd w:val="clear" w:color="auto" w:fill="FFFFFF"/>
        </w:rPr>
        <w:fldChar w:fldCharType="end"/>
      </w:r>
      <w:r w:rsidRPr="00905E22">
        <w:rPr>
          <w:shd w:val="clear" w:color="auto" w:fill="FFFFFF"/>
          <w:lang w:val="en-US"/>
        </w:rPr>
        <w:t xml:space="preserve"> Disability pensions are granted to employees &lt;60 years old and have 3 levels, based on the severity of the disability (level 3 is the highest)</w:t>
      </w:r>
      <w:r w:rsidR="00F574CD">
        <w:rPr>
          <w:shd w:val="clear" w:color="auto" w:fill="FFFFFF"/>
          <w:lang w:val="en-US"/>
        </w:rPr>
        <w:t>.</w:t>
      </w:r>
      <w:r>
        <w:rPr>
          <w:shd w:val="clear" w:color="auto" w:fill="FFFFFF"/>
        </w:rPr>
        <w:fldChar w:fldCharType="begin"/>
      </w:r>
      <w:r w:rsidR="00B87A16">
        <w:rPr>
          <w:shd w:val="clear" w:color="auto" w:fill="FFFFFF"/>
          <w:lang w:val="en-US"/>
        </w:rPr>
        <w:instrText xml:space="preserve"> ADDIN ZOTERO_ITEM CSL_CITATION {"citationID":"c4ZjvQSv","properties":{"formattedCitation":"\\super 4\\nosupersub{}","plainCitation":"4","noteIndex":0},"citationItems":[{"id":11549,"uris":["http://zotero.org/groups/2557975/items/BDWDN4QR"],"uri":["http://zotero.org/groups/2557975/items/BDWDN4QR"],"itemData":{"id":11549,"type":"webpage","abstract":"Consultez les montants minimum et maximum des pensions d'invalidité.","language":"fr","title":"Pensions d'invalidité","URL":"https://www.ameli.fr/entreprise/vos-salaries/montants-reference/pension-invalidite","accessed":{"date-parts":[["2020",9,15]]}}}],"schema":"https://github.com/citation-style-language/schema/raw/master/csl-citation.json"} </w:instrText>
      </w:r>
      <w:r>
        <w:rPr>
          <w:shd w:val="clear" w:color="auto" w:fill="FFFFFF"/>
        </w:rPr>
        <w:fldChar w:fldCharType="separate"/>
      </w:r>
      <w:r w:rsidR="00B861CA" w:rsidRPr="00B861CA">
        <w:rPr>
          <w:rFonts w:ascii="Calibri" w:hAnsi="Calibri" w:cs="Calibri"/>
          <w:szCs w:val="24"/>
          <w:vertAlign w:val="superscript"/>
          <w:lang w:val="en-US"/>
        </w:rPr>
        <w:t>4</w:t>
      </w:r>
      <w:r>
        <w:rPr>
          <w:shd w:val="clear" w:color="auto" w:fill="FFFFFF"/>
        </w:rPr>
        <w:fldChar w:fldCharType="end"/>
      </w:r>
      <w:r w:rsidRPr="00905E22">
        <w:rPr>
          <w:shd w:val="clear" w:color="auto" w:fill="FFFFFF"/>
          <w:lang w:val="en-US"/>
        </w:rPr>
        <w:t xml:space="preserve"> Level 1 is for disabled employees able to perform a paid job, level 2 is for disabled employees unable to perform a paid job, and level 3 is for disabled employees unable to perform a paid job and in addition, requiring assistance from a third party to perform everyday tasks.</w:t>
      </w:r>
    </w:p>
    <w:p w14:paraId="69346936" w14:textId="45892B69" w:rsidR="008C7D86" w:rsidRDefault="008C7D86">
      <w:pPr>
        <w:rPr>
          <w:shd w:val="clear" w:color="auto" w:fill="FFFFFF"/>
          <w:lang w:val="en-US"/>
        </w:rPr>
      </w:pPr>
    </w:p>
    <w:p w14:paraId="46BDC6FE" w14:textId="19B3C121" w:rsidR="001B7D81" w:rsidRDefault="001B7D81" w:rsidP="00B861CA">
      <w:pPr>
        <w:pStyle w:val="Titre1"/>
        <w:rPr>
          <w:lang w:val="en-US"/>
        </w:rPr>
      </w:pPr>
      <w:r>
        <w:rPr>
          <w:lang w:val="en-US"/>
        </w:rPr>
        <w:br w:type="page"/>
      </w:r>
      <w:bookmarkStart w:id="4" w:name="_Toc61013789"/>
      <w:r w:rsidR="00B861CA">
        <w:rPr>
          <w:lang w:val="en-US"/>
        </w:rPr>
        <w:lastRenderedPageBreak/>
        <w:t>Supplement 3 – Methods – Exclusion criteria</w:t>
      </w:r>
      <w:bookmarkEnd w:id="4"/>
    </w:p>
    <w:p w14:paraId="117D26BB" w14:textId="77777777" w:rsidR="00B861CA" w:rsidRDefault="00B861CA" w:rsidP="00B861CA">
      <w:pPr>
        <w:rPr>
          <w:shd w:val="clear" w:color="auto" w:fill="FFFFFF"/>
          <w:lang w:val="en-US"/>
        </w:rPr>
      </w:pPr>
    </w:p>
    <w:p w14:paraId="3F62E19E" w14:textId="6602B8EC" w:rsidR="00B861CA" w:rsidRPr="00246741" w:rsidRDefault="00B861CA" w:rsidP="00B861CA">
      <w:pPr>
        <w:rPr>
          <w:shd w:val="clear" w:color="auto" w:fill="FFFFFF"/>
          <w:lang w:val="en-US"/>
        </w:rPr>
      </w:pPr>
      <w:r>
        <w:rPr>
          <w:shd w:val="clear" w:color="auto" w:fill="FFFFFF"/>
          <w:lang w:val="en-US"/>
        </w:rPr>
        <w:t>We</w:t>
      </w:r>
      <w:r w:rsidRPr="007B3521">
        <w:rPr>
          <w:shd w:val="clear" w:color="auto" w:fill="FFFFFF"/>
          <w:lang w:val="en-US"/>
        </w:rPr>
        <w:t xml:space="preserve"> </w:t>
      </w:r>
      <w:r>
        <w:rPr>
          <w:shd w:val="clear" w:color="auto" w:fill="FFFFFF"/>
          <w:lang w:val="en-US"/>
        </w:rPr>
        <w:t>excluded patients without a unique identification number</w:t>
      </w:r>
      <w:r w:rsidRPr="00842131">
        <w:rPr>
          <w:shd w:val="clear" w:color="auto" w:fill="FFFFFF"/>
          <w:lang w:val="en-US"/>
        </w:rPr>
        <w:t xml:space="preserve">. We also excluded </w:t>
      </w:r>
      <w:r>
        <w:rPr>
          <w:shd w:val="clear" w:color="auto" w:fill="FFFFFF"/>
          <w:lang w:val="en-US"/>
        </w:rPr>
        <w:t xml:space="preserve">patients treated with natalizumab and </w:t>
      </w:r>
      <w:r w:rsidRPr="00F82AAE">
        <w:rPr>
          <w:shd w:val="clear" w:color="auto" w:fill="FFFFFF"/>
          <w:lang w:val="en-US"/>
        </w:rPr>
        <w:t xml:space="preserve">at least one hospitalization for Crohn’s disease </w:t>
      </w:r>
      <w:r>
        <w:rPr>
          <w:shd w:val="clear" w:color="auto" w:fill="FFFFFF"/>
          <w:lang w:val="en-US"/>
        </w:rPr>
        <w:t xml:space="preserve">therapy </w:t>
      </w:r>
      <w:r w:rsidRPr="00F82AAE">
        <w:rPr>
          <w:shd w:val="clear" w:color="auto" w:fill="FFFFFF"/>
          <w:lang w:val="en-US"/>
        </w:rPr>
        <w:t>the year prior to the index date</w:t>
      </w:r>
      <w:r>
        <w:rPr>
          <w:shd w:val="clear" w:color="auto" w:fill="FFFFFF"/>
          <w:lang w:val="en-US"/>
        </w:rPr>
        <w:t xml:space="preserve">; </w:t>
      </w:r>
      <w:r w:rsidRPr="00F82AAE">
        <w:rPr>
          <w:shd w:val="clear" w:color="auto" w:fill="FFFFFF"/>
          <w:lang w:val="en-US"/>
        </w:rPr>
        <w:t xml:space="preserve">patients treated </w:t>
      </w:r>
      <w:r>
        <w:rPr>
          <w:shd w:val="clear" w:color="auto" w:fill="FFFFFF"/>
          <w:lang w:val="en-US"/>
        </w:rPr>
        <w:t>with</w:t>
      </w:r>
      <w:r w:rsidRPr="00F82AAE">
        <w:rPr>
          <w:shd w:val="clear" w:color="auto" w:fill="FFFFFF"/>
          <w:lang w:val="en-US"/>
        </w:rPr>
        <w:t xml:space="preserve"> natalizumab </w:t>
      </w:r>
      <w:r>
        <w:rPr>
          <w:shd w:val="clear" w:color="auto" w:fill="FFFFFF"/>
          <w:lang w:val="en-US"/>
        </w:rPr>
        <w:t>and</w:t>
      </w:r>
      <w:r w:rsidRPr="00F82AAE">
        <w:rPr>
          <w:shd w:val="clear" w:color="auto" w:fill="FFFFFF"/>
          <w:lang w:val="en-US"/>
        </w:rPr>
        <w:t xml:space="preserve"> a missing hospital diagnosis at index date (no diagnosis for R</w:t>
      </w:r>
      <w:r w:rsidRPr="00A34B01">
        <w:rPr>
          <w:shd w:val="clear" w:color="auto" w:fill="FFFFFF"/>
          <w:lang w:val="en-US"/>
        </w:rPr>
        <w:t>D</w:t>
      </w:r>
      <w:r>
        <w:rPr>
          <w:shd w:val="clear" w:color="auto" w:fill="FFFFFF"/>
          <w:lang w:val="en-US"/>
        </w:rPr>
        <w:t>/</w:t>
      </w:r>
      <w:r w:rsidRPr="00F82AAE">
        <w:rPr>
          <w:shd w:val="clear" w:color="auto" w:fill="FFFFFF"/>
          <w:lang w:val="en-US"/>
        </w:rPr>
        <w:t>S</w:t>
      </w:r>
      <w:r w:rsidRPr="00A34B01">
        <w:rPr>
          <w:shd w:val="clear" w:color="auto" w:fill="FFFFFF"/>
          <w:lang w:val="en-US"/>
        </w:rPr>
        <w:t>AD</w:t>
      </w:r>
      <w:r w:rsidRPr="00F82AAE">
        <w:rPr>
          <w:shd w:val="clear" w:color="auto" w:fill="FFFFFF"/>
          <w:lang w:val="en-US"/>
        </w:rPr>
        <w:t xml:space="preserve">) </w:t>
      </w:r>
      <w:r>
        <w:rPr>
          <w:shd w:val="clear" w:color="auto" w:fill="FFFFFF"/>
          <w:lang w:val="en-US"/>
        </w:rPr>
        <w:t>and no hospitalization</w:t>
      </w:r>
      <w:r w:rsidRPr="00F82AAE">
        <w:rPr>
          <w:shd w:val="clear" w:color="auto" w:fill="FFFFFF"/>
          <w:lang w:val="en-US"/>
        </w:rPr>
        <w:t xml:space="preserve"> for MS</w:t>
      </w:r>
      <w:r>
        <w:rPr>
          <w:shd w:val="clear" w:color="auto" w:fill="FFFFFF"/>
          <w:lang w:val="en-US"/>
        </w:rPr>
        <w:t xml:space="preserve"> </w:t>
      </w:r>
      <w:r w:rsidRPr="00F82AAE">
        <w:rPr>
          <w:shd w:val="clear" w:color="auto" w:fill="FFFFFF"/>
          <w:lang w:val="en-US"/>
        </w:rPr>
        <w:t>(P</w:t>
      </w:r>
      <w:r>
        <w:rPr>
          <w:shd w:val="clear" w:color="auto" w:fill="FFFFFF"/>
          <w:lang w:val="en-US"/>
        </w:rPr>
        <w:t>D</w:t>
      </w:r>
      <w:r w:rsidRPr="00F82AAE">
        <w:rPr>
          <w:shd w:val="clear" w:color="auto" w:fill="FFFFFF"/>
          <w:lang w:val="en-US"/>
        </w:rPr>
        <w:t>/R</w:t>
      </w:r>
      <w:r>
        <w:rPr>
          <w:shd w:val="clear" w:color="auto" w:fill="FFFFFF"/>
          <w:lang w:val="en-US"/>
        </w:rPr>
        <w:t>D</w:t>
      </w:r>
      <w:r w:rsidRPr="00F82AAE">
        <w:rPr>
          <w:shd w:val="clear" w:color="auto" w:fill="FFFFFF"/>
          <w:lang w:val="en-US"/>
        </w:rPr>
        <w:t>/S</w:t>
      </w:r>
      <w:r>
        <w:rPr>
          <w:shd w:val="clear" w:color="auto" w:fill="FFFFFF"/>
          <w:lang w:val="en-US"/>
        </w:rPr>
        <w:t>AD</w:t>
      </w:r>
      <w:r w:rsidRPr="00F82AAE">
        <w:rPr>
          <w:shd w:val="clear" w:color="auto" w:fill="FFFFFF"/>
          <w:lang w:val="en-US"/>
        </w:rPr>
        <w:t>)</w:t>
      </w:r>
      <w:r>
        <w:rPr>
          <w:shd w:val="clear" w:color="auto" w:fill="FFFFFF"/>
          <w:lang w:val="en-US"/>
        </w:rPr>
        <w:t xml:space="preserve"> the year following to the index date</w:t>
      </w:r>
      <w:r w:rsidRPr="00F82AAE">
        <w:rPr>
          <w:shd w:val="clear" w:color="auto" w:fill="FFFFFF"/>
          <w:lang w:val="en-US"/>
        </w:rPr>
        <w:t>.</w:t>
      </w:r>
    </w:p>
    <w:p w14:paraId="74B2FDB9" w14:textId="77777777" w:rsidR="00B861CA" w:rsidRDefault="00B861CA" w:rsidP="00B861CA">
      <w:pPr>
        <w:rPr>
          <w:shd w:val="clear" w:color="auto" w:fill="FFFFFF"/>
          <w:lang w:val="en-US"/>
        </w:rPr>
      </w:pPr>
      <w:r>
        <w:rPr>
          <w:shd w:val="clear" w:color="auto" w:fill="FFFFFF"/>
          <w:lang w:val="en-US"/>
        </w:rPr>
        <w:t>M</w:t>
      </w:r>
      <w:r w:rsidRPr="00AD241D">
        <w:rPr>
          <w:shd w:val="clear" w:color="auto" w:fill="FFFFFF"/>
          <w:lang w:val="en-US"/>
        </w:rPr>
        <w:t xml:space="preserve">itoxantrone is </w:t>
      </w:r>
      <w:r>
        <w:rPr>
          <w:shd w:val="clear" w:color="auto" w:fill="FFFFFF"/>
          <w:lang w:val="en-US"/>
        </w:rPr>
        <w:t>also used to treat aggressive MS</w:t>
      </w:r>
      <w:r w:rsidRPr="00AD241D">
        <w:rPr>
          <w:shd w:val="clear" w:color="auto" w:fill="FFFFFF"/>
          <w:lang w:val="en-US"/>
        </w:rPr>
        <w:t xml:space="preserve">. However, </w:t>
      </w:r>
      <w:r>
        <w:rPr>
          <w:shd w:val="clear" w:color="auto" w:fill="FFFFFF"/>
          <w:lang w:val="en-US"/>
        </w:rPr>
        <w:t xml:space="preserve">as </w:t>
      </w:r>
      <w:r w:rsidRPr="00AD241D">
        <w:rPr>
          <w:shd w:val="clear" w:color="auto" w:fill="FFFFFF"/>
          <w:lang w:val="en-US"/>
        </w:rPr>
        <w:t xml:space="preserve">it </w:t>
      </w:r>
      <w:r>
        <w:rPr>
          <w:shd w:val="clear" w:color="auto" w:fill="FFFFFF"/>
          <w:lang w:val="en-US"/>
        </w:rPr>
        <w:t>is included in the price of the hospital stay, it could not be used to select them. The number of patients treated with mitoxantrone was small and decreased between 2010 and 2017.</w:t>
      </w:r>
    </w:p>
    <w:p w14:paraId="2004D6D9" w14:textId="77777777" w:rsidR="00B861CA" w:rsidRDefault="00B861CA">
      <w:pPr>
        <w:rPr>
          <w:lang w:val="en-US"/>
        </w:rPr>
      </w:pPr>
    </w:p>
    <w:p w14:paraId="23138615" w14:textId="617E43D3" w:rsidR="00053F4B" w:rsidRDefault="001B7D81" w:rsidP="001B7D81">
      <w:pPr>
        <w:pStyle w:val="Titre1"/>
        <w:rPr>
          <w:lang w:val="en-US"/>
        </w:rPr>
      </w:pPr>
      <w:bookmarkStart w:id="5" w:name="_Toc61013790"/>
      <w:r>
        <w:rPr>
          <w:lang w:val="en-US"/>
        </w:rPr>
        <w:t xml:space="preserve">Supplement </w:t>
      </w:r>
      <w:r w:rsidR="00B861CA">
        <w:rPr>
          <w:lang w:val="en-US"/>
        </w:rPr>
        <w:t>4</w:t>
      </w:r>
      <w:r>
        <w:rPr>
          <w:lang w:val="en-US"/>
        </w:rPr>
        <w:t xml:space="preserve"> – Methods – </w:t>
      </w:r>
      <w:r w:rsidR="00053F4B">
        <w:rPr>
          <w:lang w:val="en-US"/>
        </w:rPr>
        <w:t>Definition of multiple sclerosis-related hospitalization</w:t>
      </w:r>
      <w:bookmarkEnd w:id="5"/>
    </w:p>
    <w:p w14:paraId="6CBECE9A" w14:textId="6F08DAC9" w:rsidR="00053F4B" w:rsidRDefault="00053F4B" w:rsidP="00053F4B">
      <w:pPr>
        <w:rPr>
          <w:lang w:val="en-US"/>
        </w:rPr>
      </w:pPr>
    </w:p>
    <w:p w14:paraId="41BE4023" w14:textId="489995C9" w:rsidR="00053F4B" w:rsidRDefault="004766C1" w:rsidP="00053F4B">
      <w:pPr>
        <w:rPr>
          <w:color w:val="000000" w:themeColor="text1"/>
          <w:shd w:val="clear" w:color="auto" w:fill="FFFFFF"/>
          <w:lang w:val="en-US"/>
        </w:rPr>
      </w:pPr>
      <w:r w:rsidRPr="00D94464">
        <w:rPr>
          <w:lang w:val="en-US"/>
        </w:rPr>
        <w:t xml:space="preserve">MS-related hospitalization was identified in the </w:t>
      </w:r>
      <w:r w:rsidRPr="00D94464">
        <w:rPr>
          <w:color w:val="000000" w:themeColor="text1"/>
          <w:shd w:val="clear" w:color="auto" w:fill="FFFFFF"/>
          <w:lang w:val="en-US"/>
        </w:rPr>
        <w:t>PMSI, based on information available in the anonymous discharge summaries</w:t>
      </w:r>
      <w:r w:rsidR="00D94464">
        <w:rPr>
          <w:color w:val="000000" w:themeColor="text1"/>
          <w:shd w:val="clear" w:color="auto" w:fill="FFFFFF"/>
          <w:lang w:val="en-US"/>
        </w:rPr>
        <w:t>, using the following:</w:t>
      </w:r>
    </w:p>
    <w:p w14:paraId="47141391" w14:textId="00C8C3DC" w:rsidR="00B24CFC" w:rsidRDefault="00B24CFC" w:rsidP="00053F4B">
      <w:pPr>
        <w:rPr>
          <w:color w:val="000000" w:themeColor="text1"/>
          <w:shd w:val="clear" w:color="auto" w:fill="FFFFFF"/>
          <w:lang w:val="en-US"/>
        </w:rPr>
      </w:pPr>
      <w:r>
        <w:rPr>
          <w:color w:val="000000" w:themeColor="text1"/>
          <w:shd w:val="clear" w:color="auto" w:fill="FFFFFF"/>
          <w:lang w:val="en-US"/>
        </w:rPr>
        <w:t>For the period two years prior to the index date</w:t>
      </w:r>
      <w:r w:rsidR="00DB6E18">
        <w:rPr>
          <w:color w:val="000000" w:themeColor="text1"/>
          <w:shd w:val="clear" w:color="auto" w:fill="FFFFFF"/>
          <w:lang w:val="en-US"/>
        </w:rPr>
        <w:t xml:space="preserve"> until the index date</w:t>
      </w:r>
      <w:r>
        <w:rPr>
          <w:color w:val="000000" w:themeColor="text1"/>
          <w:shd w:val="clear" w:color="auto" w:fill="FFFFFF"/>
          <w:lang w:val="en-US"/>
        </w:rPr>
        <w:t>:</w:t>
      </w:r>
    </w:p>
    <w:p w14:paraId="20BB7320" w14:textId="77777777" w:rsidR="00B24CFC" w:rsidRPr="00D94464" w:rsidRDefault="00B24CFC" w:rsidP="00B24CFC">
      <w:pPr>
        <w:pStyle w:val="Paragraphedeliste"/>
        <w:numPr>
          <w:ilvl w:val="0"/>
          <w:numId w:val="3"/>
        </w:numPr>
      </w:pPr>
      <w:r w:rsidRPr="00D94464">
        <w:t>principal diagnosis = G35 (ICD-10)</w:t>
      </w:r>
    </w:p>
    <w:p w14:paraId="4546A69A" w14:textId="523C5BD4" w:rsidR="00B24CFC" w:rsidRDefault="00B24CFC" w:rsidP="00053F4B">
      <w:pPr>
        <w:rPr>
          <w:lang w:val="en-US"/>
        </w:rPr>
      </w:pPr>
    </w:p>
    <w:p w14:paraId="709BBF9C" w14:textId="09F4B318" w:rsidR="00B24CFC" w:rsidRDefault="00B24CFC" w:rsidP="00053F4B">
      <w:pPr>
        <w:rPr>
          <w:lang w:val="en-US"/>
        </w:rPr>
      </w:pPr>
      <w:r>
        <w:rPr>
          <w:lang w:val="en-US"/>
        </w:rPr>
        <w:t>For the period between the index date and the end of the study:</w:t>
      </w:r>
    </w:p>
    <w:p w14:paraId="4C051568" w14:textId="639578D5" w:rsidR="004766C1" w:rsidRPr="00D94464" w:rsidRDefault="004766C1" w:rsidP="00D94464">
      <w:pPr>
        <w:pStyle w:val="Paragraphedeliste"/>
        <w:numPr>
          <w:ilvl w:val="0"/>
          <w:numId w:val="3"/>
        </w:numPr>
      </w:pPr>
      <w:r w:rsidRPr="00D94464">
        <w:t>principal diagnosis = G35</w:t>
      </w:r>
    </w:p>
    <w:p w14:paraId="7A1301EE" w14:textId="18165FF0" w:rsidR="004766C1" w:rsidRPr="00D94464" w:rsidRDefault="004766C1" w:rsidP="00D94464">
      <w:pPr>
        <w:pStyle w:val="Paragraphedeliste"/>
        <w:numPr>
          <w:ilvl w:val="0"/>
          <w:numId w:val="3"/>
        </w:numPr>
      </w:pPr>
      <w:r w:rsidRPr="00D94464">
        <w:t>or related diagnosis = G35</w:t>
      </w:r>
    </w:p>
    <w:p w14:paraId="463E0EC8" w14:textId="2D6B3156" w:rsidR="004766C1" w:rsidRPr="00D94464" w:rsidRDefault="004766C1" w:rsidP="00D94464">
      <w:pPr>
        <w:pStyle w:val="Paragraphedeliste"/>
        <w:numPr>
          <w:ilvl w:val="0"/>
          <w:numId w:val="3"/>
        </w:numPr>
      </w:pPr>
      <w:r w:rsidRPr="00D94464">
        <w:t>or empty related diagnosis and significant associated diagnosis = G35</w:t>
      </w:r>
    </w:p>
    <w:p w14:paraId="3E2E1EB5" w14:textId="07895050" w:rsidR="004766C1" w:rsidRPr="00D94464" w:rsidRDefault="004766C1" w:rsidP="00D94464">
      <w:pPr>
        <w:pStyle w:val="Paragraphedeliste"/>
        <w:numPr>
          <w:ilvl w:val="0"/>
          <w:numId w:val="3"/>
        </w:numPr>
      </w:pPr>
      <w:r w:rsidRPr="00D94464">
        <w:t>or Principal diagnosis</w:t>
      </w:r>
      <w:r w:rsidRPr="00D94464">
        <w:rPr>
          <w:rFonts w:asciiTheme="minorHAnsi" w:hAnsiTheme="minorHAnsi"/>
        </w:rPr>
        <w:t xml:space="preserve"> with Z512 </w:t>
      </w:r>
      <w:r w:rsidRPr="00D94464">
        <w:t xml:space="preserve">(ICD-10) </w:t>
      </w:r>
      <w:r w:rsidRPr="00D94464">
        <w:rPr>
          <w:rFonts w:asciiTheme="minorHAnsi" w:hAnsiTheme="minorHAnsi"/>
        </w:rPr>
        <w:t xml:space="preserve">and </w:t>
      </w:r>
      <w:r w:rsidRPr="00D94464">
        <w:t xml:space="preserve">related diagnosis </w:t>
      </w:r>
      <w:r w:rsidRPr="00D94464">
        <w:rPr>
          <w:rFonts w:asciiTheme="minorHAnsi" w:hAnsiTheme="minorHAnsi"/>
        </w:rPr>
        <w:t>/</w:t>
      </w:r>
      <w:r w:rsidRPr="00D94464">
        <w:t xml:space="preserve"> significant associated diagnosis =</w:t>
      </w:r>
      <w:r w:rsidRPr="00D94464">
        <w:rPr>
          <w:rFonts w:asciiTheme="minorHAnsi" w:hAnsiTheme="minorHAnsi"/>
        </w:rPr>
        <w:t xml:space="preserve"> G35</w:t>
      </w:r>
    </w:p>
    <w:p w14:paraId="473E2F60" w14:textId="77777777" w:rsidR="004766C1" w:rsidRPr="004766C1" w:rsidRDefault="004766C1" w:rsidP="00053F4B">
      <w:pPr>
        <w:rPr>
          <w:lang w:val="en-US"/>
        </w:rPr>
      </w:pPr>
    </w:p>
    <w:p w14:paraId="3DA04B0D" w14:textId="651A0ADA" w:rsidR="00053F4B" w:rsidRPr="004766C1" w:rsidRDefault="00053F4B">
      <w:pPr>
        <w:rPr>
          <w:rFonts w:asciiTheme="majorHAnsi" w:eastAsiaTheme="majorEastAsia" w:hAnsiTheme="majorHAnsi" w:cstheme="majorBidi"/>
          <w:color w:val="2F5496" w:themeColor="accent1" w:themeShade="BF"/>
          <w:sz w:val="32"/>
          <w:szCs w:val="32"/>
          <w:lang w:val="en-US"/>
        </w:rPr>
      </w:pPr>
    </w:p>
    <w:p w14:paraId="572099C7" w14:textId="161D4143" w:rsidR="001B7D81" w:rsidRDefault="00053F4B" w:rsidP="001B7D81">
      <w:pPr>
        <w:pStyle w:val="Titre1"/>
        <w:rPr>
          <w:lang w:val="en-US"/>
        </w:rPr>
      </w:pPr>
      <w:bookmarkStart w:id="6" w:name="_Toc61013791"/>
      <w:r>
        <w:rPr>
          <w:lang w:val="en-US"/>
        </w:rPr>
        <w:t xml:space="preserve">Supplement </w:t>
      </w:r>
      <w:r w:rsidR="00B861CA">
        <w:rPr>
          <w:lang w:val="en-US"/>
        </w:rPr>
        <w:t>5</w:t>
      </w:r>
      <w:r>
        <w:rPr>
          <w:lang w:val="en-US"/>
        </w:rPr>
        <w:t xml:space="preserve"> – Methods – </w:t>
      </w:r>
      <w:r w:rsidR="001B7D81">
        <w:rPr>
          <w:lang w:val="en-US"/>
        </w:rPr>
        <w:t>Definition of prevalence, incidence, mortality</w:t>
      </w:r>
      <w:r w:rsidR="00262500">
        <w:rPr>
          <w:lang w:val="en-US"/>
        </w:rPr>
        <w:t xml:space="preserve">, and the </w:t>
      </w:r>
      <w:r w:rsidR="00262500" w:rsidRPr="004C0C2A">
        <w:rPr>
          <w:lang w:val="en-US"/>
        </w:rPr>
        <w:t>Charlson Comorbidity Index</w:t>
      </w:r>
      <w:bookmarkEnd w:id="6"/>
    </w:p>
    <w:p w14:paraId="4BA08AF4" w14:textId="77777777" w:rsidR="001B7D81" w:rsidRDefault="001B7D81">
      <w:pPr>
        <w:rPr>
          <w:lang w:val="en-US"/>
        </w:rPr>
      </w:pPr>
    </w:p>
    <w:p w14:paraId="3B335942" w14:textId="08423615" w:rsidR="001B7D81" w:rsidRPr="00891CB8" w:rsidRDefault="001B7D81" w:rsidP="001B7D81">
      <w:pPr>
        <w:pStyle w:val="MittleresRaster1-Akzent21"/>
        <w:ind w:left="0"/>
        <w:jc w:val="both"/>
        <w:rPr>
          <w:rFonts w:asciiTheme="minorHAnsi" w:eastAsiaTheme="minorHAnsi" w:hAnsiTheme="minorHAnsi" w:cstheme="minorBidi"/>
          <w:sz w:val="22"/>
          <w:szCs w:val="22"/>
          <w:shd w:val="clear" w:color="auto" w:fill="FFFFFF"/>
          <w:lang w:eastAsia="en-US"/>
        </w:rPr>
      </w:pPr>
      <w:r>
        <w:rPr>
          <w:rFonts w:asciiTheme="minorHAnsi" w:eastAsiaTheme="minorHAnsi" w:hAnsiTheme="minorHAnsi" w:cstheme="minorBidi"/>
          <w:sz w:val="22"/>
          <w:szCs w:val="22"/>
          <w:shd w:val="clear" w:color="auto" w:fill="FFFFFF"/>
          <w:lang w:eastAsia="en-US"/>
        </w:rPr>
        <w:t>F</w:t>
      </w:r>
      <w:r w:rsidRPr="00891CB8">
        <w:rPr>
          <w:rFonts w:asciiTheme="minorHAnsi" w:eastAsiaTheme="minorHAnsi" w:hAnsiTheme="minorHAnsi" w:cstheme="minorBidi"/>
          <w:sz w:val="22"/>
          <w:szCs w:val="22"/>
          <w:shd w:val="clear" w:color="auto" w:fill="FFFFFF"/>
          <w:lang w:eastAsia="en-US"/>
        </w:rPr>
        <w:t xml:space="preserve">or each year </w:t>
      </w:r>
      <w:r>
        <w:rPr>
          <w:rFonts w:asciiTheme="minorHAnsi" w:eastAsiaTheme="minorHAnsi" w:hAnsiTheme="minorHAnsi" w:cstheme="minorBidi"/>
          <w:sz w:val="22"/>
          <w:szCs w:val="22"/>
          <w:shd w:val="clear" w:color="auto" w:fill="FFFFFF"/>
          <w:lang w:eastAsia="en-US"/>
        </w:rPr>
        <w:t>from</w:t>
      </w:r>
      <w:r w:rsidRPr="00891CB8">
        <w:rPr>
          <w:rFonts w:asciiTheme="minorHAnsi" w:eastAsiaTheme="minorHAnsi" w:hAnsiTheme="minorHAnsi" w:cstheme="minorBidi"/>
          <w:sz w:val="22"/>
          <w:szCs w:val="22"/>
          <w:shd w:val="clear" w:color="auto" w:fill="FFFFFF"/>
          <w:lang w:eastAsia="en-US"/>
        </w:rPr>
        <w:t xml:space="preserve"> 2010 to 2015</w:t>
      </w:r>
      <w:r>
        <w:rPr>
          <w:rFonts w:asciiTheme="minorHAnsi" w:eastAsiaTheme="minorHAnsi" w:hAnsiTheme="minorHAnsi" w:cstheme="minorBidi"/>
          <w:sz w:val="22"/>
          <w:szCs w:val="22"/>
          <w:shd w:val="clear" w:color="auto" w:fill="FFFFFF"/>
          <w:lang w:eastAsia="en-US"/>
        </w:rPr>
        <w:t>, the p</w:t>
      </w:r>
      <w:r w:rsidRPr="00891CB8">
        <w:rPr>
          <w:rFonts w:asciiTheme="minorHAnsi" w:eastAsiaTheme="minorHAnsi" w:hAnsiTheme="minorHAnsi" w:cstheme="minorBidi"/>
          <w:sz w:val="22"/>
          <w:szCs w:val="22"/>
          <w:shd w:val="clear" w:color="auto" w:fill="FFFFFF"/>
          <w:lang w:eastAsia="en-US"/>
        </w:rPr>
        <w:t>revalence</w:t>
      </w:r>
      <w:r>
        <w:rPr>
          <w:rFonts w:asciiTheme="minorHAnsi" w:eastAsiaTheme="minorHAnsi" w:hAnsiTheme="minorHAnsi" w:cstheme="minorBidi"/>
          <w:sz w:val="22"/>
          <w:szCs w:val="22"/>
          <w:shd w:val="clear" w:color="auto" w:fill="FFFFFF"/>
          <w:lang w:eastAsia="en-US"/>
        </w:rPr>
        <w:t xml:space="preserve"> rate </w:t>
      </w:r>
      <w:r w:rsidRPr="00891CB8">
        <w:rPr>
          <w:rFonts w:asciiTheme="minorHAnsi" w:eastAsiaTheme="minorHAnsi" w:hAnsiTheme="minorHAnsi" w:cstheme="minorBidi"/>
          <w:sz w:val="22"/>
          <w:szCs w:val="22"/>
          <w:shd w:val="clear" w:color="auto" w:fill="FFFFFF"/>
          <w:lang w:eastAsia="en-US"/>
        </w:rPr>
        <w:t xml:space="preserve">was defined as the number of patients with </w:t>
      </w:r>
      <w:r>
        <w:rPr>
          <w:rFonts w:asciiTheme="minorHAnsi" w:eastAsiaTheme="minorHAnsi" w:hAnsiTheme="minorHAnsi" w:cstheme="minorBidi"/>
          <w:sz w:val="22"/>
          <w:szCs w:val="22"/>
          <w:shd w:val="clear" w:color="auto" w:fill="FFFFFF"/>
          <w:lang w:eastAsia="en-US"/>
        </w:rPr>
        <w:t xml:space="preserve">an </w:t>
      </w:r>
      <w:r w:rsidR="004766C1" w:rsidRPr="004766C1">
        <w:rPr>
          <w:rFonts w:asciiTheme="minorHAnsi" w:eastAsiaTheme="minorHAnsi" w:hAnsiTheme="minorHAnsi" w:cstheme="minorBidi"/>
          <w:sz w:val="22"/>
          <w:szCs w:val="22"/>
          <w:shd w:val="clear" w:color="auto" w:fill="FFFFFF"/>
          <w:lang w:eastAsia="en-US"/>
        </w:rPr>
        <w:t>highly active relapsing-remitting multiple sclerosis</w:t>
      </w:r>
      <w:r w:rsidR="004766C1">
        <w:rPr>
          <w:rFonts w:asciiTheme="minorHAnsi" w:eastAsiaTheme="minorHAnsi" w:hAnsiTheme="minorHAnsi" w:cstheme="minorBidi"/>
          <w:sz w:val="22"/>
          <w:szCs w:val="22"/>
          <w:shd w:val="clear" w:color="auto" w:fill="FFFFFF"/>
          <w:lang w:eastAsia="en-US"/>
        </w:rPr>
        <w:t xml:space="preserve"> (</w:t>
      </w:r>
      <w:r>
        <w:rPr>
          <w:rFonts w:asciiTheme="minorHAnsi" w:eastAsiaTheme="minorHAnsi" w:hAnsiTheme="minorHAnsi" w:cstheme="minorBidi"/>
          <w:sz w:val="22"/>
          <w:szCs w:val="22"/>
          <w:shd w:val="clear" w:color="auto" w:fill="FFFFFF"/>
          <w:lang w:eastAsia="en-US"/>
        </w:rPr>
        <w:t>HA-RRMS</w:t>
      </w:r>
      <w:r w:rsidR="004766C1">
        <w:rPr>
          <w:rFonts w:asciiTheme="minorHAnsi" w:eastAsiaTheme="minorHAnsi" w:hAnsiTheme="minorHAnsi" w:cstheme="minorBidi"/>
          <w:sz w:val="22"/>
          <w:szCs w:val="22"/>
          <w:shd w:val="clear" w:color="auto" w:fill="FFFFFF"/>
          <w:lang w:eastAsia="en-US"/>
        </w:rPr>
        <w:t>)</w:t>
      </w:r>
      <w:r w:rsidRPr="00891CB8">
        <w:rPr>
          <w:rFonts w:asciiTheme="minorHAnsi" w:eastAsiaTheme="minorHAnsi" w:hAnsiTheme="minorHAnsi" w:cstheme="minorBidi"/>
          <w:sz w:val="22"/>
          <w:szCs w:val="22"/>
          <w:shd w:val="clear" w:color="auto" w:fill="FFFFFF"/>
          <w:lang w:eastAsia="en-US"/>
        </w:rPr>
        <w:t xml:space="preserve"> divided by the number of people </w:t>
      </w:r>
      <w:r>
        <w:rPr>
          <w:rFonts w:asciiTheme="minorHAnsi" w:eastAsiaTheme="minorHAnsi" w:hAnsiTheme="minorHAnsi" w:cstheme="minorBidi"/>
          <w:sz w:val="22"/>
          <w:szCs w:val="22"/>
          <w:shd w:val="clear" w:color="auto" w:fill="FFFFFF"/>
          <w:lang w:eastAsia="en-US"/>
        </w:rPr>
        <w:t>covered</w:t>
      </w:r>
      <w:r w:rsidRPr="00891CB8">
        <w:rPr>
          <w:rFonts w:asciiTheme="minorHAnsi" w:eastAsiaTheme="minorHAnsi" w:hAnsiTheme="minorHAnsi" w:cstheme="minorBidi"/>
          <w:sz w:val="22"/>
          <w:szCs w:val="22"/>
          <w:shd w:val="clear" w:color="auto" w:fill="FFFFFF"/>
          <w:lang w:eastAsia="en-US"/>
        </w:rPr>
        <w:t xml:space="preserve"> by the </w:t>
      </w:r>
      <w:r>
        <w:rPr>
          <w:rFonts w:asciiTheme="minorHAnsi" w:eastAsiaTheme="minorHAnsi" w:hAnsiTheme="minorHAnsi" w:cstheme="minorBidi"/>
          <w:sz w:val="22"/>
          <w:szCs w:val="22"/>
          <w:shd w:val="clear" w:color="auto" w:fill="FFFFFF"/>
          <w:lang w:eastAsia="en-US"/>
        </w:rPr>
        <w:t>G</w:t>
      </w:r>
      <w:r w:rsidRPr="00891CB8">
        <w:rPr>
          <w:rFonts w:asciiTheme="minorHAnsi" w:eastAsiaTheme="minorHAnsi" w:hAnsiTheme="minorHAnsi" w:cstheme="minorBidi"/>
          <w:sz w:val="22"/>
          <w:szCs w:val="22"/>
          <w:shd w:val="clear" w:color="auto" w:fill="FFFFFF"/>
          <w:lang w:eastAsia="en-US"/>
        </w:rPr>
        <w:t xml:space="preserve">eneral </w:t>
      </w:r>
      <w:r>
        <w:rPr>
          <w:rFonts w:asciiTheme="minorHAnsi" w:eastAsiaTheme="minorHAnsi" w:hAnsiTheme="minorHAnsi" w:cstheme="minorBidi"/>
          <w:sz w:val="22"/>
          <w:szCs w:val="22"/>
          <w:shd w:val="clear" w:color="auto" w:fill="FFFFFF"/>
          <w:lang w:eastAsia="en-US"/>
        </w:rPr>
        <w:t>S</w:t>
      </w:r>
      <w:r w:rsidRPr="00891CB8">
        <w:rPr>
          <w:rFonts w:asciiTheme="minorHAnsi" w:eastAsiaTheme="minorHAnsi" w:hAnsiTheme="minorHAnsi" w:cstheme="minorBidi"/>
          <w:sz w:val="22"/>
          <w:szCs w:val="22"/>
          <w:shd w:val="clear" w:color="auto" w:fill="FFFFFF"/>
          <w:lang w:eastAsia="en-US"/>
        </w:rPr>
        <w:t>cheme of the corresponding year</w:t>
      </w:r>
      <w:r>
        <w:rPr>
          <w:rFonts w:asciiTheme="minorHAnsi" w:eastAsiaTheme="minorHAnsi" w:hAnsiTheme="minorHAnsi" w:cstheme="minorBidi"/>
          <w:sz w:val="22"/>
          <w:szCs w:val="22"/>
          <w:shd w:val="clear" w:color="auto" w:fill="FFFFFF"/>
          <w:lang w:eastAsia="en-US"/>
        </w:rPr>
        <w:t>,</w:t>
      </w:r>
      <w:r w:rsidRPr="00891CB8">
        <w:rPr>
          <w:rFonts w:asciiTheme="minorHAnsi" w:eastAsiaTheme="minorHAnsi" w:hAnsiTheme="minorHAnsi" w:cstheme="minorBidi"/>
          <w:sz w:val="22"/>
          <w:szCs w:val="22"/>
          <w:shd w:val="clear" w:color="auto" w:fill="FFFFFF"/>
          <w:lang w:eastAsia="en-US"/>
        </w:rPr>
        <w:t xml:space="preserve"> </w:t>
      </w:r>
      <w:r>
        <w:rPr>
          <w:rFonts w:asciiTheme="minorHAnsi" w:eastAsiaTheme="minorHAnsi" w:hAnsiTheme="minorHAnsi" w:cstheme="minorBidi"/>
          <w:sz w:val="22"/>
          <w:szCs w:val="22"/>
          <w:shd w:val="clear" w:color="auto" w:fill="FFFFFF"/>
          <w:lang w:eastAsia="en-US"/>
        </w:rPr>
        <w:t>the crude i</w:t>
      </w:r>
      <w:r w:rsidRPr="00891CB8">
        <w:rPr>
          <w:rFonts w:asciiTheme="minorHAnsi" w:eastAsiaTheme="minorHAnsi" w:hAnsiTheme="minorHAnsi" w:cstheme="minorBidi"/>
          <w:sz w:val="22"/>
          <w:szCs w:val="22"/>
          <w:shd w:val="clear" w:color="auto" w:fill="FFFFFF"/>
          <w:lang w:eastAsia="en-US"/>
        </w:rPr>
        <w:t>ncidence</w:t>
      </w:r>
      <w:r>
        <w:rPr>
          <w:rFonts w:asciiTheme="minorHAnsi" w:eastAsiaTheme="minorHAnsi" w:hAnsiTheme="minorHAnsi" w:cstheme="minorBidi"/>
          <w:sz w:val="22"/>
          <w:szCs w:val="22"/>
          <w:shd w:val="clear" w:color="auto" w:fill="FFFFFF"/>
          <w:lang w:eastAsia="en-US"/>
        </w:rPr>
        <w:t xml:space="preserve"> rate </w:t>
      </w:r>
      <w:r w:rsidRPr="00891CB8">
        <w:rPr>
          <w:rFonts w:asciiTheme="minorHAnsi" w:eastAsiaTheme="minorHAnsi" w:hAnsiTheme="minorHAnsi" w:cstheme="minorBidi"/>
          <w:sz w:val="22"/>
          <w:szCs w:val="22"/>
          <w:shd w:val="clear" w:color="auto" w:fill="FFFFFF"/>
          <w:lang w:eastAsia="en-US"/>
        </w:rPr>
        <w:t xml:space="preserve">was defined by the number of new patients with </w:t>
      </w:r>
      <w:r>
        <w:rPr>
          <w:rFonts w:asciiTheme="minorHAnsi" w:eastAsiaTheme="minorHAnsi" w:hAnsiTheme="minorHAnsi" w:cstheme="minorBidi"/>
          <w:sz w:val="22"/>
          <w:szCs w:val="22"/>
          <w:shd w:val="clear" w:color="auto" w:fill="FFFFFF"/>
          <w:lang w:eastAsia="en-US"/>
        </w:rPr>
        <w:t>an HA-RRMS</w:t>
      </w:r>
      <w:r w:rsidRPr="00891CB8">
        <w:rPr>
          <w:rFonts w:asciiTheme="minorHAnsi" w:eastAsiaTheme="minorHAnsi" w:hAnsiTheme="minorHAnsi" w:cstheme="minorBidi"/>
          <w:sz w:val="22"/>
          <w:szCs w:val="22"/>
          <w:shd w:val="clear" w:color="auto" w:fill="FFFFFF"/>
          <w:lang w:eastAsia="en-US"/>
        </w:rPr>
        <w:t xml:space="preserve"> divided by the number of people </w:t>
      </w:r>
      <w:r>
        <w:rPr>
          <w:rFonts w:asciiTheme="minorHAnsi" w:eastAsiaTheme="minorHAnsi" w:hAnsiTheme="minorHAnsi" w:cstheme="minorBidi"/>
          <w:sz w:val="22"/>
          <w:szCs w:val="22"/>
          <w:shd w:val="clear" w:color="auto" w:fill="FFFFFF"/>
          <w:lang w:eastAsia="en-US"/>
        </w:rPr>
        <w:t>covered</w:t>
      </w:r>
      <w:r w:rsidRPr="00891CB8">
        <w:rPr>
          <w:rFonts w:asciiTheme="minorHAnsi" w:eastAsiaTheme="minorHAnsi" w:hAnsiTheme="minorHAnsi" w:cstheme="minorBidi"/>
          <w:sz w:val="22"/>
          <w:szCs w:val="22"/>
          <w:shd w:val="clear" w:color="auto" w:fill="FFFFFF"/>
          <w:lang w:eastAsia="en-US"/>
        </w:rPr>
        <w:t xml:space="preserve"> by the </w:t>
      </w:r>
      <w:r>
        <w:rPr>
          <w:rFonts w:asciiTheme="minorHAnsi" w:eastAsiaTheme="minorHAnsi" w:hAnsiTheme="minorHAnsi" w:cstheme="minorBidi"/>
          <w:sz w:val="22"/>
          <w:szCs w:val="22"/>
          <w:shd w:val="clear" w:color="auto" w:fill="FFFFFF"/>
          <w:lang w:eastAsia="en-US"/>
        </w:rPr>
        <w:t>G</w:t>
      </w:r>
      <w:r w:rsidRPr="00891CB8">
        <w:rPr>
          <w:rFonts w:asciiTheme="minorHAnsi" w:eastAsiaTheme="minorHAnsi" w:hAnsiTheme="minorHAnsi" w:cstheme="minorBidi"/>
          <w:sz w:val="22"/>
          <w:szCs w:val="22"/>
          <w:shd w:val="clear" w:color="auto" w:fill="FFFFFF"/>
          <w:lang w:eastAsia="en-US"/>
        </w:rPr>
        <w:t xml:space="preserve">eneral </w:t>
      </w:r>
      <w:r>
        <w:rPr>
          <w:rFonts w:asciiTheme="minorHAnsi" w:eastAsiaTheme="minorHAnsi" w:hAnsiTheme="minorHAnsi" w:cstheme="minorBidi"/>
          <w:sz w:val="22"/>
          <w:szCs w:val="22"/>
          <w:shd w:val="clear" w:color="auto" w:fill="FFFFFF"/>
          <w:lang w:eastAsia="en-US"/>
        </w:rPr>
        <w:t>S</w:t>
      </w:r>
      <w:r w:rsidRPr="00891CB8">
        <w:rPr>
          <w:rFonts w:asciiTheme="minorHAnsi" w:eastAsiaTheme="minorHAnsi" w:hAnsiTheme="minorHAnsi" w:cstheme="minorBidi"/>
          <w:sz w:val="22"/>
          <w:szCs w:val="22"/>
          <w:shd w:val="clear" w:color="auto" w:fill="FFFFFF"/>
          <w:lang w:eastAsia="en-US"/>
        </w:rPr>
        <w:t xml:space="preserve">cheme of the corresponding </w:t>
      </w:r>
      <w:r w:rsidRPr="00707055">
        <w:rPr>
          <w:rFonts w:asciiTheme="minorHAnsi" w:eastAsiaTheme="minorHAnsi" w:hAnsiTheme="minorHAnsi" w:cstheme="minorBidi"/>
          <w:sz w:val="22"/>
          <w:szCs w:val="22"/>
          <w:shd w:val="clear" w:color="auto" w:fill="FFFFFF"/>
          <w:lang w:eastAsia="en-US"/>
        </w:rPr>
        <w:t xml:space="preserve">year, the crude mortality rate was defined as the number of HA-RRMS patients who died (any cause of death) divided by the number of people covered by the General Scheme of the </w:t>
      </w:r>
      <w:r w:rsidRPr="00707055">
        <w:rPr>
          <w:rFonts w:asciiTheme="minorHAnsi" w:eastAsiaTheme="minorHAnsi" w:hAnsiTheme="minorHAnsi" w:cstheme="minorBidi"/>
          <w:sz w:val="22"/>
          <w:szCs w:val="22"/>
          <w:shd w:val="clear" w:color="auto" w:fill="FFFFFF"/>
          <w:lang w:eastAsia="en-US"/>
        </w:rPr>
        <w:lastRenderedPageBreak/>
        <w:t>corresponding year</w:t>
      </w:r>
      <w:r>
        <w:rPr>
          <w:rFonts w:asciiTheme="minorHAnsi" w:eastAsiaTheme="minorHAnsi" w:hAnsiTheme="minorHAnsi" w:cstheme="minorBidi"/>
          <w:sz w:val="22"/>
          <w:szCs w:val="22"/>
          <w:shd w:val="clear" w:color="auto" w:fill="FFFFFF"/>
          <w:lang w:eastAsia="en-US"/>
        </w:rPr>
        <w:t>.</w:t>
      </w:r>
      <w:r w:rsidRPr="00707055">
        <w:rPr>
          <w:rFonts w:asciiTheme="minorHAnsi" w:eastAsiaTheme="minorHAnsi" w:hAnsiTheme="minorHAnsi" w:cstheme="minorBidi"/>
          <w:sz w:val="22"/>
          <w:szCs w:val="22"/>
          <w:shd w:val="clear" w:color="auto" w:fill="FFFFFF"/>
          <w:lang w:eastAsia="en-US"/>
        </w:rPr>
        <w:t xml:space="preserve"> </w:t>
      </w:r>
      <w:r>
        <w:rPr>
          <w:rFonts w:asciiTheme="minorHAnsi" w:eastAsiaTheme="minorHAnsi" w:hAnsiTheme="minorHAnsi" w:cstheme="minorBidi"/>
          <w:sz w:val="22"/>
          <w:szCs w:val="22"/>
          <w:shd w:val="clear" w:color="auto" w:fill="FFFFFF"/>
          <w:lang w:eastAsia="en-US"/>
        </w:rPr>
        <w:t>The</w:t>
      </w:r>
      <w:r w:rsidRPr="00707055">
        <w:rPr>
          <w:rFonts w:asciiTheme="minorHAnsi" w:eastAsiaTheme="minorHAnsi" w:hAnsiTheme="minorHAnsi" w:cstheme="minorBidi"/>
          <w:sz w:val="22"/>
          <w:szCs w:val="22"/>
          <w:shd w:val="clear" w:color="auto" w:fill="FFFFFF"/>
          <w:lang w:eastAsia="en-US"/>
        </w:rPr>
        <w:t xml:space="preserve"> </w:t>
      </w:r>
      <w:r w:rsidRPr="00C67D25">
        <w:rPr>
          <w:rFonts w:asciiTheme="minorHAnsi" w:eastAsiaTheme="minorHAnsi" w:hAnsiTheme="minorHAnsi" w:cstheme="minorBidi"/>
          <w:sz w:val="22"/>
          <w:szCs w:val="22"/>
          <w:shd w:val="clear" w:color="auto" w:fill="FFFFFF"/>
          <w:lang w:eastAsia="en-US"/>
        </w:rPr>
        <w:t xml:space="preserve">standardized mortality ratio (SMR) </w:t>
      </w:r>
      <w:r>
        <w:rPr>
          <w:rFonts w:asciiTheme="minorHAnsi" w:eastAsiaTheme="minorHAnsi" w:hAnsiTheme="minorHAnsi" w:cstheme="minorBidi"/>
          <w:sz w:val="22"/>
          <w:szCs w:val="22"/>
          <w:shd w:val="clear" w:color="auto" w:fill="FFFFFF"/>
          <w:lang w:eastAsia="en-US"/>
        </w:rPr>
        <w:t xml:space="preserve">was computed as the ratio of the number of observed death divided by the number of expected deaths should the study population had the same mortality rate (by sex and 5-year age group) as the French population </w:t>
      </w:r>
      <w:r w:rsidRPr="00891CB8">
        <w:rPr>
          <w:rFonts w:asciiTheme="minorHAnsi" w:eastAsiaTheme="minorHAnsi" w:hAnsiTheme="minorHAnsi" w:cstheme="minorBidi"/>
          <w:sz w:val="22"/>
          <w:szCs w:val="22"/>
          <w:shd w:val="clear" w:color="auto" w:fill="FFFFFF"/>
          <w:lang w:eastAsia="en-US"/>
        </w:rPr>
        <w:t>on January 1</w:t>
      </w:r>
      <w:r w:rsidRPr="003176C4">
        <w:rPr>
          <w:rFonts w:asciiTheme="minorHAnsi" w:eastAsiaTheme="minorHAnsi" w:hAnsiTheme="minorHAnsi" w:cstheme="minorBidi"/>
          <w:sz w:val="22"/>
          <w:szCs w:val="22"/>
          <w:shd w:val="clear" w:color="auto" w:fill="FFFFFF"/>
          <w:vertAlign w:val="superscript"/>
          <w:lang w:eastAsia="en-US"/>
        </w:rPr>
        <w:t>st</w:t>
      </w:r>
      <w:r w:rsidRPr="00891CB8">
        <w:rPr>
          <w:rFonts w:asciiTheme="minorHAnsi" w:eastAsiaTheme="minorHAnsi" w:hAnsiTheme="minorHAnsi" w:cstheme="minorBidi"/>
          <w:sz w:val="22"/>
          <w:szCs w:val="22"/>
          <w:shd w:val="clear" w:color="auto" w:fill="FFFFFF"/>
          <w:lang w:eastAsia="en-US"/>
        </w:rPr>
        <w:t>, 2016 (</w:t>
      </w:r>
      <w:hyperlink r:id="rId8" w:history="1">
        <w:r w:rsidRPr="00FB217C">
          <w:rPr>
            <w:rStyle w:val="Lienhypertexte"/>
            <w:rFonts w:asciiTheme="minorHAnsi" w:eastAsiaTheme="minorHAnsi" w:hAnsiTheme="minorHAnsi" w:cstheme="minorBidi"/>
            <w:sz w:val="22"/>
            <w:szCs w:val="22"/>
            <w:shd w:val="clear" w:color="auto" w:fill="FFFFFF"/>
            <w:lang w:eastAsia="en-US"/>
          </w:rPr>
          <w:t>https://www.insee.fr</w:t>
        </w:r>
      </w:hyperlink>
      <w:r w:rsidRPr="00891CB8">
        <w:rPr>
          <w:rFonts w:asciiTheme="minorHAnsi" w:eastAsiaTheme="minorHAnsi" w:hAnsiTheme="minorHAnsi" w:cstheme="minorBidi"/>
          <w:sz w:val="22"/>
          <w:szCs w:val="22"/>
          <w:shd w:val="clear" w:color="auto" w:fill="FFFFFF"/>
          <w:lang w:eastAsia="en-US"/>
        </w:rPr>
        <w:t>)</w:t>
      </w:r>
      <w:r>
        <w:rPr>
          <w:rFonts w:asciiTheme="minorHAnsi" w:eastAsiaTheme="minorHAnsi" w:hAnsiTheme="minorHAnsi" w:cstheme="minorBidi"/>
          <w:sz w:val="22"/>
          <w:szCs w:val="22"/>
          <w:shd w:val="clear" w:color="auto" w:fill="FFFFFF"/>
          <w:lang w:eastAsia="en-US"/>
        </w:rPr>
        <w:t>.</w:t>
      </w:r>
      <w:r w:rsidRPr="00891CB8">
        <w:rPr>
          <w:rFonts w:asciiTheme="minorHAnsi" w:eastAsiaTheme="minorHAnsi" w:hAnsiTheme="minorHAnsi" w:cstheme="minorBidi"/>
          <w:sz w:val="22"/>
          <w:szCs w:val="22"/>
          <w:shd w:val="clear" w:color="auto" w:fill="FFFFFF"/>
          <w:lang w:eastAsia="en-US"/>
        </w:rPr>
        <w:t xml:space="preserve"> </w:t>
      </w:r>
    </w:p>
    <w:p w14:paraId="3BF40EFF" w14:textId="77777777" w:rsidR="001B7D81" w:rsidRDefault="001B7D81" w:rsidP="001B7D81">
      <w:pPr>
        <w:pStyle w:val="MittleresRaster1-Akzent21"/>
        <w:ind w:left="0"/>
        <w:jc w:val="both"/>
        <w:rPr>
          <w:rFonts w:asciiTheme="minorHAnsi" w:eastAsiaTheme="minorHAnsi" w:hAnsiTheme="minorHAnsi" w:cstheme="minorBidi"/>
          <w:sz w:val="22"/>
          <w:szCs w:val="22"/>
          <w:shd w:val="clear" w:color="auto" w:fill="FFFFFF"/>
          <w:lang w:eastAsia="en-US"/>
        </w:rPr>
      </w:pPr>
      <w:r w:rsidRPr="00891CB8">
        <w:rPr>
          <w:rFonts w:asciiTheme="minorHAnsi" w:eastAsiaTheme="minorHAnsi" w:hAnsiTheme="minorHAnsi" w:cstheme="minorBidi"/>
          <w:sz w:val="22"/>
          <w:szCs w:val="22"/>
          <w:shd w:val="clear" w:color="auto" w:fill="FFFFFF"/>
          <w:lang w:eastAsia="en-US"/>
        </w:rPr>
        <w:t>Incidence</w:t>
      </w:r>
      <w:r>
        <w:rPr>
          <w:rFonts w:asciiTheme="minorHAnsi" w:eastAsiaTheme="minorHAnsi" w:hAnsiTheme="minorHAnsi" w:cstheme="minorBidi"/>
          <w:sz w:val="22"/>
          <w:szCs w:val="22"/>
          <w:shd w:val="clear" w:color="auto" w:fill="FFFFFF"/>
          <w:lang w:eastAsia="en-US"/>
        </w:rPr>
        <w:t xml:space="preserve"> and </w:t>
      </w:r>
      <w:r w:rsidRPr="00891CB8">
        <w:rPr>
          <w:rFonts w:asciiTheme="minorHAnsi" w:eastAsiaTheme="minorHAnsi" w:hAnsiTheme="minorHAnsi" w:cstheme="minorBidi"/>
          <w:sz w:val="22"/>
          <w:szCs w:val="22"/>
          <w:shd w:val="clear" w:color="auto" w:fill="FFFFFF"/>
          <w:lang w:eastAsia="en-US"/>
        </w:rPr>
        <w:t>prevalence</w:t>
      </w:r>
      <w:r>
        <w:rPr>
          <w:rFonts w:asciiTheme="minorHAnsi" w:eastAsiaTheme="minorHAnsi" w:hAnsiTheme="minorHAnsi" w:cstheme="minorBidi"/>
          <w:sz w:val="22"/>
          <w:szCs w:val="22"/>
          <w:shd w:val="clear" w:color="auto" w:fill="FFFFFF"/>
          <w:lang w:eastAsia="en-US"/>
        </w:rPr>
        <w:t xml:space="preserve"> </w:t>
      </w:r>
      <w:r w:rsidRPr="00891CB8">
        <w:rPr>
          <w:rFonts w:asciiTheme="minorHAnsi" w:eastAsiaTheme="minorHAnsi" w:hAnsiTheme="minorHAnsi" w:cstheme="minorBidi"/>
          <w:sz w:val="22"/>
          <w:szCs w:val="22"/>
          <w:shd w:val="clear" w:color="auto" w:fill="FFFFFF"/>
          <w:lang w:eastAsia="en-US"/>
        </w:rPr>
        <w:t xml:space="preserve">rates were </w:t>
      </w:r>
      <w:r>
        <w:rPr>
          <w:rFonts w:asciiTheme="minorHAnsi" w:eastAsiaTheme="minorHAnsi" w:hAnsiTheme="minorHAnsi" w:cstheme="minorBidi"/>
          <w:sz w:val="22"/>
          <w:szCs w:val="22"/>
          <w:shd w:val="clear" w:color="auto" w:fill="FFFFFF"/>
          <w:lang w:eastAsia="en-US"/>
        </w:rPr>
        <w:t xml:space="preserve">then </w:t>
      </w:r>
      <w:r w:rsidRPr="00891CB8">
        <w:rPr>
          <w:rFonts w:asciiTheme="minorHAnsi" w:eastAsiaTheme="minorHAnsi" w:hAnsiTheme="minorHAnsi" w:cstheme="minorBidi"/>
          <w:sz w:val="22"/>
          <w:szCs w:val="22"/>
          <w:shd w:val="clear" w:color="auto" w:fill="FFFFFF"/>
          <w:lang w:eastAsia="en-US"/>
        </w:rPr>
        <w:t xml:space="preserve">standardized </w:t>
      </w:r>
      <w:r>
        <w:rPr>
          <w:rFonts w:asciiTheme="minorHAnsi" w:eastAsiaTheme="minorHAnsi" w:hAnsiTheme="minorHAnsi" w:cstheme="minorBidi"/>
          <w:sz w:val="22"/>
          <w:szCs w:val="22"/>
          <w:shd w:val="clear" w:color="auto" w:fill="FFFFFF"/>
          <w:lang w:eastAsia="en-US"/>
        </w:rPr>
        <w:t>for</w:t>
      </w:r>
      <w:r w:rsidRPr="00891CB8">
        <w:rPr>
          <w:rFonts w:asciiTheme="minorHAnsi" w:eastAsiaTheme="minorHAnsi" w:hAnsiTheme="minorHAnsi" w:cstheme="minorBidi"/>
          <w:sz w:val="22"/>
          <w:szCs w:val="22"/>
          <w:shd w:val="clear" w:color="auto" w:fill="FFFFFF"/>
          <w:lang w:eastAsia="en-US"/>
        </w:rPr>
        <w:t xml:space="preserve"> gender and 5-year age </w:t>
      </w:r>
      <w:r>
        <w:rPr>
          <w:rFonts w:asciiTheme="minorHAnsi" w:eastAsiaTheme="minorHAnsi" w:hAnsiTheme="minorHAnsi" w:cstheme="minorBidi"/>
          <w:sz w:val="22"/>
          <w:szCs w:val="22"/>
          <w:shd w:val="clear" w:color="auto" w:fill="FFFFFF"/>
          <w:lang w:eastAsia="en-US"/>
        </w:rPr>
        <w:t xml:space="preserve">group, with </w:t>
      </w:r>
      <w:r w:rsidRPr="00891CB8">
        <w:rPr>
          <w:rFonts w:asciiTheme="minorHAnsi" w:eastAsiaTheme="minorHAnsi" w:hAnsiTheme="minorHAnsi" w:cstheme="minorBidi"/>
          <w:sz w:val="22"/>
          <w:szCs w:val="22"/>
          <w:shd w:val="clear" w:color="auto" w:fill="FFFFFF"/>
          <w:lang w:eastAsia="en-US"/>
        </w:rPr>
        <w:t>the population living in France on January 1</w:t>
      </w:r>
      <w:r w:rsidRPr="003176C4">
        <w:rPr>
          <w:rFonts w:asciiTheme="minorHAnsi" w:eastAsiaTheme="minorHAnsi" w:hAnsiTheme="minorHAnsi" w:cstheme="minorBidi"/>
          <w:sz w:val="22"/>
          <w:szCs w:val="22"/>
          <w:shd w:val="clear" w:color="auto" w:fill="FFFFFF"/>
          <w:vertAlign w:val="superscript"/>
          <w:lang w:eastAsia="en-US"/>
        </w:rPr>
        <w:t>st</w:t>
      </w:r>
      <w:r w:rsidRPr="00891CB8">
        <w:rPr>
          <w:rFonts w:asciiTheme="minorHAnsi" w:eastAsiaTheme="minorHAnsi" w:hAnsiTheme="minorHAnsi" w:cstheme="minorBidi"/>
          <w:sz w:val="22"/>
          <w:szCs w:val="22"/>
          <w:shd w:val="clear" w:color="auto" w:fill="FFFFFF"/>
          <w:lang w:eastAsia="en-US"/>
        </w:rPr>
        <w:t xml:space="preserve">, 2016 </w:t>
      </w:r>
      <w:r>
        <w:rPr>
          <w:rFonts w:asciiTheme="minorHAnsi" w:eastAsiaTheme="minorHAnsi" w:hAnsiTheme="minorHAnsi" w:cstheme="minorBidi"/>
          <w:sz w:val="22"/>
          <w:szCs w:val="22"/>
          <w:shd w:val="clear" w:color="auto" w:fill="FFFFFF"/>
          <w:lang w:eastAsia="en-US"/>
        </w:rPr>
        <w:t xml:space="preserve">as the reference population. </w:t>
      </w:r>
    </w:p>
    <w:p w14:paraId="64D4D455" w14:textId="77777777" w:rsidR="009A7770" w:rsidRDefault="009A7770" w:rsidP="001B7D81">
      <w:pPr>
        <w:pStyle w:val="MittleresRaster1-Akzent21"/>
        <w:ind w:left="0"/>
        <w:jc w:val="both"/>
        <w:rPr>
          <w:rFonts w:asciiTheme="minorHAnsi" w:eastAsiaTheme="minorHAnsi" w:hAnsiTheme="minorHAnsi" w:cstheme="minorBidi"/>
          <w:sz w:val="22"/>
          <w:szCs w:val="22"/>
          <w:shd w:val="clear" w:color="auto" w:fill="FFFFFF"/>
          <w:lang w:eastAsia="en-US"/>
        </w:rPr>
      </w:pPr>
    </w:p>
    <w:p w14:paraId="1CF01432" w14:textId="52A37BE5" w:rsidR="001B7D81" w:rsidRDefault="001B7D81" w:rsidP="001B7D81">
      <w:pPr>
        <w:pStyle w:val="MittleresRaster1-Akzent21"/>
        <w:ind w:left="0"/>
        <w:jc w:val="both"/>
        <w:rPr>
          <w:rFonts w:asciiTheme="minorHAnsi" w:eastAsiaTheme="minorHAnsi" w:hAnsiTheme="minorHAnsi" w:cstheme="minorBidi"/>
          <w:sz w:val="22"/>
          <w:szCs w:val="22"/>
          <w:shd w:val="clear" w:color="auto" w:fill="FFFFFF"/>
          <w:lang w:eastAsia="en-US"/>
        </w:rPr>
      </w:pPr>
      <w:r w:rsidRPr="006921FC">
        <w:rPr>
          <w:rFonts w:asciiTheme="minorHAnsi" w:eastAsiaTheme="minorHAnsi" w:hAnsiTheme="minorHAnsi" w:cstheme="minorBidi"/>
          <w:sz w:val="22"/>
          <w:szCs w:val="22"/>
          <w:shd w:val="clear" w:color="auto" w:fill="FFFFFF"/>
          <w:lang w:eastAsia="en-US"/>
        </w:rPr>
        <w:t>Confidence interval</w:t>
      </w:r>
      <w:r>
        <w:rPr>
          <w:rFonts w:asciiTheme="minorHAnsi" w:eastAsiaTheme="minorHAnsi" w:hAnsiTheme="minorHAnsi" w:cstheme="minorBidi"/>
          <w:sz w:val="22"/>
          <w:szCs w:val="22"/>
          <w:shd w:val="clear" w:color="auto" w:fill="FFFFFF"/>
          <w:lang w:eastAsia="en-US"/>
        </w:rPr>
        <w:t>s were</w:t>
      </w:r>
      <w:r w:rsidRPr="006921FC">
        <w:rPr>
          <w:rFonts w:asciiTheme="minorHAnsi" w:eastAsiaTheme="minorHAnsi" w:hAnsiTheme="minorHAnsi" w:cstheme="minorBidi"/>
          <w:sz w:val="22"/>
          <w:szCs w:val="22"/>
          <w:shd w:val="clear" w:color="auto" w:fill="FFFFFF"/>
          <w:lang w:eastAsia="en-US"/>
        </w:rPr>
        <w:t xml:space="preserve"> calculated with the exact binomial </w:t>
      </w:r>
      <w:r>
        <w:rPr>
          <w:rFonts w:asciiTheme="minorHAnsi" w:eastAsiaTheme="minorHAnsi" w:hAnsiTheme="minorHAnsi" w:cstheme="minorBidi"/>
          <w:sz w:val="22"/>
          <w:szCs w:val="22"/>
          <w:shd w:val="clear" w:color="auto" w:fill="FFFFFF"/>
          <w:lang w:eastAsia="en-US"/>
        </w:rPr>
        <w:t>approximation for the crude rates and the normal approximation for the standardized rates.</w:t>
      </w:r>
    </w:p>
    <w:p w14:paraId="6C6D4B69" w14:textId="0671F87A" w:rsidR="00D56DD2" w:rsidRDefault="00D56DD2">
      <w:pPr>
        <w:rPr>
          <w:lang w:val="en-US"/>
        </w:rPr>
      </w:pPr>
    </w:p>
    <w:p w14:paraId="5D5615BE" w14:textId="6A3154B5" w:rsidR="00B861CA" w:rsidRDefault="00B861CA">
      <w:pPr>
        <w:rPr>
          <w:lang w:val="en-US"/>
        </w:rPr>
      </w:pPr>
      <w:r w:rsidRPr="004C0C2A">
        <w:rPr>
          <w:lang w:val="en-US"/>
        </w:rPr>
        <w:t>The Charlson Comorbidity Index was computed using comorbidities captured in the SNIIRAM the year prior the index date, and age at the index date</w:t>
      </w:r>
      <w:r>
        <w:rPr>
          <w:lang w:val="en-US"/>
        </w:rPr>
        <w:t>.</w:t>
      </w:r>
      <w:r>
        <w:rPr>
          <w:lang w:val="en-US"/>
        </w:rPr>
        <w:fldChar w:fldCharType="begin"/>
      </w:r>
      <w:r>
        <w:rPr>
          <w:lang w:val="en-US"/>
        </w:rPr>
        <w:instrText xml:space="preserve"> ADDIN ZOTERO_ITEM CSL_CITATION {"citationID":"MhzkHAve","properties":{"formattedCitation":"\\super 5\\nosupersub{}","plainCitation":"5","noteIndex":0},"citationItems":[{"id":10503,"uris":["http://zotero.org/groups/2474284/items/YUVSERJ5"],"uri":["http://zotero.org/groups/2474284/items/YUVSERJ5"],"itemData":{"id":10503,"type":"article-journal","abstract":"The objective of this study was to develop a prospectively applicable method for classifying comorbid conditions which might alter the risk of mortality for use in longitudinal studies. A weighted index that takes into account the number and the seriousness of comorbid disease was developed in a cohort of 559 medical patients. The 1-yr mortality rates for the different scores were: “0”, 12% (181); “1–2”, 26% (225); “3–4”, 52% (71); and “</w:instrText>
      </w:r>
      <w:r>
        <w:rPr>
          <w:rFonts w:ascii="Cambria Math" w:hAnsi="Cambria Math" w:cs="Cambria Math"/>
          <w:lang w:val="en-US"/>
        </w:rPr>
        <w:instrText>⩾</w:instrText>
      </w:r>
      <w:r>
        <w:rPr>
          <w:lang w:val="en-US"/>
        </w:rPr>
        <w:instrText xml:space="preserve"> 5”, 85% (82). The index was tested for its ability to predict risk of death from comorbid disease in the second cohort of 685 patients during a 10-yr follow-up. The percent of patients who died of comorbid disease for the different scores were: “0”, 8% (588); “1”, 25% (54); “2”, 48% (25); “ </w:instrText>
      </w:r>
      <w:r>
        <w:rPr>
          <w:rFonts w:ascii="Cambria Math" w:hAnsi="Cambria Math" w:cs="Cambria Math"/>
          <w:lang w:val="en-US"/>
        </w:rPr>
        <w:instrText>⩾</w:instrText>
      </w:r>
      <w:r>
        <w:rPr>
          <w:lang w:val="en-US"/>
        </w:rPr>
        <w:instrText xml:space="preserve"> 3”, 59% (18). With each increased level of the comorbidity index, there were stepwise increases in the cumulative mortality attributable to comorbid disease (log rank χ2 = 165; p &lt; 0.0001). In this longer follow-up, age was also a predictor of mortality (p &lt; 0.001). The new index performed similarly to a previous system devised by Kaplan and Feinstein. The method of classifying comorbidity provides a simple, readily applicable and valid method of estimating risk of death from comorbid disease for use in longitudinal studies. Further work in larger populations is still required to refine the approach because the number of patients with any given condition in this study was relatively small.","container-title":"Journal of Chronic Diseases","DOI":"10.1016/0021-9681(87)90171-8","ISSN":"0021-9681","issue":"5","journalAbbreviation":"Journal of Chronic Diseases","language":"en","page":"373-383","source":"ScienceDirect","title":"A new method of classifying prognostic comorbidity in longitudinal studies: Development and validation","title-short":"A new method of classifying prognostic comorbidity in longitudinal studies","volume":"40","author":[{"family":"Charlson","given":"Mary E."},{"family":"Pompei","given":"Peter"},{"family":"Ales","given":"Kathy L."},{"family":"MacKenzie","given":"C. Ronald"}],"issued":{"date-parts":[["1987",1,1]]}}}],"schema":"https://github.com/citation-style-language/schema/raw/master/csl-citation.json"} </w:instrText>
      </w:r>
      <w:r>
        <w:rPr>
          <w:lang w:val="en-US"/>
        </w:rPr>
        <w:fldChar w:fldCharType="separate"/>
      </w:r>
      <w:r w:rsidRPr="00B861CA">
        <w:rPr>
          <w:rFonts w:ascii="Calibri" w:hAnsi="Calibri" w:cs="Calibri"/>
          <w:szCs w:val="24"/>
          <w:vertAlign w:val="superscript"/>
        </w:rPr>
        <w:t>5</w:t>
      </w:r>
      <w:r>
        <w:rPr>
          <w:lang w:val="en-US"/>
        </w:rPr>
        <w:fldChar w:fldCharType="end"/>
      </w:r>
    </w:p>
    <w:p w14:paraId="12F2B4E0" w14:textId="77777777" w:rsidR="00D56DD2" w:rsidRDefault="00D56DD2">
      <w:pPr>
        <w:rPr>
          <w:rFonts w:asciiTheme="majorHAnsi" w:eastAsiaTheme="majorEastAsia" w:hAnsiTheme="majorHAnsi" w:cstheme="majorBidi"/>
          <w:color w:val="1F3763" w:themeColor="accent1" w:themeShade="7F"/>
          <w:sz w:val="24"/>
          <w:szCs w:val="24"/>
          <w:lang w:val="en-US"/>
        </w:rPr>
      </w:pPr>
      <w:r>
        <w:rPr>
          <w:lang w:val="en-US"/>
        </w:rPr>
        <w:br w:type="page"/>
      </w:r>
    </w:p>
    <w:p w14:paraId="6818CBEC" w14:textId="22784E48" w:rsidR="00D65161" w:rsidRPr="00D65161" w:rsidRDefault="00D65161" w:rsidP="00D65161">
      <w:pPr>
        <w:pStyle w:val="Titre1"/>
        <w:rPr>
          <w:lang w:val="en-US"/>
        </w:rPr>
      </w:pPr>
      <w:bookmarkStart w:id="7" w:name="_Toc61013792"/>
      <w:r w:rsidRPr="00D65161">
        <w:rPr>
          <w:lang w:val="en-US"/>
        </w:rPr>
        <w:lastRenderedPageBreak/>
        <w:t>Supplement Figure 1 – Patient selection process</w:t>
      </w:r>
      <w:bookmarkEnd w:id="7"/>
    </w:p>
    <w:p w14:paraId="1A54117A" w14:textId="77777777" w:rsidR="00D65161" w:rsidRDefault="00D65161" w:rsidP="00D65161">
      <w:r w:rsidRPr="00E568EF">
        <w:rPr>
          <w:noProof/>
        </w:rPr>
        <w:drawing>
          <wp:inline distT="0" distB="0" distL="0" distR="0" wp14:anchorId="7A372C09" wp14:editId="31A15D44">
            <wp:extent cx="4944165" cy="7125694"/>
            <wp:effectExtent l="0" t="0" r="889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944165" cy="7125694"/>
                    </a:xfrm>
                    <a:prstGeom prst="rect">
                      <a:avLst/>
                    </a:prstGeom>
                  </pic:spPr>
                </pic:pic>
              </a:graphicData>
            </a:graphic>
          </wp:inline>
        </w:drawing>
      </w:r>
    </w:p>
    <w:p w14:paraId="262F28A6" w14:textId="3896BAC4" w:rsidR="00D65161" w:rsidRPr="004E199E" w:rsidRDefault="00D65161" w:rsidP="00D65161">
      <w:pPr>
        <w:rPr>
          <w:lang w:val="en-US"/>
        </w:rPr>
      </w:pPr>
      <w:r>
        <w:rPr>
          <w:lang w:val="en-US"/>
        </w:rPr>
        <w:t>MS: multiple sclerosis; DM</w:t>
      </w:r>
      <w:r w:rsidR="00167453">
        <w:rPr>
          <w:lang w:val="en-US"/>
        </w:rPr>
        <w:t>D</w:t>
      </w:r>
      <w:r>
        <w:rPr>
          <w:lang w:val="en-US"/>
        </w:rPr>
        <w:t xml:space="preserve">: disease-modifying </w:t>
      </w:r>
      <w:r w:rsidR="00167453">
        <w:rPr>
          <w:lang w:val="en-US"/>
        </w:rPr>
        <w:t>drug</w:t>
      </w:r>
      <w:r>
        <w:rPr>
          <w:lang w:val="en-US"/>
        </w:rPr>
        <w:t>; HE DM</w:t>
      </w:r>
      <w:r w:rsidR="00167453">
        <w:rPr>
          <w:lang w:val="en-US"/>
        </w:rPr>
        <w:t>D</w:t>
      </w:r>
      <w:r>
        <w:rPr>
          <w:lang w:val="en-US"/>
        </w:rPr>
        <w:t xml:space="preserve">: high efficacy disease-modifying </w:t>
      </w:r>
      <w:r w:rsidR="00167453">
        <w:rPr>
          <w:lang w:val="en-US"/>
        </w:rPr>
        <w:t>drug</w:t>
      </w:r>
      <w:r>
        <w:rPr>
          <w:lang w:val="en-US"/>
        </w:rPr>
        <w:t xml:space="preserve">; MRI: </w:t>
      </w:r>
      <w:r w:rsidRPr="003F4988">
        <w:rPr>
          <w:shd w:val="clear" w:color="auto" w:fill="FFFFFF"/>
          <w:lang w:val="en-US"/>
        </w:rPr>
        <w:t xml:space="preserve">magnetic resonance imaging </w:t>
      </w:r>
      <w:r w:rsidRPr="004E199E">
        <w:rPr>
          <w:lang w:val="en-US"/>
        </w:rPr>
        <w:br w:type="page"/>
      </w:r>
    </w:p>
    <w:p w14:paraId="37F2EC10" w14:textId="343FBA76" w:rsidR="00D56DD2" w:rsidRDefault="00D56DD2" w:rsidP="00D56DD2">
      <w:pPr>
        <w:pStyle w:val="Titre1"/>
        <w:rPr>
          <w:lang w:val="en-US"/>
        </w:rPr>
      </w:pPr>
      <w:bookmarkStart w:id="8" w:name="_Toc61013793"/>
      <w:r>
        <w:rPr>
          <w:lang w:val="en-US"/>
        </w:rPr>
        <w:lastRenderedPageBreak/>
        <w:t>Supplement Table 1 –</w:t>
      </w:r>
      <w:r w:rsidR="00FD0F45">
        <w:rPr>
          <w:lang w:val="en-US"/>
        </w:rPr>
        <w:t xml:space="preserve"> Multiple sclerosis t</w:t>
      </w:r>
      <w:r>
        <w:rPr>
          <w:lang w:val="en-US"/>
        </w:rPr>
        <w:t xml:space="preserve">reatments </w:t>
      </w:r>
      <w:r w:rsidR="00B51178">
        <w:rPr>
          <w:lang w:val="en-US"/>
        </w:rPr>
        <w:t>s</w:t>
      </w:r>
      <w:r>
        <w:rPr>
          <w:lang w:val="en-US"/>
        </w:rPr>
        <w:t>ought for</w:t>
      </w:r>
      <w:bookmarkEnd w:id="8"/>
    </w:p>
    <w:p w14:paraId="2DCC292C" w14:textId="77777777" w:rsidR="00184373" w:rsidRPr="00184373" w:rsidRDefault="00184373" w:rsidP="00184373">
      <w:pPr>
        <w:rPr>
          <w:lang w:val="en-US"/>
        </w:rPr>
      </w:pPr>
    </w:p>
    <w:tbl>
      <w:tblPr>
        <w:tblW w:w="5000" w:type="pct"/>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5754"/>
        <w:gridCol w:w="19"/>
        <w:gridCol w:w="3587"/>
      </w:tblGrid>
      <w:tr w:rsidR="00FD0F45" w:rsidRPr="009A3F6F" w14:paraId="449E2140" w14:textId="77777777" w:rsidTr="00256319">
        <w:trPr>
          <w:trHeight w:val="390"/>
        </w:trPr>
        <w:tc>
          <w:tcPr>
            <w:tcW w:w="3074" w:type="pct"/>
            <w:tcBorders>
              <w:top w:val="single" w:sz="4" w:space="0" w:color="auto"/>
              <w:bottom w:val="single" w:sz="4" w:space="0" w:color="auto"/>
            </w:tcBorders>
            <w:shd w:val="clear" w:color="auto" w:fill="ACB9CA" w:themeFill="text2" w:themeFillTint="66"/>
            <w:vAlign w:val="bottom"/>
            <w:hideMark/>
          </w:tcPr>
          <w:p w14:paraId="72ED7BF8" w14:textId="1309CBBF" w:rsidR="00FD0F45" w:rsidRPr="009A3F6F" w:rsidRDefault="00FD0F45" w:rsidP="00256319">
            <w:pPr>
              <w:spacing w:after="0"/>
              <w:rPr>
                <w:rFonts w:ascii="Calibri" w:hAnsi="Calibri" w:cs="Calibri"/>
                <w:color w:val="000000"/>
                <w:lang w:val="en-US"/>
              </w:rPr>
            </w:pPr>
            <w:r>
              <w:rPr>
                <w:rFonts w:ascii="Calibri" w:hAnsi="Calibri" w:cs="Calibri"/>
                <w:color w:val="000000"/>
                <w:lang w:val="en-US"/>
              </w:rPr>
              <w:t>T</w:t>
            </w:r>
            <w:r w:rsidRPr="009A3F6F">
              <w:rPr>
                <w:rFonts w:ascii="Calibri" w:hAnsi="Calibri" w:cs="Calibri"/>
                <w:color w:val="000000"/>
                <w:lang w:val="en-US"/>
              </w:rPr>
              <w:t>reatment</w:t>
            </w:r>
          </w:p>
        </w:tc>
        <w:tc>
          <w:tcPr>
            <w:tcW w:w="1926" w:type="pct"/>
            <w:gridSpan w:val="2"/>
            <w:tcBorders>
              <w:top w:val="single" w:sz="4" w:space="0" w:color="auto"/>
              <w:bottom w:val="single" w:sz="4" w:space="0" w:color="auto"/>
            </w:tcBorders>
            <w:shd w:val="clear" w:color="auto" w:fill="ACB9CA" w:themeFill="text2" w:themeFillTint="66"/>
            <w:vAlign w:val="bottom"/>
          </w:tcPr>
          <w:p w14:paraId="1BB9DE9E" w14:textId="77777777" w:rsidR="00FD0F45" w:rsidRPr="009A3F6F" w:rsidRDefault="00FD0F45" w:rsidP="00256319">
            <w:pPr>
              <w:spacing w:after="0"/>
              <w:rPr>
                <w:rFonts w:ascii="Calibri" w:hAnsi="Calibri" w:cs="Calibri"/>
                <w:color w:val="000000"/>
                <w:lang w:val="en-US"/>
              </w:rPr>
            </w:pPr>
            <w:r w:rsidRPr="009A3F6F">
              <w:rPr>
                <w:rFonts w:ascii="Calibri" w:hAnsi="Calibri" w:cs="Calibri"/>
                <w:color w:val="000000"/>
                <w:lang w:val="en-US"/>
              </w:rPr>
              <w:t>ATC code</w:t>
            </w:r>
          </w:p>
        </w:tc>
      </w:tr>
      <w:tr w:rsidR="00FD0F45" w:rsidRPr="00707F91" w14:paraId="177ED995" w14:textId="77777777" w:rsidTr="00FD0F45">
        <w:tblPrEx>
          <w:tblBorders>
            <w:top w:val="none" w:sz="0" w:space="0" w:color="auto"/>
            <w:bottom w:val="none" w:sz="0" w:space="0" w:color="auto"/>
          </w:tblBorders>
        </w:tblPrEx>
        <w:trPr>
          <w:trHeight w:val="162"/>
        </w:trPr>
        <w:tc>
          <w:tcPr>
            <w:tcW w:w="5000" w:type="pct"/>
            <w:gridSpan w:val="3"/>
            <w:tcBorders>
              <w:top w:val="single" w:sz="4" w:space="0" w:color="auto"/>
              <w:left w:val="single" w:sz="4" w:space="0" w:color="auto"/>
              <w:bottom w:val="single" w:sz="4" w:space="0" w:color="auto"/>
              <w:right w:val="single" w:sz="4" w:space="0" w:color="000000"/>
            </w:tcBorders>
            <w:vAlign w:val="bottom"/>
            <w:hideMark/>
          </w:tcPr>
          <w:p w14:paraId="42C84153" w14:textId="234438F6" w:rsidR="00FD0F45" w:rsidRPr="00707F91" w:rsidRDefault="00FD0F45" w:rsidP="00256319">
            <w:pPr>
              <w:spacing w:after="0"/>
              <w:rPr>
                <w:rFonts w:ascii="Calibri" w:hAnsi="Calibri" w:cs="Calibri"/>
                <w:b/>
                <w:bCs/>
                <w:color w:val="000000"/>
              </w:rPr>
            </w:pPr>
            <w:r w:rsidRPr="00707F91">
              <w:rPr>
                <w:rFonts w:ascii="Calibri" w:hAnsi="Calibri" w:cs="Calibri"/>
                <w:b/>
                <w:bCs/>
                <w:color w:val="000000"/>
              </w:rPr>
              <w:t xml:space="preserve">Relapse </w:t>
            </w:r>
            <w:proofErr w:type="spellStart"/>
            <w:r w:rsidRPr="00707F91">
              <w:rPr>
                <w:rFonts w:ascii="Calibri" w:hAnsi="Calibri" w:cs="Calibri"/>
                <w:b/>
                <w:bCs/>
                <w:color w:val="000000"/>
              </w:rPr>
              <w:t>treatment</w:t>
            </w:r>
            <w:proofErr w:type="spellEnd"/>
          </w:p>
        </w:tc>
      </w:tr>
      <w:tr w:rsidR="00FD0F45" w:rsidRPr="00707F91" w14:paraId="6D1C1A6A" w14:textId="77777777" w:rsidTr="00FD0F45">
        <w:tblPrEx>
          <w:tblBorders>
            <w:top w:val="none" w:sz="0" w:space="0" w:color="auto"/>
            <w:bottom w:val="none" w:sz="0" w:space="0" w:color="auto"/>
          </w:tblBorders>
        </w:tblPrEx>
        <w:trPr>
          <w:trHeight w:val="346"/>
        </w:trPr>
        <w:tc>
          <w:tcPr>
            <w:tcW w:w="3084" w:type="pct"/>
            <w:gridSpan w:val="2"/>
            <w:tcBorders>
              <w:top w:val="nil"/>
              <w:left w:val="single" w:sz="4" w:space="0" w:color="auto"/>
              <w:bottom w:val="single" w:sz="4" w:space="0" w:color="auto"/>
              <w:right w:val="single" w:sz="4" w:space="0" w:color="auto"/>
            </w:tcBorders>
            <w:vAlign w:val="bottom"/>
            <w:hideMark/>
          </w:tcPr>
          <w:p w14:paraId="786DE717"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Methylprednisolone</w:t>
            </w:r>
            <w:proofErr w:type="spellEnd"/>
          </w:p>
        </w:tc>
        <w:tc>
          <w:tcPr>
            <w:tcW w:w="1916" w:type="pct"/>
            <w:tcBorders>
              <w:top w:val="nil"/>
              <w:left w:val="nil"/>
              <w:bottom w:val="single" w:sz="4" w:space="0" w:color="auto"/>
              <w:right w:val="single" w:sz="4" w:space="0" w:color="auto"/>
            </w:tcBorders>
            <w:vAlign w:val="bottom"/>
            <w:hideMark/>
          </w:tcPr>
          <w:p w14:paraId="2B4765E0"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H02AB04</w:t>
            </w:r>
          </w:p>
        </w:tc>
      </w:tr>
      <w:tr w:rsidR="00FD0F45" w:rsidRPr="00167453" w14:paraId="0B2A61D6" w14:textId="77777777" w:rsidTr="00FD0F45">
        <w:tblPrEx>
          <w:tblBorders>
            <w:top w:val="none" w:sz="0" w:space="0" w:color="auto"/>
            <w:bottom w:val="none" w:sz="0" w:space="0" w:color="auto"/>
          </w:tblBorders>
        </w:tblPrEx>
        <w:trPr>
          <w:trHeight w:val="286"/>
        </w:trPr>
        <w:tc>
          <w:tcPr>
            <w:tcW w:w="5000" w:type="pct"/>
            <w:gridSpan w:val="3"/>
            <w:tcBorders>
              <w:top w:val="single" w:sz="4" w:space="0" w:color="auto"/>
              <w:left w:val="single" w:sz="4" w:space="0" w:color="auto"/>
              <w:bottom w:val="single" w:sz="4" w:space="0" w:color="auto"/>
              <w:right w:val="single" w:sz="4" w:space="0" w:color="000000"/>
            </w:tcBorders>
            <w:vAlign w:val="bottom"/>
            <w:hideMark/>
          </w:tcPr>
          <w:p w14:paraId="6A2E3EC1" w14:textId="65D953BB" w:rsidR="00FD0F45" w:rsidRPr="00D10527" w:rsidRDefault="00FD0F45" w:rsidP="00256319">
            <w:pPr>
              <w:spacing w:after="0"/>
              <w:rPr>
                <w:rFonts w:ascii="Calibri" w:hAnsi="Calibri" w:cs="Calibri"/>
                <w:b/>
                <w:bCs/>
                <w:color w:val="000000"/>
                <w:lang w:val="en-US"/>
              </w:rPr>
            </w:pPr>
            <w:r>
              <w:rPr>
                <w:rFonts w:ascii="Calibri" w:hAnsi="Calibri" w:cs="Calibri"/>
                <w:b/>
                <w:bCs/>
                <w:color w:val="000000"/>
                <w:lang w:val="en-US"/>
              </w:rPr>
              <w:t>Multiple sclerosis disease-modifying treatment</w:t>
            </w:r>
          </w:p>
        </w:tc>
      </w:tr>
      <w:tr w:rsidR="00FD0F45" w:rsidRPr="00707F91" w14:paraId="667ED2A5" w14:textId="77777777" w:rsidTr="00FD0F45">
        <w:tblPrEx>
          <w:tblBorders>
            <w:top w:val="none" w:sz="0" w:space="0" w:color="auto"/>
            <w:bottom w:val="none" w:sz="0" w:space="0" w:color="auto"/>
          </w:tblBorders>
        </w:tblPrEx>
        <w:trPr>
          <w:trHeight w:val="276"/>
        </w:trPr>
        <w:tc>
          <w:tcPr>
            <w:tcW w:w="3084" w:type="pct"/>
            <w:gridSpan w:val="2"/>
            <w:tcBorders>
              <w:top w:val="nil"/>
              <w:left w:val="single" w:sz="4" w:space="0" w:color="auto"/>
              <w:bottom w:val="single" w:sz="4" w:space="0" w:color="auto"/>
              <w:right w:val="single" w:sz="4" w:space="0" w:color="auto"/>
            </w:tcBorders>
            <w:vAlign w:val="bottom"/>
            <w:hideMark/>
          </w:tcPr>
          <w:p w14:paraId="73F7FB8C"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Interferon</w:t>
            </w:r>
            <w:proofErr w:type="spellEnd"/>
            <w:r w:rsidRPr="00707F91">
              <w:rPr>
                <w:rFonts w:ascii="Calibri" w:hAnsi="Calibri" w:cs="Calibri"/>
                <w:color w:val="000000"/>
              </w:rPr>
              <w:t xml:space="preserve"> beta</w:t>
            </w:r>
          </w:p>
        </w:tc>
        <w:tc>
          <w:tcPr>
            <w:tcW w:w="1916" w:type="pct"/>
            <w:tcBorders>
              <w:top w:val="nil"/>
              <w:left w:val="nil"/>
              <w:bottom w:val="single" w:sz="4" w:space="0" w:color="auto"/>
              <w:right w:val="single" w:sz="4" w:space="0" w:color="auto"/>
            </w:tcBorders>
            <w:vAlign w:val="bottom"/>
            <w:hideMark/>
          </w:tcPr>
          <w:p w14:paraId="0B7A1B87"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L03AB07, L03AB02, L03AB08</w:t>
            </w:r>
          </w:p>
        </w:tc>
      </w:tr>
      <w:tr w:rsidR="00FD0F45" w:rsidRPr="00707F91" w14:paraId="6D663060" w14:textId="77777777" w:rsidTr="00FD0F45">
        <w:tblPrEx>
          <w:tblBorders>
            <w:top w:val="none" w:sz="0" w:space="0" w:color="auto"/>
            <w:bottom w:val="none" w:sz="0" w:space="0" w:color="auto"/>
          </w:tblBorders>
        </w:tblPrEx>
        <w:trPr>
          <w:trHeight w:val="253"/>
        </w:trPr>
        <w:tc>
          <w:tcPr>
            <w:tcW w:w="3084" w:type="pct"/>
            <w:gridSpan w:val="2"/>
            <w:tcBorders>
              <w:top w:val="nil"/>
              <w:left w:val="single" w:sz="4" w:space="0" w:color="auto"/>
              <w:bottom w:val="single" w:sz="4" w:space="0" w:color="auto"/>
              <w:right w:val="single" w:sz="4" w:space="0" w:color="auto"/>
            </w:tcBorders>
            <w:vAlign w:val="bottom"/>
            <w:hideMark/>
          </w:tcPr>
          <w:p w14:paraId="2A640485"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Glatiramer</w:t>
            </w:r>
            <w:proofErr w:type="spellEnd"/>
            <w:r w:rsidRPr="00707F91">
              <w:rPr>
                <w:rFonts w:ascii="Calibri" w:hAnsi="Calibri" w:cs="Calibri"/>
                <w:color w:val="000000"/>
              </w:rPr>
              <w:t xml:space="preserve"> </w:t>
            </w:r>
            <w:proofErr w:type="spellStart"/>
            <w:r w:rsidRPr="00707F91">
              <w:rPr>
                <w:rFonts w:ascii="Calibri" w:hAnsi="Calibri" w:cs="Calibri"/>
                <w:color w:val="000000"/>
              </w:rPr>
              <w:t>acetate</w:t>
            </w:r>
            <w:proofErr w:type="spellEnd"/>
          </w:p>
        </w:tc>
        <w:tc>
          <w:tcPr>
            <w:tcW w:w="1916" w:type="pct"/>
            <w:tcBorders>
              <w:top w:val="nil"/>
              <w:left w:val="nil"/>
              <w:bottom w:val="single" w:sz="4" w:space="0" w:color="auto"/>
              <w:right w:val="single" w:sz="4" w:space="0" w:color="auto"/>
            </w:tcBorders>
            <w:vAlign w:val="bottom"/>
            <w:hideMark/>
          </w:tcPr>
          <w:p w14:paraId="5A0E3077"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L03AX13 </w:t>
            </w:r>
          </w:p>
        </w:tc>
      </w:tr>
      <w:tr w:rsidR="00FD0F45" w:rsidRPr="00707F91" w14:paraId="2F2725AA" w14:textId="77777777" w:rsidTr="00FD0F45">
        <w:tblPrEx>
          <w:tblBorders>
            <w:top w:val="none" w:sz="0" w:space="0" w:color="auto"/>
            <w:bottom w:val="none" w:sz="0" w:space="0" w:color="auto"/>
          </w:tblBorders>
        </w:tblPrEx>
        <w:trPr>
          <w:trHeight w:val="286"/>
        </w:trPr>
        <w:tc>
          <w:tcPr>
            <w:tcW w:w="3084" w:type="pct"/>
            <w:gridSpan w:val="2"/>
            <w:tcBorders>
              <w:top w:val="nil"/>
              <w:left w:val="single" w:sz="4" w:space="0" w:color="auto"/>
              <w:bottom w:val="single" w:sz="4" w:space="0" w:color="auto"/>
              <w:right w:val="single" w:sz="4" w:space="0" w:color="auto"/>
            </w:tcBorders>
            <w:vAlign w:val="bottom"/>
            <w:hideMark/>
          </w:tcPr>
          <w:p w14:paraId="045AC957"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Teriflunomide</w:t>
            </w:r>
            <w:proofErr w:type="spellEnd"/>
          </w:p>
        </w:tc>
        <w:tc>
          <w:tcPr>
            <w:tcW w:w="1916" w:type="pct"/>
            <w:tcBorders>
              <w:top w:val="nil"/>
              <w:left w:val="nil"/>
              <w:bottom w:val="single" w:sz="4" w:space="0" w:color="auto"/>
              <w:right w:val="single" w:sz="4" w:space="0" w:color="auto"/>
            </w:tcBorders>
            <w:vAlign w:val="bottom"/>
            <w:hideMark/>
          </w:tcPr>
          <w:p w14:paraId="29EAC8D4"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L04AA31</w:t>
            </w:r>
          </w:p>
        </w:tc>
      </w:tr>
      <w:tr w:rsidR="00FD0F45" w:rsidRPr="00707F91" w14:paraId="66BEEC0D" w14:textId="77777777" w:rsidTr="00FD0F45">
        <w:tblPrEx>
          <w:tblBorders>
            <w:top w:val="none" w:sz="0" w:space="0" w:color="auto"/>
            <w:bottom w:val="none" w:sz="0" w:space="0" w:color="auto"/>
          </w:tblBorders>
        </w:tblPrEx>
        <w:trPr>
          <w:trHeight w:val="263"/>
        </w:trPr>
        <w:tc>
          <w:tcPr>
            <w:tcW w:w="3084" w:type="pct"/>
            <w:gridSpan w:val="2"/>
            <w:tcBorders>
              <w:top w:val="nil"/>
              <w:left w:val="single" w:sz="4" w:space="0" w:color="auto"/>
              <w:bottom w:val="single" w:sz="4" w:space="0" w:color="auto"/>
              <w:right w:val="single" w:sz="4" w:space="0" w:color="auto"/>
            </w:tcBorders>
            <w:vAlign w:val="bottom"/>
            <w:hideMark/>
          </w:tcPr>
          <w:p w14:paraId="0BDCAA86"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Dimethyl</w:t>
            </w:r>
            <w:proofErr w:type="spellEnd"/>
            <w:r w:rsidRPr="00707F91">
              <w:rPr>
                <w:rFonts w:ascii="Calibri" w:hAnsi="Calibri" w:cs="Calibri"/>
                <w:color w:val="000000"/>
              </w:rPr>
              <w:t xml:space="preserve"> fumarate</w:t>
            </w:r>
          </w:p>
        </w:tc>
        <w:tc>
          <w:tcPr>
            <w:tcW w:w="1916" w:type="pct"/>
            <w:tcBorders>
              <w:top w:val="nil"/>
              <w:left w:val="nil"/>
              <w:bottom w:val="single" w:sz="4" w:space="0" w:color="auto"/>
              <w:right w:val="single" w:sz="4" w:space="0" w:color="auto"/>
            </w:tcBorders>
            <w:vAlign w:val="bottom"/>
            <w:hideMark/>
          </w:tcPr>
          <w:p w14:paraId="2B86A043"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N07XX09</w:t>
            </w:r>
          </w:p>
        </w:tc>
      </w:tr>
      <w:tr w:rsidR="00FD0F45" w:rsidRPr="00707F91" w14:paraId="07195F36" w14:textId="77777777" w:rsidTr="00FD0F45">
        <w:tblPrEx>
          <w:tblBorders>
            <w:top w:val="none" w:sz="0" w:space="0" w:color="auto"/>
            <w:bottom w:val="none" w:sz="0" w:space="0" w:color="auto"/>
          </w:tblBorders>
        </w:tblPrEx>
        <w:trPr>
          <w:trHeight w:val="280"/>
        </w:trPr>
        <w:tc>
          <w:tcPr>
            <w:tcW w:w="3084" w:type="pct"/>
            <w:gridSpan w:val="2"/>
            <w:tcBorders>
              <w:top w:val="nil"/>
              <w:left w:val="single" w:sz="4" w:space="0" w:color="auto"/>
              <w:bottom w:val="single" w:sz="4" w:space="0" w:color="auto"/>
              <w:right w:val="nil"/>
            </w:tcBorders>
            <w:vAlign w:val="bottom"/>
            <w:hideMark/>
          </w:tcPr>
          <w:p w14:paraId="45729407" w14:textId="0FFC3A82" w:rsidR="00FD0F45" w:rsidRPr="00707F91" w:rsidRDefault="00FD0F45" w:rsidP="00256319">
            <w:pPr>
              <w:spacing w:after="0"/>
              <w:rPr>
                <w:rFonts w:ascii="Calibri" w:hAnsi="Calibri" w:cs="Calibri"/>
                <w:color w:val="000000"/>
              </w:rPr>
            </w:pPr>
            <w:r w:rsidRPr="00707F91">
              <w:rPr>
                <w:rFonts w:ascii="Calibri" w:hAnsi="Calibri" w:cs="Calibri"/>
                <w:color w:val="000000"/>
              </w:rPr>
              <w:t>Biotine (</w:t>
            </w:r>
            <w:proofErr w:type="spellStart"/>
            <w:r>
              <w:rPr>
                <w:rFonts w:ascii="Calibri" w:hAnsi="Calibri" w:cs="Calibri"/>
                <w:color w:val="000000"/>
              </w:rPr>
              <w:t>temporary</w:t>
            </w:r>
            <w:proofErr w:type="spellEnd"/>
            <w:r>
              <w:rPr>
                <w:rFonts w:ascii="Calibri" w:hAnsi="Calibri" w:cs="Calibri"/>
                <w:color w:val="000000"/>
              </w:rPr>
              <w:t xml:space="preserve"> use </w:t>
            </w:r>
            <w:proofErr w:type="spellStart"/>
            <w:r>
              <w:rPr>
                <w:rFonts w:ascii="Calibri" w:hAnsi="Calibri" w:cs="Calibri"/>
                <w:color w:val="000000"/>
              </w:rPr>
              <w:t>authorization</w:t>
            </w:r>
            <w:proofErr w:type="spellEnd"/>
            <w:r w:rsidRPr="00707F91">
              <w:rPr>
                <w:rFonts w:ascii="Calibri" w:hAnsi="Calibri" w:cs="Calibri"/>
                <w:color w:val="000000"/>
              </w:rPr>
              <w:t>)</w:t>
            </w:r>
          </w:p>
        </w:tc>
        <w:tc>
          <w:tcPr>
            <w:tcW w:w="1916" w:type="pct"/>
            <w:tcBorders>
              <w:top w:val="nil"/>
              <w:left w:val="single" w:sz="4" w:space="0" w:color="auto"/>
              <w:bottom w:val="single" w:sz="4" w:space="0" w:color="auto"/>
              <w:right w:val="single" w:sz="4" w:space="0" w:color="auto"/>
            </w:tcBorders>
            <w:vAlign w:val="bottom"/>
            <w:hideMark/>
          </w:tcPr>
          <w:p w14:paraId="57A59A32"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34009 589 007 4 7 (CIP)</w:t>
            </w:r>
          </w:p>
        </w:tc>
      </w:tr>
      <w:tr w:rsidR="00FD0F45" w:rsidRPr="00167453" w14:paraId="37E873B8" w14:textId="77777777" w:rsidTr="00FD0F45">
        <w:tblPrEx>
          <w:tblBorders>
            <w:top w:val="none" w:sz="0" w:space="0" w:color="auto"/>
            <w:bottom w:val="none" w:sz="0" w:space="0" w:color="auto"/>
          </w:tblBorders>
        </w:tblPrEx>
        <w:trPr>
          <w:trHeight w:val="312"/>
        </w:trPr>
        <w:tc>
          <w:tcPr>
            <w:tcW w:w="5000" w:type="pct"/>
            <w:gridSpan w:val="3"/>
            <w:tcBorders>
              <w:top w:val="single" w:sz="4" w:space="0" w:color="auto"/>
              <w:left w:val="single" w:sz="4" w:space="0" w:color="auto"/>
              <w:bottom w:val="single" w:sz="4" w:space="0" w:color="auto"/>
              <w:right w:val="single" w:sz="4" w:space="0" w:color="000000"/>
            </w:tcBorders>
            <w:vAlign w:val="bottom"/>
            <w:hideMark/>
          </w:tcPr>
          <w:p w14:paraId="7366556F" w14:textId="3E1659CF" w:rsidR="00FD0F45" w:rsidRPr="00D10527" w:rsidRDefault="00FD0F45" w:rsidP="00256319">
            <w:pPr>
              <w:spacing w:after="0"/>
              <w:rPr>
                <w:rFonts w:ascii="Calibri" w:hAnsi="Calibri" w:cs="Calibri"/>
                <w:b/>
                <w:bCs/>
                <w:color w:val="000000"/>
                <w:lang w:val="en-US"/>
              </w:rPr>
            </w:pPr>
            <w:r>
              <w:rPr>
                <w:rFonts w:ascii="Calibri" w:hAnsi="Calibri" w:cs="Calibri"/>
                <w:b/>
                <w:bCs/>
                <w:color w:val="000000"/>
                <w:lang w:val="en-US"/>
              </w:rPr>
              <w:t>Multiple sclerosis high efficacy disease-modifying treatment</w:t>
            </w:r>
          </w:p>
        </w:tc>
      </w:tr>
      <w:tr w:rsidR="00FD0F45" w:rsidRPr="00707F91" w14:paraId="18D82A9B" w14:textId="77777777" w:rsidTr="00FD0F45">
        <w:tblPrEx>
          <w:tblBorders>
            <w:top w:val="none" w:sz="0" w:space="0" w:color="auto"/>
            <w:bottom w:val="none" w:sz="0" w:space="0" w:color="auto"/>
          </w:tblBorders>
        </w:tblPrEx>
        <w:trPr>
          <w:trHeight w:val="233"/>
        </w:trPr>
        <w:tc>
          <w:tcPr>
            <w:tcW w:w="3084" w:type="pct"/>
            <w:gridSpan w:val="2"/>
            <w:tcBorders>
              <w:top w:val="nil"/>
              <w:left w:val="single" w:sz="4" w:space="0" w:color="auto"/>
              <w:bottom w:val="single" w:sz="4" w:space="0" w:color="auto"/>
              <w:right w:val="single" w:sz="4" w:space="0" w:color="auto"/>
            </w:tcBorders>
            <w:vAlign w:val="bottom"/>
            <w:hideMark/>
          </w:tcPr>
          <w:p w14:paraId="6BAC1F00"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Mitoxantrone</w:t>
            </w:r>
            <w:proofErr w:type="spellEnd"/>
          </w:p>
        </w:tc>
        <w:tc>
          <w:tcPr>
            <w:tcW w:w="1916" w:type="pct"/>
            <w:tcBorders>
              <w:top w:val="nil"/>
              <w:left w:val="nil"/>
              <w:bottom w:val="single" w:sz="4" w:space="0" w:color="auto"/>
              <w:right w:val="single" w:sz="4" w:space="0" w:color="auto"/>
            </w:tcBorders>
            <w:vAlign w:val="bottom"/>
            <w:hideMark/>
          </w:tcPr>
          <w:p w14:paraId="452E35F1"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L01DB07 </w:t>
            </w:r>
          </w:p>
        </w:tc>
      </w:tr>
      <w:tr w:rsidR="00FD0F45" w:rsidRPr="00707F91" w14:paraId="0A06D03F" w14:textId="77777777" w:rsidTr="00FD0F45">
        <w:tblPrEx>
          <w:tblBorders>
            <w:top w:val="none" w:sz="0" w:space="0" w:color="auto"/>
            <w:bottom w:val="none" w:sz="0" w:space="0" w:color="auto"/>
          </w:tblBorders>
        </w:tblPrEx>
        <w:trPr>
          <w:trHeight w:val="295"/>
        </w:trPr>
        <w:tc>
          <w:tcPr>
            <w:tcW w:w="3084" w:type="pct"/>
            <w:gridSpan w:val="2"/>
            <w:tcBorders>
              <w:top w:val="nil"/>
              <w:left w:val="single" w:sz="4" w:space="0" w:color="auto"/>
              <w:bottom w:val="single" w:sz="4" w:space="0" w:color="auto"/>
              <w:right w:val="single" w:sz="4" w:space="0" w:color="auto"/>
            </w:tcBorders>
            <w:vAlign w:val="bottom"/>
            <w:hideMark/>
          </w:tcPr>
          <w:p w14:paraId="37E73DCC"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Natalizumab</w:t>
            </w:r>
          </w:p>
        </w:tc>
        <w:tc>
          <w:tcPr>
            <w:tcW w:w="1916" w:type="pct"/>
            <w:tcBorders>
              <w:top w:val="nil"/>
              <w:left w:val="nil"/>
              <w:bottom w:val="single" w:sz="4" w:space="0" w:color="auto"/>
              <w:right w:val="single" w:sz="4" w:space="0" w:color="auto"/>
            </w:tcBorders>
            <w:vAlign w:val="bottom"/>
            <w:hideMark/>
          </w:tcPr>
          <w:p w14:paraId="3D3A8B82"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L04AA23</w:t>
            </w:r>
          </w:p>
        </w:tc>
      </w:tr>
      <w:tr w:rsidR="00FD0F45" w:rsidRPr="00707F91" w14:paraId="4BCBAD97" w14:textId="77777777" w:rsidTr="00FD0F45">
        <w:tblPrEx>
          <w:tblBorders>
            <w:top w:val="none" w:sz="0" w:space="0" w:color="auto"/>
            <w:bottom w:val="none" w:sz="0" w:space="0" w:color="auto"/>
          </w:tblBorders>
        </w:tblPrEx>
        <w:trPr>
          <w:trHeight w:val="300"/>
        </w:trPr>
        <w:tc>
          <w:tcPr>
            <w:tcW w:w="3084" w:type="pct"/>
            <w:gridSpan w:val="2"/>
            <w:tcBorders>
              <w:top w:val="nil"/>
              <w:left w:val="single" w:sz="4" w:space="0" w:color="auto"/>
              <w:bottom w:val="single" w:sz="4" w:space="0" w:color="auto"/>
              <w:right w:val="single" w:sz="4" w:space="0" w:color="auto"/>
            </w:tcBorders>
            <w:vAlign w:val="bottom"/>
            <w:hideMark/>
          </w:tcPr>
          <w:p w14:paraId="426FC872"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Fingolimod</w:t>
            </w:r>
          </w:p>
        </w:tc>
        <w:tc>
          <w:tcPr>
            <w:tcW w:w="1916" w:type="pct"/>
            <w:tcBorders>
              <w:top w:val="nil"/>
              <w:left w:val="nil"/>
              <w:bottom w:val="single" w:sz="4" w:space="0" w:color="auto"/>
              <w:right w:val="single" w:sz="4" w:space="0" w:color="auto"/>
            </w:tcBorders>
            <w:vAlign w:val="bottom"/>
            <w:hideMark/>
          </w:tcPr>
          <w:p w14:paraId="556982CC"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L04AA27</w:t>
            </w:r>
          </w:p>
        </w:tc>
      </w:tr>
      <w:tr w:rsidR="00FD0F45" w:rsidRPr="00707F91" w14:paraId="31997084" w14:textId="77777777" w:rsidTr="00FD0F45">
        <w:tblPrEx>
          <w:tblBorders>
            <w:top w:val="none" w:sz="0" w:space="0" w:color="auto"/>
            <w:bottom w:val="none" w:sz="0" w:space="0" w:color="auto"/>
          </w:tblBorders>
        </w:tblPrEx>
        <w:trPr>
          <w:trHeight w:val="390"/>
        </w:trPr>
        <w:tc>
          <w:tcPr>
            <w:tcW w:w="5000" w:type="pct"/>
            <w:gridSpan w:val="3"/>
            <w:tcBorders>
              <w:top w:val="single" w:sz="4" w:space="0" w:color="auto"/>
              <w:left w:val="single" w:sz="4" w:space="0" w:color="auto"/>
              <w:bottom w:val="single" w:sz="4" w:space="0" w:color="auto"/>
              <w:right w:val="single" w:sz="4" w:space="0" w:color="000000"/>
            </w:tcBorders>
            <w:vAlign w:val="bottom"/>
            <w:hideMark/>
          </w:tcPr>
          <w:p w14:paraId="5FCF5FC2" w14:textId="77777777" w:rsidR="00FD0F45" w:rsidRPr="00707F91" w:rsidRDefault="00FD0F45" w:rsidP="00256319">
            <w:pPr>
              <w:spacing w:after="0"/>
              <w:rPr>
                <w:rFonts w:ascii="Calibri" w:hAnsi="Calibri" w:cs="Calibri"/>
                <w:b/>
                <w:bCs/>
                <w:color w:val="000000"/>
              </w:rPr>
            </w:pPr>
            <w:proofErr w:type="spellStart"/>
            <w:r w:rsidRPr="00707F91">
              <w:rPr>
                <w:rFonts w:ascii="Calibri" w:hAnsi="Calibri" w:cs="Calibri"/>
                <w:b/>
                <w:bCs/>
                <w:color w:val="000000"/>
              </w:rPr>
              <w:t>Symptomatic</w:t>
            </w:r>
            <w:proofErr w:type="spellEnd"/>
            <w:r w:rsidRPr="00707F91">
              <w:rPr>
                <w:rFonts w:ascii="Calibri" w:hAnsi="Calibri" w:cs="Calibri"/>
                <w:b/>
                <w:bCs/>
                <w:color w:val="000000"/>
              </w:rPr>
              <w:t xml:space="preserve"> </w:t>
            </w:r>
            <w:proofErr w:type="spellStart"/>
            <w:r w:rsidRPr="00707F91">
              <w:rPr>
                <w:rFonts w:ascii="Calibri" w:hAnsi="Calibri" w:cs="Calibri"/>
                <w:b/>
                <w:bCs/>
                <w:color w:val="000000"/>
              </w:rPr>
              <w:t>treatments</w:t>
            </w:r>
            <w:proofErr w:type="spellEnd"/>
          </w:p>
        </w:tc>
      </w:tr>
      <w:tr w:rsidR="00FD0F45" w:rsidRPr="00707F91" w14:paraId="6DABB36D" w14:textId="77777777" w:rsidTr="00FD0F45">
        <w:tblPrEx>
          <w:tblBorders>
            <w:top w:val="none" w:sz="0" w:space="0" w:color="auto"/>
            <w:bottom w:val="none" w:sz="0" w:space="0" w:color="auto"/>
          </w:tblBorders>
        </w:tblPrEx>
        <w:trPr>
          <w:trHeight w:val="300"/>
        </w:trPr>
        <w:tc>
          <w:tcPr>
            <w:tcW w:w="3084" w:type="pct"/>
            <w:gridSpan w:val="2"/>
            <w:tcBorders>
              <w:top w:val="nil"/>
              <w:left w:val="single" w:sz="4" w:space="0" w:color="auto"/>
              <w:bottom w:val="single" w:sz="4" w:space="0" w:color="auto"/>
              <w:right w:val="single" w:sz="4" w:space="0" w:color="auto"/>
            </w:tcBorders>
            <w:vAlign w:val="bottom"/>
            <w:hideMark/>
          </w:tcPr>
          <w:p w14:paraId="667E4607"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Morphin</w:t>
            </w:r>
            <w:proofErr w:type="spellEnd"/>
          </w:p>
        </w:tc>
        <w:tc>
          <w:tcPr>
            <w:tcW w:w="1916" w:type="pct"/>
            <w:tcBorders>
              <w:top w:val="nil"/>
              <w:left w:val="nil"/>
              <w:bottom w:val="single" w:sz="4" w:space="0" w:color="auto"/>
              <w:right w:val="single" w:sz="4" w:space="0" w:color="auto"/>
            </w:tcBorders>
            <w:vAlign w:val="bottom"/>
            <w:hideMark/>
          </w:tcPr>
          <w:p w14:paraId="15515EBA"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N02AA01</w:t>
            </w:r>
          </w:p>
        </w:tc>
      </w:tr>
      <w:tr w:rsidR="00FD0F45" w:rsidRPr="00707F91" w14:paraId="40A49993" w14:textId="77777777" w:rsidTr="00FD0F45">
        <w:tblPrEx>
          <w:tblBorders>
            <w:top w:val="none" w:sz="0" w:space="0" w:color="auto"/>
            <w:bottom w:val="none" w:sz="0" w:space="0" w:color="auto"/>
          </w:tblBorders>
        </w:tblPrEx>
        <w:trPr>
          <w:trHeight w:val="300"/>
        </w:trPr>
        <w:tc>
          <w:tcPr>
            <w:tcW w:w="3084" w:type="pct"/>
            <w:gridSpan w:val="2"/>
            <w:tcBorders>
              <w:top w:val="nil"/>
              <w:left w:val="single" w:sz="4" w:space="0" w:color="auto"/>
              <w:bottom w:val="single" w:sz="4" w:space="0" w:color="auto"/>
              <w:right w:val="single" w:sz="4" w:space="0" w:color="auto"/>
            </w:tcBorders>
            <w:vAlign w:val="bottom"/>
            <w:hideMark/>
          </w:tcPr>
          <w:p w14:paraId="6F0F3CBA"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Tiapride</w:t>
            </w:r>
            <w:proofErr w:type="spellEnd"/>
          </w:p>
        </w:tc>
        <w:tc>
          <w:tcPr>
            <w:tcW w:w="1916" w:type="pct"/>
            <w:tcBorders>
              <w:top w:val="nil"/>
              <w:left w:val="nil"/>
              <w:bottom w:val="single" w:sz="4" w:space="0" w:color="auto"/>
              <w:right w:val="single" w:sz="4" w:space="0" w:color="auto"/>
            </w:tcBorders>
            <w:vAlign w:val="bottom"/>
            <w:hideMark/>
          </w:tcPr>
          <w:p w14:paraId="3699AD92"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N05AL03 </w:t>
            </w:r>
          </w:p>
        </w:tc>
      </w:tr>
      <w:tr w:rsidR="00FD0F45" w:rsidRPr="00707F91" w14:paraId="1606B668" w14:textId="77777777" w:rsidTr="00FD0F45">
        <w:tblPrEx>
          <w:tblBorders>
            <w:top w:val="none" w:sz="0" w:space="0" w:color="auto"/>
            <w:bottom w:val="none" w:sz="0" w:space="0" w:color="auto"/>
          </w:tblBorders>
        </w:tblPrEx>
        <w:trPr>
          <w:trHeight w:val="300"/>
        </w:trPr>
        <w:tc>
          <w:tcPr>
            <w:tcW w:w="3084" w:type="pct"/>
            <w:gridSpan w:val="2"/>
            <w:tcBorders>
              <w:top w:val="nil"/>
              <w:left w:val="single" w:sz="4" w:space="0" w:color="auto"/>
              <w:bottom w:val="single" w:sz="4" w:space="0" w:color="auto"/>
              <w:right w:val="single" w:sz="4" w:space="0" w:color="auto"/>
            </w:tcBorders>
            <w:vAlign w:val="bottom"/>
            <w:hideMark/>
          </w:tcPr>
          <w:p w14:paraId="05A46696"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Antiepileptics</w:t>
            </w:r>
            <w:proofErr w:type="spellEnd"/>
            <w:r w:rsidRPr="00707F91">
              <w:rPr>
                <w:rFonts w:ascii="Calibri" w:hAnsi="Calibri" w:cs="Calibri"/>
                <w:color w:val="000000"/>
              </w:rPr>
              <w:t xml:space="preserve"> </w:t>
            </w:r>
          </w:p>
        </w:tc>
        <w:tc>
          <w:tcPr>
            <w:tcW w:w="1916" w:type="pct"/>
            <w:tcBorders>
              <w:top w:val="nil"/>
              <w:left w:val="nil"/>
              <w:bottom w:val="single" w:sz="4" w:space="0" w:color="auto"/>
              <w:right w:val="single" w:sz="4" w:space="0" w:color="auto"/>
            </w:tcBorders>
            <w:vAlign w:val="bottom"/>
            <w:hideMark/>
          </w:tcPr>
          <w:p w14:paraId="0F00353A"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N03A</w:t>
            </w:r>
          </w:p>
        </w:tc>
      </w:tr>
      <w:tr w:rsidR="00FD0F45" w:rsidRPr="00707F91" w14:paraId="5E1A54F5" w14:textId="77777777" w:rsidTr="00FD0F45">
        <w:tblPrEx>
          <w:tblBorders>
            <w:top w:val="none" w:sz="0" w:space="0" w:color="auto"/>
            <w:bottom w:val="none" w:sz="0" w:space="0" w:color="auto"/>
          </w:tblBorders>
        </w:tblPrEx>
        <w:trPr>
          <w:trHeight w:val="300"/>
        </w:trPr>
        <w:tc>
          <w:tcPr>
            <w:tcW w:w="3084" w:type="pct"/>
            <w:gridSpan w:val="2"/>
            <w:tcBorders>
              <w:top w:val="nil"/>
              <w:left w:val="single" w:sz="4" w:space="0" w:color="auto"/>
              <w:bottom w:val="single" w:sz="4" w:space="0" w:color="auto"/>
              <w:right w:val="single" w:sz="4" w:space="0" w:color="auto"/>
            </w:tcBorders>
            <w:vAlign w:val="bottom"/>
            <w:hideMark/>
          </w:tcPr>
          <w:p w14:paraId="1A90806F"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Antidepressants</w:t>
            </w:r>
            <w:proofErr w:type="spellEnd"/>
            <w:r w:rsidRPr="00707F91">
              <w:rPr>
                <w:rFonts w:ascii="Calibri" w:hAnsi="Calibri" w:cs="Calibri"/>
                <w:color w:val="000000"/>
              </w:rPr>
              <w:t xml:space="preserve"> </w:t>
            </w:r>
          </w:p>
        </w:tc>
        <w:tc>
          <w:tcPr>
            <w:tcW w:w="1916" w:type="pct"/>
            <w:tcBorders>
              <w:top w:val="nil"/>
              <w:left w:val="nil"/>
              <w:bottom w:val="single" w:sz="4" w:space="0" w:color="auto"/>
              <w:right w:val="single" w:sz="4" w:space="0" w:color="auto"/>
            </w:tcBorders>
            <w:vAlign w:val="bottom"/>
            <w:hideMark/>
          </w:tcPr>
          <w:p w14:paraId="349BF532"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N06A</w:t>
            </w:r>
          </w:p>
        </w:tc>
      </w:tr>
      <w:tr w:rsidR="00FD0F45" w:rsidRPr="00707F91" w14:paraId="77F3D5AB" w14:textId="77777777" w:rsidTr="00FD0F45">
        <w:tblPrEx>
          <w:tblBorders>
            <w:top w:val="none" w:sz="0" w:space="0" w:color="auto"/>
            <w:bottom w:val="none" w:sz="0" w:space="0" w:color="auto"/>
          </w:tblBorders>
        </w:tblPrEx>
        <w:trPr>
          <w:trHeight w:val="300"/>
        </w:trPr>
        <w:tc>
          <w:tcPr>
            <w:tcW w:w="3084" w:type="pct"/>
            <w:gridSpan w:val="2"/>
            <w:tcBorders>
              <w:top w:val="nil"/>
              <w:left w:val="single" w:sz="4" w:space="0" w:color="auto"/>
              <w:bottom w:val="single" w:sz="4" w:space="0" w:color="auto"/>
              <w:right w:val="single" w:sz="4" w:space="0" w:color="auto"/>
            </w:tcBorders>
            <w:vAlign w:val="bottom"/>
            <w:hideMark/>
          </w:tcPr>
          <w:p w14:paraId="333A1405"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Anxiolytics</w:t>
            </w:r>
            <w:proofErr w:type="spellEnd"/>
          </w:p>
        </w:tc>
        <w:tc>
          <w:tcPr>
            <w:tcW w:w="1916" w:type="pct"/>
            <w:tcBorders>
              <w:top w:val="nil"/>
              <w:left w:val="nil"/>
              <w:bottom w:val="single" w:sz="4" w:space="0" w:color="auto"/>
              <w:right w:val="single" w:sz="4" w:space="0" w:color="auto"/>
            </w:tcBorders>
            <w:vAlign w:val="bottom"/>
            <w:hideMark/>
          </w:tcPr>
          <w:p w14:paraId="561ED590"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N05B</w:t>
            </w:r>
          </w:p>
        </w:tc>
      </w:tr>
      <w:tr w:rsidR="00FD0F45" w:rsidRPr="00707F91" w14:paraId="57DDE0DF" w14:textId="77777777" w:rsidTr="00FD0F45">
        <w:tblPrEx>
          <w:tblBorders>
            <w:top w:val="none" w:sz="0" w:space="0" w:color="auto"/>
            <w:bottom w:val="none" w:sz="0" w:space="0" w:color="auto"/>
          </w:tblBorders>
        </w:tblPrEx>
        <w:trPr>
          <w:trHeight w:val="300"/>
        </w:trPr>
        <w:tc>
          <w:tcPr>
            <w:tcW w:w="3084" w:type="pct"/>
            <w:gridSpan w:val="2"/>
            <w:tcBorders>
              <w:top w:val="nil"/>
              <w:left w:val="single" w:sz="4" w:space="0" w:color="auto"/>
              <w:bottom w:val="single" w:sz="4" w:space="0" w:color="auto"/>
              <w:right w:val="single" w:sz="4" w:space="0" w:color="auto"/>
            </w:tcBorders>
            <w:vAlign w:val="bottom"/>
            <w:hideMark/>
          </w:tcPr>
          <w:p w14:paraId="6058F196"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Propanolol</w:t>
            </w:r>
          </w:p>
        </w:tc>
        <w:tc>
          <w:tcPr>
            <w:tcW w:w="1916" w:type="pct"/>
            <w:tcBorders>
              <w:top w:val="nil"/>
              <w:left w:val="nil"/>
              <w:bottom w:val="single" w:sz="4" w:space="0" w:color="auto"/>
              <w:right w:val="single" w:sz="4" w:space="0" w:color="auto"/>
            </w:tcBorders>
            <w:vAlign w:val="bottom"/>
            <w:hideMark/>
          </w:tcPr>
          <w:p w14:paraId="4F38FA0F"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 xml:space="preserve">C07AA05 </w:t>
            </w:r>
          </w:p>
        </w:tc>
      </w:tr>
      <w:tr w:rsidR="00FD0F45" w:rsidRPr="00707F91" w14:paraId="08E31804" w14:textId="77777777" w:rsidTr="00FD0F45">
        <w:tblPrEx>
          <w:tblBorders>
            <w:top w:val="none" w:sz="0" w:space="0" w:color="auto"/>
            <w:bottom w:val="none" w:sz="0" w:space="0" w:color="auto"/>
          </w:tblBorders>
        </w:tblPrEx>
        <w:trPr>
          <w:trHeight w:val="288"/>
        </w:trPr>
        <w:tc>
          <w:tcPr>
            <w:tcW w:w="3084" w:type="pct"/>
            <w:gridSpan w:val="2"/>
            <w:tcBorders>
              <w:top w:val="nil"/>
              <w:left w:val="single" w:sz="4" w:space="0" w:color="auto"/>
              <w:bottom w:val="single" w:sz="4" w:space="0" w:color="auto"/>
              <w:right w:val="single" w:sz="4" w:space="0" w:color="auto"/>
            </w:tcBorders>
            <w:vAlign w:val="bottom"/>
            <w:hideMark/>
          </w:tcPr>
          <w:p w14:paraId="7608B987"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Fampridine</w:t>
            </w:r>
            <w:proofErr w:type="spellEnd"/>
          </w:p>
        </w:tc>
        <w:tc>
          <w:tcPr>
            <w:tcW w:w="1916" w:type="pct"/>
            <w:tcBorders>
              <w:top w:val="nil"/>
              <w:left w:val="nil"/>
              <w:bottom w:val="single" w:sz="4" w:space="0" w:color="auto"/>
              <w:right w:val="single" w:sz="4" w:space="0" w:color="auto"/>
            </w:tcBorders>
            <w:vAlign w:val="bottom"/>
            <w:hideMark/>
          </w:tcPr>
          <w:p w14:paraId="47C26D2C"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N07XX07</w:t>
            </w:r>
          </w:p>
        </w:tc>
      </w:tr>
      <w:tr w:rsidR="00FD0F45" w:rsidRPr="00707F91" w14:paraId="77716D68" w14:textId="77777777" w:rsidTr="00FD0F45">
        <w:tblPrEx>
          <w:tblBorders>
            <w:top w:val="none" w:sz="0" w:space="0" w:color="auto"/>
            <w:bottom w:val="none" w:sz="0" w:space="0" w:color="auto"/>
          </w:tblBorders>
        </w:tblPrEx>
        <w:trPr>
          <w:trHeight w:val="300"/>
        </w:trPr>
        <w:tc>
          <w:tcPr>
            <w:tcW w:w="3084" w:type="pct"/>
            <w:gridSpan w:val="2"/>
            <w:tcBorders>
              <w:top w:val="nil"/>
              <w:left w:val="single" w:sz="4" w:space="0" w:color="auto"/>
              <w:bottom w:val="single" w:sz="4" w:space="0" w:color="auto"/>
              <w:right w:val="single" w:sz="4" w:space="0" w:color="auto"/>
            </w:tcBorders>
            <w:vAlign w:val="bottom"/>
            <w:hideMark/>
          </w:tcPr>
          <w:p w14:paraId="0B1CFB91"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Baclofen</w:t>
            </w:r>
            <w:proofErr w:type="spellEnd"/>
            <w:r w:rsidRPr="00707F91">
              <w:rPr>
                <w:rFonts w:ascii="Calibri" w:hAnsi="Calibri" w:cs="Calibri"/>
                <w:color w:val="000000"/>
              </w:rPr>
              <w:t xml:space="preserve"> (per os, </w:t>
            </w:r>
            <w:proofErr w:type="spellStart"/>
            <w:r w:rsidRPr="00707F91">
              <w:rPr>
                <w:rFonts w:ascii="Calibri" w:hAnsi="Calibri" w:cs="Calibri"/>
                <w:color w:val="000000"/>
              </w:rPr>
              <w:t>intrathécal</w:t>
            </w:r>
            <w:proofErr w:type="spellEnd"/>
            <w:r w:rsidRPr="00707F91">
              <w:rPr>
                <w:rFonts w:ascii="Calibri" w:hAnsi="Calibri" w:cs="Calibri"/>
                <w:color w:val="000000"/>
              </w:rPr>
              <w:t>)</w:t>
            </w:r>
          </w:p>
        </w:tc>
        <w:tc>
          <w:tcPr>
            <w:tcW w:w="1916" w:type="pct"/>
            <w:tcBorders>
              <w:top w:val="nil"/>
              <w:left w:val="nil"/>
              <w:bottom w:val="single" w:sz="4" w:space="0" w:color="auto"/>
              <w:right w:val="single" w:sz="4" w:space="0" w:color="auto"/>
            </w:tcBorders>
            <w:vAlign w:val="bottom"/>
            <w:hideMark/>
          </w:tcPr>
          <w:p w14:paraId="71EBA04C"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M03BX01 </w:t>
            </w:r>
          </w:p>
        </w:tc>
      </w:tr>
      <w:tr w:rsidR="00FD0F45" w:rsidRPr="00707F91" w14:paraId="64B081E7" w14:textId="77777777" w:rsidTr="00FD0F45">
        <w:tblPrEx>
          <w:tblBorders>
            <w:top w:val="none" w:sz="0" w:space="0" w:color="auto"/>
            <w:bottom w:val="none" w:sz="0" w:space="0" w:color="auto"/>
          </w:tblBorders>
        </w:tblPrEx>
        <w:trPr>
          <w:trHeight w:val="300"/>
        </w:trPr>
        <w:tc>
          <w:tcPr>
            <w:tcW w:w="3084" w:type="pct"/>
            <w:gridSpan w:val="2"/>
            <w:tcBorders>
              <w:top w:val="nil"/>
              <w:left w:val="single" w:sz="4" w:space="0" w:color="auto"/>
              <w:bottom w:val="single" w:sz="4" w:space="0" w:color="auto"/>
              <w:right w:val="single" w:sz="4" w:space="0" w:color="auto"/>
            </w:tcBorders>
            <w:vAlign w:val="bottom"/>
            <w:hideMark/>
          </w:tcPr>
          <w:p w14:paraId="557F1AE7"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Dantrolene</w:t>
            </w:r>
            <w:proofErr w:type="spellEnd"/>
          </w:p>
        </w:tc>
        <w:tc>
          <w:tcPr>
            <w:tcW w:w="1916" w:type="pct"/>
            <w:tcBorders>
              <w:top w:val="nil"/>
              <w:left w:val="nil"/>
              <w:bottom w:val="single" w:sz="4" w:space="0" w:color="auto"/>
              <w:right w:val="single" w:sz="4" w:space="0" w:color="auto"/>
            </w:tcBorders>
            <w:vAlign w:val="bottom"/>
            <w:hideMark/>
          </w:tcPr>
          <w:p w14:paraId="0837EDF5"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M03CA01</w:t>
            </w:r>
          </w:p>
        </w:tc>
      </w:tr>
      <w:tr w:rsidR="00FD0F45" w:rsidRPr="00707F91" w14:paraId="117650BF" w14:textId="77777777" w:rsidTr="00FD0F45">
        <w:tblPrEx>
          <w:tblBorders>
            <w:top w:val="none" w:sz="0" w:space="0" w:color="auto"/>
            <w:bottom w:val="none" w:sz="0" w:space="0" w:color="auto"/>
          </w:tblBorders>
        </w:tblPrEx>
        <w:trPr>
          <w:trHeight w:val="300"/>
        </w:trPr>
        <w:tc>
          <w:tcPr>
            <w:tcW w:w="3084" w:type="pct"/>
            <w:gridSpan w:val="2"/>
            <w:tcBorders>
              <w:top w:val="nil"/>
              <w:left w:val="single" w:sz="4" w:space="0" w:color="auto"/>
              <w:bottom w:val="single" w:sz="4" w:space="0" w:color="auto"/>
              <w:right w:val="single" w:sz="4" w:space="0" w:color="auto"/>
            </w:tcBorders>
            <w:vAlign w:val="bottom"/>
            <w:hideMark/>
          </w:tcPr>
          <w:p w14:paraId="62747A12"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 xml:space="preserve">Botulinum </w:t>
            </w:r>
            <w:proofErr w:type="spellStart"/>
            <w:r w:rsidRPr="00707F91">
              <w:rPr>
                <w:rFonts w:ascii="Calibri" w:hAnsi="Calibri" w:cs="Calibri"/>
                <w:color w:val="000000"/>
              </w:rPr>
              <w:t>toxin</w:t>
            </w:r>
            <w:proofErr w:type="spellEnd"/>
          </w:p>
        </w:tc>
        <w:tc>
          <w:tcPr>
            <w:tcW w:w="1916" w:type="pct"/>
            <w:tcBorders>
              <w:top w:val="nil"/>
              <w:left w:val="nil"/>
              <w:bottom w:val="single" w:sz="4" w:space="0" w:color="auto"/>
              <w:right w:val="single" w:sz="4" w:space="0" w:color="auto"/>
            </w:tcBorders>
            <w:vAlign w:val="bottom"/>
            <w:hideMark/>
          </w:tcPr>
          <w:p w14:paraId="297BE7BF"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M03AX01</w:t>
            </w:r>
          </w:p>
        </w:tc>
      </w:tr>
      <w:tr w:rsidR="00FD0F45" w:rsidRPr="00707F91" w14:paraId="26170C05" w14:textId="77777777" w:rsidTr="00FD0F45">
        <w:tblPrEx>
          <w:tblBorders>
            <w:top w:val="none" w:sz="0" w:space="0" w:color="auto"/>
            <w:bottom w:val="none" w:sz="0" w:space="0" w:color="auto"/>
          </w:tblBorders>
        </w:tblPrEx>
        <w:trPr>
          <w:trHeight w:val="300"/>
        </w:trPr>
        <w:tc>
          <w:tcPr>
            <w:tcW w:w="3084" w:type="pct"/>
            <w:gridSpan w:val="2"/>
            <w:tcBorders>
              <w:top w:val="nil"/>
              <w:left w:val="single" w:sz="4" w:space="0" w:color="auto"/>
              <w:bottom w:val="single" w:sz="4" w:space="0" w:color="auto"/>
              <w:right w:val="single" w:sz="4" w:space="0" w:color="auto"/>
            </w:tcBorders>
            <w:vAlign w:val="bottom"/>
            <w:hideMark/>
          </w:tcPr>
          <w:p w14:paraId="0304785F"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Anticholinergics</w:t>
            </w:r>
            <w:proofErr w:type="spellEnd"/>
          </w:p>
        </w:tc>
        <w:tc>
          <w:tcPr>
            <w:tcW w:w="1916" w:type="pct"/>
            <w:tcBorders>
              <w:top w:val="nil"/>
              <w:left w:val="nil"/>
              <w:bottom w:val="single" w:sz="4" w:space="0" w:color="auto"/>
              <w:right w:val="single" w:sz="4" w:space="0" w:color="auto"/>
            </w:tcBorders>
            <w:vAlign w:val="bottom"/>
            <w:hideMark/>
          </w:tcPr>
          <w:p w14:paraId="5D8A84D7"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A03AA, A03AB</w:t>
            </w:r>
          </w:p>
        </w:tc>
      </w:tr>
      <w:tr w:rsidR="00FD0F45" w:rsidRPr="00707F91" w14:paraId="1951C630" w14:textId="77777777" w:rsidTr="00FD0F45">
        <w:tblPrEx>
          <w:tblBorders>
            <w:top w:val="none" w:sz="0" w:space="0" w:color="auto"/>
            <w:bottom w:val="none" w:sz="0" w:space="0" w:color="auto"/>
          </w:tblBorders>
        </w:tblPrEx>
        <w:trPr>
          <w:trHeight w:val="300"/>
        </w:trPr>
        <w:tc>
          <w:tcPr>
            <w:tcW w:w="3084" w:type="pct"/>
            <w:gridSpan w:val="2"/>
            <w:tcBorders>
              <w:top w:val="nil"/>
              <w:left w:val="single" w:sz="4" w:space="0" w:color="auto"/>
              <w:bottom w:val="single" w:sz="4" w:space="0" w:color="auto"/>
              <w:right w:val="single" w:sz="4" w:space="0" w:color="auto"/>
            </w:tcBorders>
            <w:vAlign w:val="bottom"/>
            <w:hideMark/>
          </w:tcPr>
          <w:p w14:paraId="5D34D31D"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Flavoxate</w:t>
            </w:r>
            <w:proofErr w:type="spellEnd"/>
          </w:p>
        </w:tc>
        <w:tc>
          <w:tcPr>
            <w:tcW w:w="1916" w:type="pct"/>
            <w:tcBorders>
              <w:top w:val="nil"/>
              <w:left w:val="nil"/>
              <w:bottom w:val="single" w:sz="4" w:space="0" w:color="auto"/>
              <w:right w:val="single" w:sz="4" w:space="0" w:color="auto"/>
            </w:tcBorders>
            <w:vAlign w:val="bottom"/>
            <w:hideMark/>
          </w:tcPr>
          <w:p w14:paraId="4E93DB52"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G04BD02 </w:t>
            </w:r>
          </w:p>
        </w:tc>
      </w:tr>
      <w:tr w:rsidR="00FD0F45" w:rsidRPr="00167453" w14:paraId="4BD445D1" w14:textId="77777777" w:rsidTr="00FD0F45">
        <w:tblPrEx>
          <w:tblBorders>
            <w:top w:val="none" w:sz="0" w:space="0" w:color="auto"/>
            <w:bottom w:val="none" w:sz="0" w:space="0" w:color="auto"/>
          </w:tblBorders>
        </w:tblPrEx>
        <w:trPr>
          <w:trHeight w:val="635"/>
        </w:trPr>
        <w:tc>
          <w:tcPr>
            <w:tcW w:w="3084" w:type="pct"/>
            <w:gridSpan w:val="2"/>
            <w:tcBorders>
              <w:top w:val="nil"/>
              <w:left w:val="single" w:sz="4" w:space="0" w:color="auto"/>
              <w:bottom w:val="single" w:sz="4" w:space="0" w:color="auto"/>
              <w:right w:val="single" w:sz="4" w:space="0" w:color="auto"/>
            </w:tcBorders>
            <w:vAlign w:val="bottom"/>
            <w:hideMark/>
          </w:tcPr>
          <w:p w14:paraId="712CDA67" w14:textId="77777777" w:rsidR="00FD0F45" w:rsidRPr="00D72798" w:rsidRDefault="00FD0F45" w:rsidP="00256319">
            <w:pPr>
              <w:spacing w:after="0"/>
              <w:rPr>
                <w:rFonts w:ascii="Calibri" w:hAnsi="Calibri" w:cs="Calibri"/>
                <w:color w:val="000000"/>
                <w:lang w:val="en-US"/>
              </w:rPr>
            </w:pPr>
            <w:r w:rsidRPr="00D72798">
              <w:rPr>
                <w:rFonts w:ascii="Calibri" w:hAnsi="Calibri" w:cs="Calibri"/>
                <w:color w:val="000000"/>
                <w:lang w:val="en-US"/>
              </w:rPr>
              <w:t xml:space="preserve">Alpha-adrenoreceptor antagonists (Alfuzosin, </w:t>
            </w:r>
            <w:proofErr w:type="spellStart"/>
            <w:r w:rsidRPr="00D72798">
              <w:rPr>
                <w:rFonts w:ascii="Calibri" w:hAnsi="Calibri" w:cs="Calibri"/>
                <w:color w:val="000000"/>
                <w:lang w:val="en-US"/>
              </w:rPr>
              <w:t>Doxazosine</w:t>
            </w:r>
            <w:proofErr w:type="spellEnd"/>
            <w:r w:rsidRPr="00D72798">
              <w:rPr>
                <w:rFonts w:ascii="Calibri" w:hAnsi="Calibri" w:cs="Calibri"/>
                <w:color w:val="000000"/>
                <w:lang w:val="en-US"/>
              </w:rPr>
              <w:t xml:space="preserve">, </w:t>
            </w:r>
            <w:proofErr w:type="spellStart"/>
            <w:proofErr w:type="gramStart"/>
            <w:r w:rsidRPr="00D72798">
              <w:rPr>
                <w:rFonts w:ascii="Calibri" w:hAnsi="Calibri" w:cs="Calibri"/>
                <w:color w:val="000000"/>
                <w:lang w:val="en-US"/>
              </w:rPr>
              <w:t>Tamsulosin,Terazosin</w:t>
            </w:r>
            <w:proofErr w:type="spellEnd"/>
            <w:proofErr w:type="gramEnd"/>
            <w:r w:rsidRPr="00D72798">
              <w:rPr>
                <w:rFonts w:ascii="Calibri" w:hAnsi="Calibri" w:cs="Calibri"/>
                <w:color w:val="000000"/>
                <w:lang w:val="en-US"/>
              </w:rPr>
              <w:t>, Prazosin)</w:t>
            </w:r>
          </w:p>
        </w:tc>
        <w:tc>
          <w:tcPr>
            <w:tcW w:w="1916" w:type="pct"/>
            <w:tcBorders>
              <w:top w:val="nil"/>
              <w:left w:val="nil"/>
              <w:bottom w:val="single" w:sz="4" w:space="0" w:color="auto"/>
              <w:right w:val="single" w:sz="4" w:space="0" w:color="auto"/>
            </w:tcBorders>
            <w:vAlign w:val="bottom"/>
            <w:hideMark/>
          </w:tcPr>
          <w:p w14:paraId="60C39FBF" w14:textId="77777777" w:rsidR="00FD0F45" w:rsidRPr="00F73689" w:rsidRDefault="00FD0F45" w:rsidP="00256319">
            <w:pPr>
              <w:spacing w:after="0"/>
              <w:rPr>
                <w:rFonts w:ascii="Calibri" w:hAnsi="Calibri" w:cs="Calibri"/>
                <w:color w:val="000000"/>
                <w:lang w:val="it-IT"/>
              </w:rPr>
            </w:pPr>
            <w:r w:rsidRPr="00F73689">
              <w:rPr>
                <w:rFonts w:ascii="Calibri" w:hAnsi="Calibri" w:cs="Calibri"/>
                <w:color w:val="000000"/>
                <w:lang w:val="it-IT"/>
              </w:rPr>
              <w:t xml:space="preserve">G04CA01, C02CA04, G04CA02, G04CA03, C02CA01 </w:t>
            </w:r>
          </w:p>
        </w:tc>
      </w:tr>
      <w:tr w:rsidR="00FD0F45" w:rsidRPr="00707F91" w14:paraId="2255D2B0" w14:textId="77777777" w:rsidTr="00FD0F45">
        <w:tblPrEx>
          <w:tblBorders>
            <w:top w:val="none" w:sz="0" w:space="0" w:color="auto"/>
            <w:bottom w:val="none" w:sz="0" w:space="0" w:color="auto"/>
          </w:tblBorders>
        </w:tblPrEx>
        <w:trPr>
          <w:trHeight w:val="300"/>
        </w:trPr>
        <w:tc>
          <w:tcPr>
            <w:tcW w:w="3084" w:type="pct"/>
            <w:gridSpan w:val="2"/>
            <w:tcBorders>
              <w:top w:val="nil"/>
              <w:left w:val="single" w:sz="4" w:space="0" w:color="auto"/>
              <w:bottom w:val="single" w:sz="4" w:space="0" w:color="auto"/>
              <w:right w:val="single" w:sz="4" w:space="0" w:color="auto"/>
            </w:tcBorders>
            <w:vAlign w:val="bottom"/>
            <w:hideMark/>
          </w:tcPr>
          <w:p w14:paraId="29873E31"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Drugs</w:t>
            </w:r>
            <w:proofErr w:type="spellEnd"/>
            <w:r w:rsidRPr="00707F91">
              <w:rPr>
                <w:rFonts w:ascii="Calibri" w:hAnsi="Calibri" w:cs="Calibri"/>
                <w:color w:val="000000"/>
              </w:rPr>
              <w:t xml:space="preserve"> for constipation</w:t>
            </w:r>
          </w:p>
        </w:tc>
        <w:tc>
          <w:tcPr>
            <w:tcW w:w="1916" w:type="pct"/>
            <w:tcBorders>
              <w:top w:val="nil"/>
              <w:left w:val="nil"/>
              <w:bottom w:val="single" w:sz="4" w:space="0" w:color="auto"/>
              <w:right w:val="single" w:sz="4" w:space="0" w:color="auto"/>
            </w:tcBorders>
            <w:vAlign w:val="bottom"/>
            <w:hideMark/>
          </w:tcPr>
          <w:p w14:paraId="44699A6B"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A06</w:t>
            </w:r>
          </w:p>
        </w:tc>
      </w:tr>
      <w:tr w:rsidR="00FD0F45" w:rsidRPr="00707F91" w14:paraId="10FE1DAF" w14:textId="77777777" w:rsidTr="00FD0F45">
        <w:tblPrEx>
          <w:tblBorders>
            <w:top w:val="none" w:sz="0" w:space="0" w:color="auto"/>
            <w:bottom w:val="none" w:sz="0" w:space="0" w:color="auto"/>
          </w:tblBorders>
        </w:tblPrEx>
        <w:trPr>
          <w:trHeight w:val="150"/>
        </w:trPr>
        <w:tc>
          <w:tcPr>
            <w:tcW w:w="3084" w:type="pct"/>
            <w:gridSpan w:val="2"/>
            <w:tcBorders>
              <w:top w:val="nil"/>
              <w:left w:val="single" w:sz="4" w:space="0" w:color="auto"/>
              <w:bottom w:val="single" w:sz="4" w:space="0" w:color="auto"/>
              <w:right w:val="single" w:sz="4" w:space="0" w:color="auto"/>
            </w:tcBorders>
            <w:vAlign w:val="bottom"/>
            <w:hideMark/>
          </w:tcPr>
          <w:p w14:paraId="51807F48"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Prostaglandins</w:t>
            </w:r>
            <w:proofErr w:type="spellEnd"/>
            <w:r w:rsidRPr="00707F91">
              <w:rPr>
                <w:rFonts w:ascii="Calibri" w:hAnsi="Calibri" w:cs="Calibri"/>
                <w:color w:val="000000"/>
              </w:rPr>
              <w:t xml:space="preserve"> </w:t>
            </w:r>
          </w:p>
        </w:tc>
        <w:tc>
          <w:tcPr>
            <w:tcW w:w="1916" w:type="pct"/>
            <w:tcBorders>
              <w:top w:val="nil"/>
              <w:left w:val="nil"/>
              <w:bottom w:val="single" w:sz="4" w:space="0" w:color="auto"/>
              <w:right w:val="single" w:sz="4" w:space="0" w:color="auto"/>
            </w:tcBorders>
            <w:vAlign w:val="bottom"/>
            <w:hideMark/>
          </w:tcPr>
          <w:p w14:paraId="499FC2B9" w14:textId="77777777" w:rsidR="00FD0F45" w:rsidRPr="00707F91" w:rsidRDefault="00FD0F45" w:rsidP="00256319">
            <w:pPr>
              <w:spacing w:after="0"/>
              <w:rPr>
                <w:rFonts w:ascii="Calibri" w:hAnsi="Calibri" w:cs="Calibri"/>
              </w:rPr>
            </w:pPr>
            <w:r w:rsidRPr="00707F91">
              <w:rPr>
                <w:rFonts w:ascii="Calibri" w:hAnsi="Calibri" w:cs="Calibri"/>
              </w:rPr>
              <w:t>C01EA01, G04BE01</w:t>
            </w:r>
          </w:p>
        </w:tc>
      </w:tr>
      <w:tr w:rsidR="00FD0F45" w:rsidRPr="00707F91" w14:paraId="526669EC" w14:textId="77777777" w:rsidTr="00FD0F45">
        <w:tblPrEx>
          <w:tblBorders>
            <w:top w:val="none" w:sz="0" w:space="0" w:color="auto"/>
            <w:bottom w:val="none" w:sz="0" w:space="0" w:color="auto"/>
          </w:tblBorders>
        </w:tblPrEx>
        <w:trPr>
          <w:trHeight w:val="241"/>
        </w:trPr>
        <w:tc>
          <w:tcPr>
            <w:tcW w:w="3084" w:type="pct"/>
            <w:gridSpan w:val="2"/>
            <w:tcBorders>
              <w:top w:val="nil"/>
              <w:left w:val="single" w:sz="4" w:space="0" w:color="auto"/>
              <w:bottom w:val="single" w:sz="4" w:space="0" w:color="auto"/>
              <w:right w:val="single" w:sz="4" w:space="0" w:color="auto"/>
            </w:tcBorders>
            <w:vAlign w:val="bottom"/>
            <w:hideMark/>
          </w:tcPr>
          <w:p w14:paraId="7FC57A51" w14:textId="77777777" w:rsidR="00FD0F45" w:rsidRPr="00D10527" w:rsidRDefault="00FD0F45" w:rsidP="00256319">
            <w:pPr>
              <w:spacing w:after="0"/>
              <w:rPr>
                <w:rFonts w:ascii="Calibri" w:hAnsi="Calibri" w:cs="Calibri"/>
                <w:color w:val="000000"/>
                <w:lang w:val="en-US"/>
              </w:rPr>
            </w:pPr>
            <w:proofErr w:type="spellStart"/>
            <w:r w:rsidRPr="00D10527">
              <w:rPr>
                <w:rFonts w:ascii="Calibri" w:hAnsi="Calibri" w:cs="Calibri"/>
                <w:color w:val="000000"/>
                <w:lang w:val="en-US"/>
              </w:rPr>
              <w:t>Antibacterials</w:t>
            </w:r>
            <w:proofErr w:type="spellEnd"/>
            <w:r w:rsidRPr="00D10527">
              <w:rPr>
                <w:rFonts w:ascii="Calibri" w:hAnsi="Calibri" w:cs="Calibri"/>
                <w:color w:val="000000"/>
                <w:lang w:val="en-US"/>
              </w:rPr>
              <w:t xml:space="preserve">, antimycotics, antivirals, antiseptics and disinfectants </w:t>
            </w:r>
          </w:p>
        </w:tc>
        <w:tc>
          <w:tcPr>
            <w:tcW w:w="1916" w:type="pct"/>
            <w:tcBorders>
              <w:top w:val="nil"/>
              <w:left w:val="nil"/>
              <w:bottom w:val="single" w:sz="4" w:space="0" w:color="auto"/>
              <w:right w:val="single" w:sz="4" w:space="0" w:color="auto"/>
            </w:tcBorders>
            <w:vAlign w:val="bottom"/>
            <w:hideMark/>
          </w:tcPr>
          <w:p w14:paraId="55F27B06"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J01, J02, J05, D08</w:t>
            </w:r>
          </w:p>
        </w:tc>
      </w:tr>
      <w:tr w:rsidR="00FD0F45" w:rsidRPr="00707F91" w14:paraId="55C300E9" w14:textId="77777777" w:rsidTr="00FD0F45">
        <w:tblPrEx>
          <w:tblBorders>
            <w:top w:val="none" w:sz="0" w:space="0" w:color="auto"/>
            <w:bottom w:val="none" w:sz="0" w:space="0" w:color="auto"/>
          </w:tblBorders>
        </w:tblPrEx>
        <w:trPr>
          <w:trHeight w:val="273"/>
        </w:trPr>
        <w:tc>
          <w:tcPr>
            <w:tcW w:w="3084" w:type="pct"/>
            <w:gridSpan w:val="2"/>
            <w:tcBorders>
              <w:top w:val="nil"/>
              <w:left w:val="single" w:sz="4" w:space="0" w:color="auto"/>
              <w:bottom w:val="single" w:sz="4" w:space="0" w:color="auto"/>
              <w:right w:val="single" w:sz="4" w:space="0" w:color="auto"/>
            </w:tcBorders>
            <w:vAlign w:val="bottom"/>
            <w:hideMark/>
          </w:tcPr>
          <w:p w14:paraId="3DFA6D48"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 xml:space="preserve">Influenza vaccines, </w:t>
            </w:r>
            <w:proofErr w:type="spellStart"/>
            <w:r w:rsidRPr="00707F91">
              <w:rPr>
                <w:rFonts w:ascii="Calibri" w:hAnsi="Calibri" w:cs="Calibri"/>
                <w:color w:val="000000"/>
              </w:rPr>
              <w:t>pneumococcal</w:t>
            </w:r>
            <w:proofErr w:type="spellEnd"/>
            <w:r w:rsidRPr="00707F91">
              <w:rPr>
                <w:rFonts w:ascii="Calibri" w:hAnsi="Calibri" w:cs="Calibri"/>
                <w:color w:val="000000"/>
              </w:rPr>
              <w:t xml:space="preserve"> vaccines</w:t>
            </w:r>
          </w:p>
        </w:tc>
        <w:tc>
          <w:tcPr>
            <w:tcW w:w="1916" w:type="pct"/>
            <w:tcBorders>
              <w:top w:val="nil"/>
              <w:left w:val="nil"/>
              <w:bottom w:val="single" w:sz="4" w:space="0" w:color="auto"/>
              <w:right w:val="single" w:sz="4" w:space="0" w:color="auto"/>
            </w:tcBorders>
            <w:vAlign w:val="bottom"/>
            <w:hideMark/>
          </w:tcPr>
          <w:p w14:paraId="4B3F483C"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J07BB, J07AL</w:t>
            </w:r>
          </w:p>
        </w:tc>
      </w:tr>
      <w:tr w:rsidR="00FD0F45" w:rsidRPr="00707F91" w14:paraId="6A1DE53B" w14:textId="77777777" w:rsidTr="00FD0F45">
        <w:tblPrEx>
          <w:tblBorders>
            <w:top w:val="none" w:sz="0" w:space="0" w:color="auto"/>
            <w:bottom w:val="none" w:sz="0" w:space="0" w:color="auto"/>
          </w:tblBorders>
        </w:tblPrEx>
        <w:trPr>
          <w:trHeight w:val="277"/>
        </w:trPr>
        <w:tc>
          <w:tcPr>
            <w:tcW w:w="3084" w:type="pct"/>
            <w:gridSpan w:val="2"/>
            <w:tcBorders>
              <w:top w:val="nil"/>
              <w:left w:val="single" w:sz="4" w:space="0" w:color="auto"/>
              <w:bottom w:val="single" w:sz="4" w:space="0" w:color="auto"/>
              <w:right w:val="single" w:sz="4" w:space="0" w:color="auto"/>
            </w:tcBorders>
            <w:vAlign w:val="bottom"/>
            <w:hideMark/>
          </w:tcPr>
          <w:p w14:paraId="3506BFB0"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t>Cicatrizants</w:t>
            </w:r>
            <w:proofErr w:type="spellEnd"/>
            <w:r w:rsidRPr="00707F91">
              <w:rPr>
                <w:rFonts w:ascii="Calibri" w:hAnsi="Calibri" w:cs="Calibri"/>
                <w:color w:val="000000"/>
              </w:rPr>
              <w:t xml:space="preserve">, </w:t>
            </w:r>
            <w:proofErr w:type="spellStart"/>
            <w:r w:rsidRPr="00707F91">
              <w:rPr>
                <w:rFonts w:ascii="Calibri" w:hAnsi="Calibri" w:cs="Calibri"/>
                <w:color w:val="000000"/>
              </w:rPr>
              <w:t>medicated</w:t>
            </w:r>
            <w:proofErr w:type="spellEnd"/>
            <w:r w:rsidRPr="00707F91">
              <w:rPr>
                <w:rFonts w:ascii="Calibri" w:hAnsi="Calibri" w:cs="Calibri"/>
                <w:color w:val="000000"/>
              </w:rPr>
              <w:t xml:space="preserve"> </w:t>
            </w:r>
            <w:proofErr w:type="spellStart"/>
            <w:r w:rsidRPr="00707F91">
              <w:rPr>
                <w:rFonts w:ascii="Calibri" w:hAnsi="Calibri" w:cs="Calibri"/>
                <w:color w:val="000000"/>
              </w:rPr>
              <w:t>dessings</w:t>
            </w:r>
            <w:proofErr w:type="spellEnd"/>
          </w:p>
        </w:tc>
        <w:tc>
          <w:tcPr>
            <w:tcW w:w="1916" w:type="pct"/>
            <w:tcBorders>
              <w:top w:val="nil"/>
              <w:left w:val="nil"/>
              <w:bottom w:val="single" w:sz="4" w:space="0" w:color="auto"/>
              <w:right w:val="single" w:sz="4" w:space="0" w:color="auto"/>
            </w:tcBorders>
            <w:vAlign w:val="bottom"/>
            <w:hideMark/>
          </w:tcPr>
          <w:p w14:paraId="5EF4A2FE"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D03A, D09</w:t>
            </w:r>
          </w:p>
        </w:tc>
      </w:tr>
      <w:tr w:rsidR="00FD0F45" w:rsidRPr="00707F91" w14:paraId="5BA231CA" w14:textId="77777777" w:rsidTr="00FD0F45">
        <w:tblPrEx>
          <w:tblBorders>
            <w:top w:val="none" w:sz="0" w:space="0" w:color="auto"/>
            <w:bottom w:val="none" w:sz="0" w:space="0" w:color="auto"/>
          </w:tblBorders>
        </w:tblPrEx>
        <w:trPr>
          <w:trHeight w:val="266"/>
        </w:trPr>
        <w:tc>
          <w:tcPr>
            <w:tcW w:w="3084" w:type="pct"/>
            <w:gridSpan w:val="2"/>
            <w:tcBorders>
              <w:top w:val="nil"/>
              <w:left w:val="single" w:sz="4" w:space="0" w:color="auto"/>
              <w:bottom w:val="single" w:sz="4" w:space="0" w:color="auto"/>
              <w:right w:val="single" w:sz="4" w:space="0" w:color="auto"/>
            </w:tcBorders>
            <w:vAlign w:val="bottom"/>
            <w:hideMark/>
          </w:tcPr>
          <w:p w14:paraId="17EFE50C"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 xml:space="preserve">Solutions for </w:t>
            </w:r>
            <w:proofErr w:type="spellStart"/>
            <w:r w:rsidRPr="00707F91">
              <w:rPr>
                <w:rFonts w:ascii="Calibri" w:hAnsi="Calibri" w:cs="Calibri"/>
                <w:color w:val="000000"/>
              </w:rPr>
              <w:t>parenteral</w:t>
            </w:r>
            <w:proofErr w:type="spellEnd"/>
            <w:r w:rsidRPr="00707F91">
              <w:rPr>
                <w:rFonts w:ascii="Calibri" w:hAnsi="Calibri" w:cs="Calibri"/>
                <w:color w:val="000000"/>
              </w:rPr>
              <w:t xml:space="preserve"> nutrition </w:t>
            </w:r>
          </w:p>
        </w:tc>
        <w:tc>
          <w:tcPr>
            <w:tcW w:w="1916" w:type="pct"/>
            <w:tcBorders>
              <w:top w:val="nil"/>
              <w:left w:val="nil"/>
              <w:bottom w:val="single" w:sz="4" w:space="0" w:color="auto"/>
              <w:right w:val="single" w:sz="4" w:space="0" w:color="auto"/>
            </w:tcBorders>
            <w:vAlign w:val="bottom"/>
            <w:hideMark/>
          </w:tcPr>
          <w:p w14:paraId="6932C450"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B05BA</w:t>
            </w:r>
          </w:p>
        </w:tc>
      </w:tr>
      <w:tr w:rsidR="00FD0F45" w:rsidRPr="00707F91" w14:paraId="38F78359" w14:textId="77777777" w:rsidTr="00FD0F45">
        <w:tblPrEx>
          <w:tblBorders>
            <w:top w:val="none" w:sz="0" w:space="0" w:color="auto"/>
            <w:bottom w:val="none" w:sz="0" w:space="0" w:color="auto"/>
          </w:tblBorders>
        </w:tblPrEx>
        <w:trPr>
          <w:trHeight w:val="284"/>
        </w:trPr>
        <w:tc>
          <w:tcPr>
            <w:tcW w:w="3084" w:type="pct"/>
            <w:gridSpan w:val="2"/>
            <w:tcBorders>
              <w:top w:val="nil"/>
              <w:left w:val="single" w:sz="4" w:space="0" w:color="auto"/>
              <w:bottom w:val="single" w:sz="4" w:space="0" w:color="auto"/>
              <w:right w:val="single" w:sz="4" w:space="0" w:color="auto"/>
            </w:tcBorders>
            <w:vAlign w:val="bottom"/>
            <w:hideMark/>
          </w:tcPr>
          <w:p w14:paraId="785CEE77" w14:textId="77777777" w:rsidR="00FD0F45" w:rsidRPr="00707F91" w:rsidRDefault="00FD0F45" w:rsidP="00256319">
            <w:pPr>
              <w:spacing w:after="0"/>
              <w:rPr>
                <w:rFonts w:ascii="Calibri" w:hAnsi="Calibri" w:cs="Calibri"/>
                <w:b/>
                <w:bCs/>
                <w:color w:val="000000"/>
              </w:rPr>
            </w:pPr>
            <w:proofErr w:type="spellStart"/>
            <w:r w:rsidRPr="00707F91">
              <w:rPr>
                <w:rFonts w:ascii="Calibri" w:hAnsi="Calibri" w:cs="Calibri"/>
                <w:b/>
                <w:bCs/>
                <w:color w:val="000000"/>
              </w:rPr>
              <w:t>Others</w:t>
            </w:r>
            <w:proofErr w:type="spellEnd"/>
          </w:p>
        </w:tc>
        <w:tc>
          <w:tcPr>
            <w:tcW w:w="1916" w:type="pct"/>
            <w:tcBorders>
              <w:top w:val="nil"/>
              <w:left w:val="nil"/>
              <w:bottom w:val="single" w:sz="4" w:space="0" w:color="auto"/>
              <w:right w:val="single" w:sz="4" w:space="0" w:color="auto"/>
            </w:tcBorders>
            <w:vAlign w:val="bottom"/>
            <w:hideMark/>
          </w:tcPr>
          <w:p w14:paraId="20355480" w14:textId="77777777" w:rsidR="00FD0F45" w:rsidRPr="00707F91" w:rsidRDefault="00FD0F45" w:rsidP="00256319">
            <w:pPr>
              <w:spacing w:after="0"/>
              <w:rPr>
                <w:rFonts w:ascii="Calibri" w:hAnsi="Calibri" w:cs="Calibri"/>
                <w:b/>
                <w:bCs/>
                <w:color w:val="000000"/>
              </w:rPr>
            </w:pPr>
            <w:r w:rsidRPr="00707F91">
              <w:rPr>
                <w:rFonts w:ascii="Calibri" w:hAnsi="Calibri" w:cs="Calibri"/>
                <w:b/>
                <w:bCs/>
                <w:color w:val="000000"/>
              </w:rPr>
              <w:t> </w:t>
            </w:r>
          </w:p>
        </w:tc>
      </w:tr>
      <w:tr w:rsidR="00FD0F45" w:rsidRPr="00707F91" w14:paraId="0C9658F9" w14:textId="77777777" w:rsidTr="00FD0F45">
        <w:tblPrEx>
          <w:tblBorders>
            <w:top w:val="none" w:sz="0" w:space="0" w:color="auto"/>
            <w:bottom w:val="none" w:sz="0" w:space="0" w:color="auto"/>
          </w:tblBorders>
        </w:tblPrEx>
        <w:trPr>
          <w:trHeight w:val="285"/>
        </w:trPr>
        <w:tc>
          <w:tcPr>
            <w:tcW w:w="3084" w:type="pct"/>
            <w:gridSpan w:val="2"/>
            <w:tcBorders>
              <w:top w:val="nil"/>
              <w:left w:val="single" w:sz="4" w:space="0" w:color="auto"/>
              <w:bottom w:val="single" w:sz="4" w:space="0" w:color="auto"/>
              <w:right w:val="single" w:sz="4" w:space="0" w:color="auto"/>
            </w:tcBorders>
            <w:vAlign w:val="bottom"/>
            <w:hideMark/>
          </w:tcPr>
          <w:p w14:paraId="0A76C6CD"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Methotrexate</w:t>
            </w:r>
          </w:p>
        </w:tc>
        <w:tc>
          <w:tcPr>
            <w:tcW w:w="1916" w:type="pct"/>
            <w:tcBorders>
              <w:top w:val="nil"/>
              <w:left w:val="nil"/>
              <w:bottom w:val="single" w:sz="4" w:space="0" w:color="auto"/>
              <w:right w:val="single" w:sz="4" w:space="0" w:color="auto"/>
            </w:tcBorders>
            <w:vAlign w:val="bottom"/>
            <w:hideMark/>
          </w:tcPr>
          <w:p w14:paraId="09B5554E"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L04AX03 </w:t>
            </w:r>
          </w:p>
        </w:tc>
      </w:tr>
      <w:tr w:rsidR="00FD0F45" w:rsidRPr="00707F91" w14:paraId="697F5A5B" w14:textId="77777777" w:rsidTr="00FD0F45">
        <w:tblPrEx>
          <w:tblBorders>
            <w:top w:val="none" w:sz="0" w:space="0" w:color="auto"/>
            <w:bottom w:val="none" w:sz="0" w:space="0" w:color="auto"/>
          </w:tblBorders>
        </w:tblPrEx>
        <w:trPr>
          <w:trHeight w:val="274"/>
        </w:trPr>
        <w:tc>
          <w:tcPr>
            <w:tcW w:w="3084" w:type="pct"/>
            <w:gridSpan w:val="2"/>
            <w:tcBorders>
              <w:top w:val="nil"/>
              <w:left w:val="single" w:sz="4" w:space="0" w:color="auto"/>
              <w:bottom w:val="single" w:sz="4" w:space="0" w:color="auto"/>
              <w:right w:val="single" w:sz="4" w:space="0" w:color="auto"/>
            </w:tcBorders>
            <w:vAlign w:val="bottom"/>
            <w:hideMark/>
          </w:tcPr>
          <w:p w14:paraId="7EDFEE71"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Azathioprine</w:t>
            </w:r>
          </w:p>
        </w:tc>
        <w:tc>
          <w:tcPr>
            <w:tcW w:w="1916" w:type="pct"/>
            <w:tcBorders>
              <w:top w:val="nil"/>
              <w:left w:val="nil"/>
              <w:bottom w:val="single" w:sz="4" w:space="0" w:color="auto"/>
              <w:right w:val="single" w:sz="4" w:space="0" w:color="auto"/>
            </w:tcBorders>
            <w:vAlign w:val="bottom"/>
            <w:hideMark/>
          </w:tcPr>
          <w:p w14:paraId="6FCB68C6"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L04AX01 </w:t>
            </w:r>
          </w:p>
        </w:tc>
      </w:tr>
      <w:tr w:rsidR="00FD0F45" w:rsidRPr="00707F91" w14:paraId="4825B467" w14:textId="77777777" w:rsidTr="00FD0F45">
        <w:tblPrEx>
          <w:tblBorders>
            <w:top w:val="none" w:sz="0" w:space="0" w:color="auto"/>
            <w:bottom w:val="none" w:sz="0" w:space="0" w:color="auto"/>
          </w:tblBorders>
        </w:tblPrEx>
        <w:trPr>
          <w:trHeight w:val="279"/>
        </w:trPr>
        <w:tc>
          <w:tcPr>
            <w:tcW w:w="3084" w:type="pct"/>
            <w:gridSpan w:val="2"/>
            <w:tcBorders>
              <w:top w:val="nil"/>
              <w:left w:val="single" w:sz="4" w:space="0" w:color="auto"/>
              <w:bottom w:val="single" w:sz="4" w:space="0" w:color="auto"/>
              <w:right w:val="single" w:sz="4" w:space="0" w:color="auto"/>
            </w:tcBorders>
            <w:vAlign w:val="bottom"/>
            <w:hideMark/>
          </w:tcPr>
          <w:p w14:paraId="55BA3A96" w14:textId="77777777" w:rsidR="00FD0F45" w:rsidRPr="00707F91" w:rsidRDefault="00FD0F45" w:rsidP="00256319">
            <w:pPr>
              <w:spacing w:after="0"/>
              <w:rPr>
                <w:rFonts w:ascii="Calibri" w:hAnsi="Calibri" w:cs="Calibri"/>
                <w:color w:val="000000"/>
              </w:rPr>
            </w:pPr>
            <w:proofErr w:type="spellStart"/>
            <w:r w:rsidRPr="00707F91">
              <w:rPr>
                <w:rFonts w:ascii="Calibri" w:hAnsi="Calibri" w:cs="Calibri"/>
                <w:color w:val="000000"/>
              </w:rPr>
              <w:lastRenderedPageBreak/>
              <w:t>Mycophenolate</w:t>
            </w:r>
            <w:proofErr w:type="spellEnd"/>
            <w:r w:rsidRPr="00707F91">
              <w:rPr>
                <w:rFonts w:ascii="Calibri" w:hAnsi="Calibri" w:cs="Calibri"/>
                <w:color w:val="000000"/>
              </w:rPr>
              <w:t xml:space="preserve"> </w:t>
            </w:r>
            <w:proofErr w:type="spellStart"/>
            <w:r w:rsidRPr="00707F91">
              <w:rPr>
                <w:rFonts w:ascii="Calibri" w:hAnsi="Calibri" w:cs="Calibri"/>
                <w:color w:val="000000"/>
              </w:rPr>
              <w:t>mofetil</w:t>
            </w:r>
            <w:proofErr w:type="spellEnd"/>
          </w:p>
        </w:tc>
        <w:tc>
          <w:tcPr>
            <w:tcW w:w="1916" w:type="pct"/>
            <w:tcBorders>
              <w:top w:val="nil"/>
              <w:left w:val="nil"/>
              <w:bottom w:val="single" w:sz="4" w:space="0" w:color="auto"/>
              <w:right w:val="single" w:sz="4" w:space="0" w:color="auto"/>
            </w:tcBorders>
            <w:vAlign w:val="bottom"/>
            <w:hideMark/>
          </w:tcPr>
          <w:p w14:paraId="64666B0D"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L04AA06</w:t>
            </w:r>
          </w:p>
        </w:tc>
      </w:tr>
      <w:tr w:rsidR="00FD0F45" w:rsidRPr="00707F91" w14:paraId="59CF0D56" w14:textId="77777777" w:rsidTr="00FD0F45">
        <w:tblPrEx>
          <w:tblBorders>
            <w:top w:val="none" w:sz="0" w:space="0" w:color="auto"/>
            <w:bottom w:val="none" w:sz="0" w:space="0" w:color="auto"/>
          </w:tblBorders>
        </w:tblPrEx>
        <w:trPr>
          <w:trHeight w:val="268"/>
        </w:trPr>
        <w:tc>
          <w:tcPr>
            <w:tcW w:w="3084" w:type="pct"/>
            <w:gridSpan w:val="2"/>
            <w:tcBorders>
              <w:top w:val="nil"/>
              <w:left w:val="single" w:sz="4" w:space="0" w:color="auto"/>
              <w:bottom w:val="single" w:sz="4" w:space="0" w:color="auto"/>
              <w:right w:val="single" w:sz="4" w:space="0" w:color="auto"/>
            </w:tcBorders>
            <w:vAlign w:val="bottom"/>
            <w:hideMark/>
          </w:tcPr>
          <w:p w14:paraId="6986B5B9" w14:textId="40721112" w:rsidR="00FD0F45" w:rsidRPr="00D10527" w:rsidRDefault="00FD0F45" w:rsidP="00256319">
            <w:pPr>
              <w:spacing w:after="0"/>
              <w:rPr>
                <w:rFonts w:ascii="Calibri" w:hAnsi="Calibri" w:cs="Calibri"/>
                <w:color w:val="000000"/>
                <w:lang w:val="en-US"/>
              </w:rPr>
            </w:pPr>
            <w:r w:rsidRPr="00D10527">
              <w:rPr>
                <w:rFonts w:ascii="Calibri" w:hAnsi="Calibri" w:cs="Calibri"/>
                <w:color w:val="000000"/>
                <w:lang w:val="en-US"/>
              </w:rPr>
              <w:t xml:space="preserve">Rituximab (only in case of switch from </w:t>
            </w:r>
            <w:r>
              <w:rPr>
                <w:rFonts w:ascii="Calibri" w:hAnsi="Calibri" w:cs="Calibri"/>
                <w:color w:val="000000"/>
                <w:lang w:val="en-US"/>
              </w:rPr>
              <w:t>multiple sclerosis</w:t>
            </w:r>
            <w:r w:rsidRPr="00D10527">
              <w:rPr>
                <w:rFonts w:ascii="Calibri" w:hAnsi="Calibri" w:cs="Calibri"/>
                <w:color w:val="000000"/>
                <w:lang w:val="en-US"/>
              </w:rPr>
              <w:t xml:space="preserve"> therapies)</w:t>
            </w:r>
          </w:p>
        </w:tc>
        <w:tc>
          <w:tcPr>
            <w:tcW w:w="1916" w:type="pct"/>
            <w:tcBorders>
              <w:top w:val="nil"/>
              <w:left w:val="nil"/>
              <w:bottom w:val="single" w:sz="4" w:space="0" w:color="auto"/>
              <w:right w:val="single" w:sz="4" w:space="0" w:color="auto"/>
            </w:tcBorders>
            <w:vAlign w:val="bottom"/>
            <w:hideMark/>
          </w:tcPr>
          <w:p w14:paraId="6FF66008" w14:textId="77777777" w:rsidR="00FD0F45" w:rsidRPr="00707F91" w:rsidRDefault="00FD0F45" w:rsidP="00256319">
            <w:pPr>
              <w:spacing w:after="0"/>
              <w:rPr>
                <w:rFonts w:ascii="Calibri" w:hAnsi="Calibri" w:cs="Calibri"/>
                <w:color w:val="000000"/>
              </w:rPr>
            </w:pPr>
            <w:r w:rsidRPr="00707F91">
              <w:rPr>
                <w:rFonts w:ascii="Calibri" w:hAnsi="Calibri" w:cs="Calibri"/>
                <w:color w:val="000000"/>
              </w:rPr>
              <w:t>L01XC02</w:t>
            </w:r>
          </w:p>
        </w:tc>
      </w:tr>
    </w:tbl>
    <w:p w14:paraId="134255FD" w14:textId="72E99323" w:rsidR="00B51178" w:rsidRDefault="00B51178">
      <w:pPr>
        <w:rPr>
          <w:lang w:val="en-US"/>
        </w:rPr>
      </w:pPr>
    </w:p>
    <w:p w14:paraId="3E53EEB0" w14:textId="5F1A833F" w:rsidR="00B51178" w:rsidRPr="00B51178" w:rsidRDefault="00B51178" w:rsidP="00B51178">
      <w:pPr>
        <w:pStyle w:val="Titre1"/>
        <w:rPr>
          <w:lang w:val="en-US"/>
        </w:rPr>
      </w:pPr>
      <w:bookmarkStart w:id="9" w:name="_Toc61013794"/>
      <w:r>
        <w:rPr>
          <w:lang w:val="en-US"/>
        </w:rPr>
        <w:t xml:space="preserve">Supplement Table 2 </w:t>
      </w:r>
      <w:proofErr w:type="gramStart"/>
      <w:r>
        <w:rPr>
          <w:lang w:val="en-US"/>
        </w:rPr>
        <w:t xml:space="preserve">– </w:t>
      </w:r>
      <w:r w:rsidRPr="00D179B4">
        <w:rPr>
          <w:lang w:val="en-US"/>
        </w:rPr>
        <w:t xml:space="preserve"> </w:t>
      </w:r>
      <w:r>
        <w:rPr>
          <w:lang w:val="en-US"/>
        </w:rPr>
        <w:t>Multiple</w:t>
      </w:r>
      <w:proofErr w:type="gramEnd"/>
      <w:r>
        <w:rPr>
          <w:lang w:val="en-US"/>
        </w:rPr>
        <w:t xml:space="preserve"> sclerosis-related laboratory tests and imaging procedures in incident highly active relapsing-remitting multiple sclerosis adults</w:t>
      </w:r>
      <w:r w:rsidRPr="00B51178">
        <w:rPr>
          <w:lang w:val="en-US"/>
        </w:rPr>
        <w:t xml:space="preserve"> with at least 2 years of follow-up (n = 8,045), 2010–2017</w:t>
      </w:r>
      <w:bookmarkEnd w:id="9"/>
      <w:r w:rsidRPr="00D179B4">
        <w:rPr>
          <w:lang w:val="en-US"/>
        </w:rPr>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1305"/>
        <w:gridCol w:w="1530"/>
        <w:gridCol w:w="270"/>
        <w:gridCol w:w="1530"/>
        <w:gridCol w:w="1602"/>
      </w:tblGrid>
      <w:tr w:rsidR="00B51178" w:rsidRPr="001E77F4" w14:paraId="08676B43" w14:textId="77777777" w:rsidTr="00643086">
        <w:tc>
          <w:tcPr>
            <w:tcW w:w="2835" w:type="dxa"/>
            <w:tcBorders>
              <w:top w:val="single" w:sz="4" w:space="0" w:color="auto"/>
            </w:tcBorders>
            <w:shd w:val="clear" w:color="auto" w:fill="ACB9CA" w:themeFill="text2" w:themeFillTint="66"/>
          </w:tcPr>
          <w:p w14:paraId="34F8AE94" w14:textId="77777777" w:rsidR="00B51178" w:rsidRDefault="00B51178" w:rsidP="00643086">
            <w:pPr>
              <w:rPr>
                <w:lang w:val="en-US"/>
              </w:rPr>
            </w:pPr>
          </w:p>
        </w:tc>
        <w:tc>
          <w:tcPr>
            <w:tcW w:w="2835" w:type="dxa"/>
            <w:gridSpan w:val="2"/>
            <w:tcBorders>
              <w:top w:val="single" w:sz="4" w:space="0" w:color="auto"/>
              <w:bottom w:val="single" w:sz="4" w:space="0" w:color="auto"/>
            </w:tcBorders>
            <w:shd w:val="clear" w:color="auto" w:fill="ACB9CA" w:themeFill="text2" w:themeFillTint="66"/>
          </w:tcPr>
          <w:p w14:paraId="434E3909" w14:textId="77777777" w:rsidR="00B51178" w:rsidRDefault="00B51178" w:rsidP="00643086">
            <w:pPr>
              <w:jc w:val="center"/>
              <w:rPr>
                <w:lang w:val="en-US"/>
              </w:rPr>
            </w:pPr>
            <w:r>
              <w:rPr>
                <w:lang w:val="en-US"/>
              </w:rPr>
              <w:t>1</w:t>
            </w:r>
            <w:r w:rsidRPr="001E77F4">
              <w:rPr>
                <w:vertAlign w:val="superscript"/>
                <w:lang w:val="en-US"/>
              </w:rPr>
              <w:t>st</w:t>
            </w:r>
            <w:r>
              <w:rPr>
                <w:lang w:val="en-US"/>
              </w:rPr>
              <w:t xml:space="preserve"> year of follow-up</w:t>
            </w:r>
          </w:p>
        </w:tc>
        <w:tc>
          <w:tcPr>
            <w:tcW w:w="270" w:type="dxa"/>
            <w:tcBorders>
              <w:top w:val="single" w:sz="4" w:space="0" w:color="auto"/>
            </w:tcBorders>
            <w:shd w:val="clear" w:color="auto" w:fill="ACB9CA" w:themeFill="text2" w:themeFillTint="66"/>
          </w:tcPr>
          <w:p w14:paraId="2AEEDCDF" w14:textId="77777777" w:rsidR="00B51178" w:rsidRDefault="00B51178" w:rsidP="00643086">
            <w:pPr>
              <w:jc w:val="center"/>
              <w:rPr>
                <w:lang w:val="en-US"/>
              </w:rPr>
            </w:pPr>
          </w:p>
        </w:tc>
        <w:tc>
          <w:tcPr>
            <w:tcW w:w="3132" w:type="dxa"/>
            <w:gridSpan w:val="2"/>
            <w:tcBorders>
              <w:top w:val="single" w:sz="4" w:space="0" w:color="auto"/>
              <w:bottom w:val="single" w:sz="4" w:space="0" w:color="auto"/>
            </w:tcBorders>
            <w:shd w:val="clear" w:color="auto" w:fill="ACB9CA" w:themeFill="text2" w:themeFillTint="66"/>
          </w:tcPr>
          <w:p w14:paraId="289C1F3F" w14:textId="77777777" w:rsidR="00B51178" w:rsidRDefault="00B51178" w:rsidP="00643086">
            <w:pPr>
              <w:jc w:val="center"/>
              <w:rPr>
                <w:lang w:val="en-US"/>
              </w:rPr>
            </w:pPr>
            <w:r>
              <w:rPr>
                <w:lang w:val="en-US"/>
              </w:rPr>
              <w:t>Whole follow-up</w:t>
            </w:r>
          </w:p>
        </w:tc>
      </w:tr>
      <w:tr w:rsidR="00B51178" w:rsidRPr="00BA4FD0" w14:paraId="3DF72195" w14:textId="77777777" w:rsidTr="00643086">
        <w:tc>
          <w:tcPr>
            <w:tcW w:w="2835" w:type="dxa"/>
            <w:tcBorders>
              <w:bottom w:val="single" w:sz="4" w:space="0" w:color="auto"/>
            </w:tcBorders>
            <w:shd w:val="clear" w:color="auto" w:fill="ACB9CA" w:themeFill="text2" w:themeFillTint="66"/>
          </w:tcPr>
          <w:p w14:paraId="028AA5BC" w14:textId="77777777" w:rsidR="00B51178" w:rsidRDefault="00B51178" w:rsidP="00643086">
            <w:pPr>
              <w:rPr>
                <w:lang w:val="en-US"/>
              </w:rPr>
            </w:pPr>
          </w:p>
        </w:tc>
        <w:tc>
          <w:tcPr>
            <w:tcW w:w="1305" w:type="dxa"/>
            <w:tcBorders>
              <w:top w:val="single" w:sz="4" w:space="0" w:color="auto"/>
              <w:bottom w:val="single" w:sz="4" w:space="0" w:color="auto"/>
            </w:tcBorders>
            <w:shd w:val="clear" w:color="auto" w:fill="ACB9CA" w:themeFill="text2" w:themeFillTint="66"/>
          </w:tcPr>
          <w:p w14:paraId="1C04E036" w14:textId="77777777" w:rsidR="00B51178" w:rsidRDefault="00B51178" w:rsidP="00643086">
            <w:pPr>
              <w:jc w:val="center"/>
              <w:rPr>
                <w:lang w:val="en-US"/>
              </w:rPr>
            </w:pPr>
            <w:r>
              <w:rPr>
                <w:lang w:val="en-US"/>
              </w:rPr>
              <w:t>No. of procedures, mean (SD)</w:t>
            </w:r>
          </w:p>
        </w:tc>
        <w:tc>
          <w:tcPr>
            <w:tcW w:w="1530" w:type="dxa"/>
            <w:tcBorders>
              <w:top w:val="single" w:sz="4" w:space="0" w:color="auto"/>
              <w:bottom w:val="single" w:sz="4" w:space="0" w:color="auto"/>
            </w:tcBorders>
            <w:shd w:val="clear" w:color="auto" w:fill="ACB9CA" w:themeFill="text2" w:themeFillTint="66"/>
          </w:tcPr>
          <w:p w14:paraId="021A32F8" w14:textId="77777777" w:rsidR="00B51178" w:rsidRDefault="00B51178" w:rsidP="00643086">
            <w:pPr>
              <w:jc w:val="center"/>
              <w:rPr>
                <w:lang w:val="en-US"/>
              </w:rPr>
            </w:pPr>
            <w:r>
              <w:rPr>
                <w:lang w:val="en-US"/>
              </w:rPr>
              <w:t>Number of patients with at least 1 procedure, no. (%)</w:t>
            </w:r>
          </w:p>
        </w:tc>
        <w:tc>
          <w:tcPr>
            <w:tcW w:w="270" w:type="dxa"/>
            <w:tcBorders>
              <w:bottom w:val="single" w:sz="4" w:space="0" w:color="auto"/>
            </w:tcBorders>
            <w:shd w:val="clear" w:color="auto" w:fill="ACB9CA" w:themeFill="text2" w:themeFillTint="66"/>
          </w:tcPr>
          <w:p w14:paraId="4221F2D1" w14:textId="77777777" w:rsidR="00B51178" w:rsidRDefault="00B51178" w:rsidP="00643086">
            <w:pPr>
              <w:jc w:val="center"/>
              <w:rPr>
                <w:lang w:val="en-US"/>
              </w:rPr>
            </w:pPr>
          </w:p>
        </w:tc>
        <w:tc>
          <w:tcPr>
            <w:tcW w:w="1530" w:type="dxa"/>
            <w:tcBorders>
              <w:top w:val="single" w:sz="4" w:space="0" w:color="auto"/>
              <w:bottom w:val="single" w:sz="4" w:space="0" w:color="auto"/>
            </w:tcBorders>
            <w:shd w:val="clear" w:color="auto" w:fill="ACB9CA" w:themeFill="text2" w:themeFillTint="66"/>
          </w:tcPr>
          <w:p w14:paraId="2B6D018A" w14:textId="77777777" w:rsidR="00B51178" w:rsidRDefault="00B51178" w:rsidP="00643086">
            <w:pPr>
              <w:jc w:val="center"/>
              <w:rPr>
                <w:lang w:val="en-US"/>
              </w:rPr>
            </w:pPr>
            <w:r>
              <w:rPr>
                <w:lang w:val="en-US"/>
              </w:rPr>
              <w:t>Annual no. of procedures, mean (SD)</w:t>
            </w:r>
          </w:p>
        </w:tc>
        <w:tc>
          <w:tcPr>
            <w:tcW w:w="1602" w:type="dxa"/>
            <w:tcBorders>
              <w:top w:val="single" w:sz="4" w:space="0" w:color="auto"/>
              <w:bottom w:val="single" w:sz="4" w:space="0" w:color="auto"/>
            </w:tcBorders>
            <w:shd w:val="clear" w:color="auto" w:fill="ACB9CA" w:themeFill="text2" w:themeFillTint="66"/>
          </w:tcPr>
          <w:p w14:paraId="0FE0CBCD" w14:textId="77777777" w:rsidR="00B51178" w:rsidRDefault="00B51178" w:rsidP="00643086">
            <w:pPr>
              <w:jc w:val="center"/>
              <w:rPr>
                <w:lang w:val="en-US"/>
              </w:rPr>
            </w:pPr>
            <w:r>
              <w:rPr>
                <w:lang w:val="en-US"/>
              </w:rPr>
              <w:t>Number of patients with at least 1 procedure, no. (%)</w:t>
            </w:r>
          </w:p>
        </w:tc>
      </w:tr>
      <w:tr w:rsidR="00B51178" w:rsidRPr="00BA4FD0" w14:paraId="557D5A46" w14:textId="77777777" w:rsidTr="00643086">
        <w:tc>
          <w:tcPr>
            <w:tcW w:w="2835" w:type="dxa"/>
            <w:tcBorders>
              <w:top w:val="single" w:sz="4" w:space="0" w:color="auto"/>
            </w:tcBorders>
            <w:shd w:val="clear" w:color="auto" w:fill="auto"/>
          </w:tcPr>
          <w:p w14:paraId="4CD02E1D" w14:textId="77777777" w:rsidR="00B51178" w:rsidRDefault="00B51178" w:rsidP="00643086">
            <w:pPr>
              <w:rPr>
                <w:lang w:val="en-US"/>
              </w:rPr>
            </w:pPr>
            <w:r>
              <w:rPr>
                <w:lang w:val="en-US"/>
              </w:rPr>
              <w:t>Laboratory test</w:t>
            </w:r>
          </w:p>
          <w:p w14:paraId="6985F855" w14:textId="77777777" w:rsidR="00B51178" w:rsidRDefault="00B51178" w:rsidP="00643086">
            <w:pPr>
              <w:rPr>
                <w:lang w:val="en-US"/>
              </w:rPr>
            </w:pPr>
            <w:r>
              <w:rPr>
                <w:lang w:val="en-US"/>
              </w:rPr>
              <w:t xml:space="preserve">     Complete blood count</w:t>
            </w:r>
          </w:p>
          <w:p w14:paraId="5394C100" w14:textId="77777777" w:rsidR="00B51178" w:rsidRDefault="00B51178" w:rsidP="00643086">
            <w:pPr>
              <w:rPr>
                <w:lang w:val="en-US"/>
              </w:rPr>
            </w:pPr>
            <w:r>
              <w:rPr>
                <w:lang w:val="en-US"/>
              </w:rPr>
              <w:t xml:space="preserve">     Transaminase</w:t>
            </w:r>
          </w:p>
          <w:p w14:paraId="0CBCFAF7" w14:textId="77777777" w:rsidR="00B51178" w:rsidRDefault="00B51178" w:rsidP="00643086">
            <w:pPr>
              <w:rPr>
                <w:lang w:val="en-US"/>
              </w:rPr>
            </w:pPr>
            <w:r>
              <w:rPr>
                <w:lang w:val="en-US"/>
              </w:rPr>
              <w:t xml:space="preserve">     </w:t>
            </w:r>
            <w:proofErr w:type="spellStart"/>
            <w:r>
              <w:rPr>
                <w:lang w:val="en-US"/>
              </w:rPr>
              <w:t>Creatinemia</w:t>
            </w:r>
            <w:proofErr w:type="spellEnd"/>
          </w:p>
          <w:p w14:paraId="48F480AA" w14:textId="77777777" w:rsidR="00B51178" w:rsidRPr="008E32FC" w:rsidRDefault="00B51178" w:rsidP="00643086">
            <w:pPr>
              <w:rPr>
                <w:lang w:val="en-US"/>
              </w:rPr>
            </w:pPr>
            <w:r>
              <w:rPr>
                <w:lang w:val="en-US"/>
              </w:rPr>
              <w:t xml:space="preserve">     CBEU</w:t>
            </w:r>
          </w:p>
        </w:tc>
        <w:tc>
          <w:tcPr>
            <w:tcW w:w="1305" w:type="dxa"/>
            <w:tcBorders>
              <w:top w:val="single" w:sz="4" w:space="0" w:color="auto"/>
            </w:tcBorders>
            <w:shd w:val="clear" w:color="auto" w:fill="auto"/>
          </w:tcPr>
          <w:p w14:paraId="66F8D6AB" w14:textId="77777777" w:rsidR="00B51178" w:rsidRDefault="00B51178" w:rsidP="00643086">
            <w:pPr>
              <w:jc w:val="center"/>
              <w:rPr>
                <w:lang w:val="en-US"/>
              </w:rPr>
            </w:pPr>
          </w:p>
          <w:p w14:paraId="735040F3" w14:textId="77777777" w:rsidR="00B51178" w:rsidRDefault="00B51178" w:rsidP="00643086">
            <w:pPr>
              <w:jc w:val="center"/>
              <w:rPr>
                <w:lang w:val="en-US"/>
              </w:rPr>
            </w:pPr>
            <w:r>
              <w:rPr>
                <w:lang w:val="en-US"/>
              </w:rPr>
              <w:t>4.6 (4.3)</w:t>
            </w:r>
          </w:p>
          <w:p w14:paraId="68D89A85" w14:textId="77777777" w:rsidR="00B51178" w:rsidRDefault="00B51178" w:rsidP="00643086">
            <w:pPr>
              <w:jc w:val="center"/>
              <w:rPr>
                <w:lang w:val="en-US"/>
              </w:rPr>
            </w:pPr>
            <w:r>
              <w:rPr>
                <w:lang w:val="en-US"/>
              </w:rPr>
              <w:t>3.9 (3.9)</w:t>
            </w:r>
          </w:p>
          <w:p w14:paraId="58ACBE0D" w14:textId="77777777" w:rsidR="00B51178" w:rsidRDefault="00B51178" w:rsidP="00643086">
            <w:pPr>
              <w:jc w:val="center"/>
              <w:rPr>
                <w:lang w:val="en-US"/>
              </w:rPr>
            </w:pPr>
            <w:r>
              <w:rPr>
                <w:lang w:val="en-US"/>
              </w:rPr>
              <w:t>1.9 (2.9)</w:t>
            </w:r>
          </w:p>
          <w:p w14:paraId="7603DB7A" w14:textId="77777777" w:rsidR="00B51178" w:rsidRDefault="00B51178" w:rsidP="00643086">
            <w:pPr>
              <w:jc w:val="center"/>
              <w:rPr>
                <w:lang w:val="en-US"/>
              </w:rPr>
            </w:pPr>
            <w:r>
              <w:rPr>
                <w:lang w:val="en-US"/>
              </w:rPr>
              <w:t>1.2 (2.3)</w:t>
            </w:r>
          </w:p>
        </w:tc>
        <w:tc>
          <w:tcPr>
            <w:tcW w:w="1530" w:type="dxa"/>
            <w:tcBorders>
              <w:top w:val="single" w:sz="4" w:space="0" w:color="auto"/>
            </w:tcBorders>
            <w:shd w:val="clear" w:color="auto" w:fill="auto"/>
          </w:tcPr>
          <w:p w14:paraId="0D07C099" w14:textId="77777777" w:rsidR="00B51178" w:rsidRDefault="00B51178" w:rsidP="00643086">
            <w:pPr>
              <w:jc w:val="center"/>
              <w:rPr>
                <w:lang w:val="en-US"/>
              </w:rPr>
            </w:pPr>
          </w:p>
          <w:p w14:paraId="7D7468FF" w14:textId="77777777" w:rsidR="00B51178" w:rsidRDefault="00B51178" w:rsidP="00643086">
            <w:pPr>
              <w:jc w:val="center"/>
              <w:rPr>
                <w:lang w:val="en-US"/>
              </w:rPr>
            </w:pPr>
            <w:r>
              <w:rPr>
                <w:lang w:val="en-US"/>
              </w:rPr>
              <w:t>6,831 (84.9%)</w:t>
            </w:r>
          </w:p>
          <w:p w14:paraId="75ED0069" w14:textId="77777777" w:rsidR="00B51178" w:rsidRDefault="00B51178" w:rsidP="00643086">
            <w:pPr>
              <w:jc w:val="center"/>
              <w:rPr>
                <w:lang w:val="en-US"/>
              </w:rPr>
            </w:pPr>
            <w:r>
              <w:rPr>
                <w:lang w:val="en-US"/>
              </w:rPr>
              <w:t>6,394 (79.8%)</w:t>
            </w:r>
          </w:p>
          <w:p w14:paraId="2035AD10" w14:textId="77777777" w:rsidR="00B51178" w:rsidRDefault="00B51178" w:rsidP="00643086">
            <w:pPr>
              <w:jc w:val="center"/>
              <w:rPr>
                <w:lang w:val="en-US"/>
              </w:rPr>
            </w:pPr>
            <w:r>
              <w:rPr>
                <w:lang w:val="en-US"/>
              </w:rPr>
              <w:t>4,886 (60.7%)</w:t>
            </w:r>
          </w:p>
          <w:p w14:paraId="463D0E76" w14:textId="77777777" w:rsidR="00B51178" w:rsidRDefault="00B51178" w:rsidP="00643086">
            <w:pPr>
              <w:jc w:val="center"/>
              <w:rPr>
                <w:lang w:val="en-US"/>
              </w:rPr>
            </w:pPr>
            <w:r>
              <w:rPr>
                <w:lang w:val="en-US"/>
              </w:rPr>
              <w:t>3,221 (40.0%)</w:t>
            </w:r>
          </w:p>
        </w:tc>
        <w:tc>
          <w:tcPr>
            <w:tcW w:w="270" w:type="dxa"/>
            <w:tcBorders>
              <w:top w:val="single" w:sz="4" w:space="0" w:color="auto"/>
            </w:tcBorders>
          </w:tcPr>
          <w:p w14:paraId="2F60A1EE" w14:textId="77777777" w:rsidR="00B51178" w:rsidRDefault="00B51178" w:rsidP="00643086">
            <w:pPr>
              <w:jc w:val="center"/>
              <w:rPr>
                <w:lang w:val="en-US"/>
              </w:rPr>
            </w:pPr>
          </w:p>
        </w:tc>
        <w:tc>
          <w:tcPr>
            <w:tcW w:w="1530" w:type="dxa"/>
            <w:tcBorders>
              <w:top w:val="single" w:sz="4" w:space="0" w:color="auto"/>
            </w:tcBorders>
            <w:shd w:val="clear" w:color="auto" w:fill="auto"/>
          </w:tcPr>
          <w:p w14:paraId="2930F1DE" w14:textId="77777777" w:rsidR="00B51178" w:rsidRDefault="00B51178" w:rsidP="00643086">
            <w:pPr>
              <w:jc w:val="center"/>
              <w:rPr>
                <w:lang w:val="en-US"/>
              </w:rPr>
            </w:pPr>
          </w:p>
          <w:p w14:paraId="55BB9349" w14:textId="77777777" w:rsidR="00B51178" w:rsidRDefault="00B51178" w:rsidP="00643086">
            <w:pPr>
              <w:jc w:val="center"/>
              <w:rPr>
                <w:lang w:val="en-US"/>
              </w:rPr>
            </w:pPr>
            <w:bookmarkStart w:id="10" w:name="_Hlk51686519"/>
            <w:r>
              <w:rPr>
                <w:lang w:val="en-US"/>
              </w:rPr>
              <w:t>4.1 (3.1)</w:t>
            </w:r>
          </w:p>
          <w:bookmarkEnd w:id="10"/>
          <w:p w14:paraId="180E35DB" w14:textId="77777777" w:rsidR="00B51178" w:rsidRDefault="00B51178" w:rsidP="00643086">
            <w:pPr>
              <w:jc w:val="center"/>
              <w:rPr>
                <w:lang w:val="en-US"/>
              </w:rPr>
            </w:pPr>
            <w:r>
              <w:rPr>
                <w:lang w:val="en-US"/>
              </w:rPr>
              <w:t>3.4 (2.7)</w:t>
            </w:r>
          </w:p>
          <w:p w14:paraId="7434E055" w14:textId="77777777" w:rsidR="00B51178" w:rsidRDefault="00B51178" w:rsidP="00643086">
            <w:pPr>
              <w:jc w:val="center"/>
              <w:rPr>
                <w:lang w:val="en-US"/>
              </w:rPr>
            </w:pPr>
            <w:r>
              <w:rPr>
                <w:lang w:val="en-US"/>
              </w:rPr>
              <w:t>2.0 (2.2)</w:t>
            </w:r>
          </w:p>
          <w:p w14:paraId="2B8F0B8D" w14:textId="77777777" w:rsidR="00B51178" w:rsidRDefault="00B51178" w:rsidP="00643086">
            <w:pPr>
              <w:jc w:val="center"/>
              <w:rPr>
                <w:lang w:val="en-US"/>
              </w:rPr>
            </w:pPr>
            <w:r>
              <w:rPr>
                <w:lang w:val="en-US"/>
              </w:rPr>
              <w:t>1.1 (1.8)</w:t>
            </w:r>
          </w:p>
        </w:tc>
        <w:tc>
          <w:tcPr>
            <w:tcW w:w="1602" w:type="dxa"/>
            <w:tcBorders>
              <w:top w:val="single" w:sz="4" w:space="0" w:color="auto"/>
            </w:tcBorders>
          </w:tcPr>
          <w:p w14:paraId="29BADEA4" w14:textId="77777777" w:rsidR="00B51178" w:rsidRDefault="00B51178" w:rsidP="00643086">
            <w:pPr>
              <w:jc w:val="center"/>
              <w:rPr>
                <w:lang w:val="en-US"/>
              </w:rPr>
            </w:pPr>
          </w:p>
          <w:p w14:paraId="00FBF8D2" w14:textId="77777777" w:rsidR="00B51178" w:rsidRDefault="00B51178" w:rsidP="00643086">
            <w:pPr>
              <w:jc w:val="center"/>
              <w:rPr>
                <w:lang w:val="en-US"/>
              </w:rPr>
            </w:pPr>
            <w:r>
              <w:rPr>
                <w:lang w:val="en-US"/>
              </w:rPr>
              <w:t>7,917 (98.4%)</w:t>
            </w:r>
          </w:p>
          <w:p w14:paraId="5D854F74" w14:textId="77777777" w:rsidR="00B51178" w:rsidRDefault="00B51178" w:rsidP="00643086">
            <w:pPr>
              <w:jc w:val="center"/>
              <w:rPr>
                <w:lang w:val="en-US"/>
              </w:rPr>
            </w:pPr>
            <w:r>
              <w:rPr>
                <w:lang w:val="en-US"/>
              </w:rPr>
              <w:t>7,750 (96.3%)</w:t>
            </w:r>
          </w:p>
          <w:p w14:paraId="5E45F3B3" w14:textId="77777777" w:rsidR="00B51178" w:rsidRDefault="00B51178" w:rsidP="00643086">
            <w:pPr>
              <w:jc w:val="center"/>
              <w:rPr>
                <w:lang w:val="en-US"/>
              </w:rPr>
            </w:pPr>
            <w:r>
              <w:rPr>
                <w:lang w:val="en-US"/>
              </w:rPr>
              <w:t>7,471 (92.9%)</w:t>
            </w:r>
          </w:p>
          <w:p w14:paraId="3CA3082C" w14:textId="77777777" w:rsidR="00B51178" w:rsidRDefault="00B51178" w:rsidP="00643086">
            <w:pPr>
              <w:jc w:val="center"/>
              <w:rPr>
                <w:lang w:val="en-US"/>
              </w:rPr>
            </w:pPr>
            <w:r>
              <w:rPr>
                <w:lang w:val="en-US"/>
              </w:rPr>
              <w:t>5,772 (71.8%)</w:t>
            </w:r>
          </w:p>
        </w:tc>
      </w:tr>
      <w:tr w:rsidR="00B51178" w:rsidRPr="00BA4FD0" w14:paraId="4E98D4FF" w14:textId="77777777" w:rsidTr="00643086">
        <w:tc>
          <w:tcPr>
            <w:tcW w:w="2835" w:type="dxa"/>
            <w:tcBorders>
              <w:bottom w:val="single" w:sz="4" w:space="0" w:color="auto"/>
            </w:tcBorders>
            <w:shd w:val="clear" w:color="auto" w:fill="auto"/>
          </w:tcPr>
          <w:p w14:paraId="44FD048C" w14:textId="77777777" w:rsidR="00B51178" w:rsidRDefault="00B51178" w:rsidP="00643086">
            <w:pPr>
              <w:rPr>
                <w:lang w:val="en-US"/>
              </w:rPr>
            </w:pPr>
            <w:r>
              <w:rPr>
                <w:lang w:val="en-US"/>
              </w:rPr>
              <w:t>Imaging</w:t>
            </w:r>
          </w:p>
          <w:p w14:paraId="39A455E3" w14:textId="77777777" w:rsidR="00B51178" w:rsidRDefault="00B51178" w:rsidP="00643086">
            <w:pPr>
              <w:rPr>
                <w:lang w:val="en-US"/>
              </w:rPr>
            </w:pPr>
            <w:r>
              <w:rPr>
                <w:lang w:val="en-US"/>
              </w:rPr>
              <w:t xml:space="preserve">     MRI</w:t>
            </w:r>
          </w:p>
          <w:p w14:paraId="707FB5EF" w14:textId="77777777" w:rsidR="00B51178" w:rsidRDefault="00B51178" w:rsidP="00643086">
            <w:pPr>
              <w:rPr>
                <w:lang w:val="en-US"/>
              </w:rPr>
            </w:pPr>
            <w:r>
              <w:rPr>
                <w:lang w:val="en-US"/>
              </w:rPr>
              <w:t xml:space="preserve">     Ophthalmological exam</w:t>
            </w:r>
          </w:p>
          <w:p w14:paraId="6E73952C" w14:textId="77777777" w:rsidR="00B51178" w:rsidRDefault="00B51178" w:rsidP="00643086">
            <w:pPr>
              <w:rPr>
                <w:lang w:val="en-US"/>
              </w:rPr>
            </w:pPr>
            <w:r>
              <w:rPr>
                <w:lang w:val="en-US"/>
              </w:rPr>
              <w:t xml:space="preserve">     </w:t>
            </w:r>
            <w:r w:rsidRPr="008E32FC">
              <w:rPr>
                <w:lang w:val="en-US"/>
              </w:rPr>
              <w:t>Bladder kidney ultrasound</w:t>
            </w:r>
          </w:p>
          <w:p w14:paraId="632EA2DB" w14:textId="77777777" w:rsidR="00B51178" w:rsidRDefault="00B51178" w:rsidP="00643086">
            <w:pPr>
              <w:rPr>
                <w:lang w:val="en-US"/>
              </w:rPr>
            </w:pPr>
            <w:r>
              <w:rPr>
                <w:lang w:val="en-US"/>
              </w:rPr>
              <w:t xml:space="preserve">     E</w:t>
            </w:r>
            <w:r w:rsidRPr="00337D28">
              <w:rPr>
                <w:lang w:val="en-US"/>
              </w:rPr>
              <w:t>lectrocardiogra</w:t>
            </w:r>
            <w:r>
              <w:rPr>
                <w:lang w:val="en-US"/>
              </w:rPr>
              <w:t>m</w:t>
            </w:r>
          </w:p>
        </w:tc>
        <w:tc>
          <w:tcPr>
            <w:tcW w:w="1305" w:type="dxa"/>
            <w:tcBorders>
              <w:bottom w:val="single" w:sz="4" w:space="0" w:color="auto"/>
            </w:tcBorders>
            <w:shd w:val="clear" w:color="auto" w:fill="auto"/>
          </w:tcPr>
          <w:p w14:paraId="0F2A9EBA" w14:textId="77777777" w:rsidR="00B51178" w:rsidRDefault="00B51178" w:rsidP="00643086">
            <w:pPr>
              <w:jc w:val="center"/>
              <w:rPr>
                <w:lang w:val="en-US"/>
              </w:rPr>
            </w:pPr>
          </w:p>
          <w:p w14:paraId="71180003" w14:textId="77777777" w:rsidR="00B51178" w:rsidRDefault="00B51178" w:rsidP="00643086">
            <w:pPr>
              <w:jc w:val="center"/>
              <w:rPr>
                <w:lang w:val="en-US"/>
              </w:rPr>
            </w:pPr>
            <w:r>
              <w:rPr>
                <w:lang w:val="en-US"/>
              </w:rPr>
              <w:t>0.8 (1.2)</w:t>
            </w:r>
          </w:p>
          <w:p w14:paraId="40C56701" w14:textId="77777777" w:rsidR="00B51178" w:rsidRDefault="00B51178" w:rsidP="00643086">
            <w:pPr>
              <w:jc w:val="center"/>
              <w:rPr>
                <w:lang w:val="en-US"/>
              </w:rPr>
            </w:pPr>
            <w:r>
              <w:rPr>
                <w:lang w:val="en-US"/>
              </w:rPr>
              <w:t>1.2 (2.1)</w:t>
            </w:r>
          </w:p>
          <w:p w14:paraId="700D6B33" w14:textId="77777777" w:rsidR="00B51178" w:rsidRDefault="00B51178" w:rsidP="00643086">
            <w:pPr>
              <w:jc w:val="center"/>
              <w:rPr>
                <w:lang w:val="en-US"/>
              </w:rPr>
            </w:pPr>
            <w:r>
              <w:rPr>
                <w:lang w:val="en-US"/>
              </w:rPr>
              <w:t>0.3 (1.0)</w:t>
            </w:r>
          </w:p>
          <w:p w14:paraId="4DD67B90" w14:textId="77777777" w:rsidR="00B51178" w:rsidRDefault="00B51178" w:rsidP="00643086">
            <w:pPr>
              <w:jc w:val="center"/>
              <w:rPr>
                <w:lang w:val="en-US"/>
              </w:rPr>
            </w:pPr>
            <w:r>
              <w:rPr>
                <w:lang w:val="en-US"/>
              </w:rPr>
              <w:t>0.4 (1.1)</w:t>
            </w:r>
          </w:p>
        </w:tc>
        <w:tc>
          <w:tcPr>
            <w:tcW w:w="1530" w:type="dxa"/>
            <w:tcBorders>
              <w:bottom w:val="single" w:sz="4" w:space="0" w:color="auto"/>
            </w:tcBorders>
            <w:shd w:val="clear" w:color="auto" w:fill="auto"/>
          </w:tcPr>
          <w:p w14:paraId="384F1CDA" w14:textId="77777777" w:rsidR="00B51178" w:rsidRDefault="00B51178" w:rsidP="00643086">
            <w:pPr>
              <w:jc w:val="center"/>
              <w:rPr>
                <w:lang w:val="en-US"/>
              </w:rPr>
            </w:pPr>
          </w:p>
          <w:p w14:paraId="4E12B35B" w14:textId="77777777" w:rsidR="00B51178" w:rsidRDefault="00B51178" w:rsidP="00643086">
            <w:pPr>
              <w:jc w:val="center"/>
              <w:rPr>
                <w:lang w:val="en-US"/>
              </w:rPr>
            </w:pPr>
            <w:r>
              <w:rPr>
                <w:lang w:val="en-US"/>
              </w:rPr>
              <w:t>4,812 (59.8%)</w:t>
            </w:r>
          </w:p>
          <w:p w14:paraId="3E7793EF" w14:textId="77777777" w:rsidR="00B51178" w:rsidRDefault="00B51178" w:rsidP="00643086">
            <w:pPr>
              <w:jc w:val="center"/>
              <w:rPr>
                <w:lang w:val="en-US"/>
              </w:rPr>
            </w:pPr>
            <w:r>
              <w:rPr>
                <w:lang w:val="en-US"/>
              </w:rPr>
              <w:t>3,667 (45.6%)</w:t>
            </w:r>
          </w:p>
          <w:p w14:paraId="0C73048E" w14:textId="77777777" w:rsidR="00B51178" w:rsidRDefault="00B51178" w:rsidP="00643086">
            <w:pPr>
              <w:jc w:val="center"/>
              <w:rPr>
                <w:lang w:val="en-US"/>
              </w:rPr>
            </w:pPr>
            <w:r>
              <w:rPr>
                <w:lang w:val="en-US"/>
              </w:rPr>
              <w:t>1,765 (21.9%)</w:t>
            </w:r>
          </w:p>
          <w:p w14:paraId="33826F10" w14:textId="77777777" w:rsidR="00B51178" w:rsidRDefault="00B51178" w:rsidP="00643086">
            <w:pPr>
              <w:jc w:val="center"/>
              <w:rPr>
                <w:lang w:val="en-US"/>
              </w:rPr>
            </w:pPr>
            <w:r>
              <w:rPr>
                <w:lang w:val="en-US"/>
              </w:rPr>
              <w:t>1,718 (21.4%)</w:t>
            </w:r>
          </w:p>
        </w:tc>
        <w:tc>
          <w:tcPr>
            <w:tcW w:w="270" w:type="dxa"/>
            <w:tcBorders>
              <w:bottom w:val="single" w:sz="4" w:space="0" w:color="auto"/>
            </w:tcBorders>
          </w:tcPr>
          <w:p w14:paraId="2DEB8A7C" w14:textId="77777777" w:rsidR="00B51178" w:rsidRDefault="00B51178" w:rsidP="00643086">
            <w:pPr>
              <w:jc w:val="center"/>
              <w:rPr>
                <w:lang w:val="en-US"/>
              </w:rPr>
            </w:pPr>
          </w:p>
        </w:tc>
        <w:tc>
          <w:tcPr>
            <w:tcW w:w="1530" w:type="dxa"/>
            <w:tcBorders>
              <w:bottom w:val="single" w:sz="4" w:space="0" w:color="auto"/>
            </w:tcBorders>
            <w:shd w:val="clear" w:color="auto" w:fill="auto"/>
          </w:tcPr>
          <w:p w14:paraId="402C9070" w14:textId="77777777" w:rsidR="00B51178" w:rsidRDefault="00B51178" w:rsidP="00643086">
            <w:pPr>
              <w:jc w:val="center"/>
              <w:rPr>
                <w:lang w:val="en-US"/>
              </w:rPr>
            </w:pPr>
          </w:p>
          <w:p w14:paraId="08ADE6EB" w14:textId="77777777" w:rsidR="00B51178" w:rsidRDefault="00B51178" w:rsidP="00643086">
            <w:pPr>
              <w:jc w:val="center"/>
              <w:rPr>
                <w:lang w:val="en-US"/>
              </w:rPr>
            </w:pPr>
            <w:r>
              <w:rPr>
                <w:lang w:val="en-US"/>
              </w:rPr>
              <w:t>0.9 (0.7)</w:t>
            </w:r>
          </w:p>
          <w:p w14:paraId="12806AC3" w14:textId="77777777" w:rsidR="00B51178" w:rsidRDefault="00B51178" w:rsidP="00643086">
            <w:pPr>
              <w:jc w:val="center"/>
              <w:rPr>
                <w:lang w:val="en-US"/>
              </w:rPr>
            </w:pPr>
            <w:r>
              <w:rPr>
                <w:lang w:val="en-US"/>
              </w:rPr>
              <w:t>0.9 (1.2)</w:t>
            </w:r>
          </w:p>
          <w:p w14:paraId="638C86D1" w14:textId="77777777" w:rsidR="00B51178" w:rsidRDefault="00B51178" w:rsidP="00643086">
            <w:pPr>
              <w:jc w:val="center"/>
              <w:rPr>
                <w:lang w:val="en-US"/>
              </w:rPr>
            </w:pPr>
            <w:r>
              <w:rPr>
                <w:lang w:val="en-US"/>
              </w:rPr>
              <w:t>0.3 (0.6)</w:t>
            </w:r>
          </w:p>
          <w:p w14:paraId="211CE0CF" w14:textId="77777777" w:rsidR="00B51178" w:rsidRDefault="00B51178" w:rsidP="00643086">
            <w:pPr>
              <w:jc w:val="center"/>
              <w:rPr>
                <w:lang w:val="en-US"/>
              </w:rPr>
            </w:pPr>
            <w:r>
              <w:rPr>
                <w:lang w:val="en-US"/>
              </w:rPr>
              <w:t>0.3 (0.7)</w:t>
            </w:r>
          </w:p>
        </w:tc>
        <w:tc>
          <w:tcPr>
            <w:tcW w:w="1602" w:type="dxa"/>
            <w:tcBorders>
              <w:bottom w:val="single" w:sz="4" w:space="0" w:color="auto"/>
            </w:tcBorders>
          </w:tcPr>
          <w:p w14:paraId="6BE939B7" w14:textId="77777777" w:rsidR="00B51178" w:rsidRDefault="00B51178" w:rsidP="00643086">
            <w:pPr>
              <w:jc w:val="center"/>
              <w:rPr>
                <w:lang w:val="en-US"/>
              </w:rPr>
            </w:pPr>
          </w:p>
          <w:p w14:paraId="6D581D7C" w14:textId="77777777" w:rsidR="00B51178" w:rsidRDefault="00B51178" w:rsidP="00643086">
            <w:pPr>
              <w:jc w:val="center"/>
              <w:rPr>
                <w:lang w:val="en-US"/>
              </w:rPr>
            </w:pPr>
            <w:r>
              <w:rPr>
                <w:lang w:val="en-US"/>
              </w:rPr>
              <w:t>7,505 (93.3%)</w:t>
            </w:r>
          </w:p>
          <w:p w14:paraId="68700F90" w14:textId="77777777" w:rsidR="00B51178" w:rsidRDefault="00B51178" w:rsidP="00643086">
            <w:pPr>
              <w:jc w:val="center"/>
              <w:rPr>
                <w:lang w:val="en-US"/>
              </w:rPr>
            </w:pPr>
            <w:r>
              <w:rPr>
                <w:lang w:val="en-US"/>
              </w:rPr>
              <w:t>6,191 (77.0%)</w:t>
            </w:r>
          </w:p>
          <w:p w14:paraId="2E11E859" w14:textId="77777777" w:rsidR="00B51178" w:rsidRDefault="00B51178" w:rsidP="00643086">
            <w:pPr>
              <w:jc w:val="center"/>
              <w:rPr>
                <w:lang w:val="en-US"/>
              </w:rPr>
            </w:pPr>
            <w:r>
              <w:rPr>
                <w:lang w:val="en-US"/>
              </w:rPr>
              <w:t>4,323 (53.7%)</w:t>
            </w:r>
          </w:p>
          <w:p w14:paraId="000B5A6E" w14:textId="77777777" w:rsidR="00B51178" w:rsidRDefault="00B51178" w:rsidP="00643086">
            <w:pPr>
              <w:jc w:val="center"/>
              <w:rPr>
                <w:lang w:val="en-US"/>
              </w:rPr>
            </w:pPr>
            <w:r>
              <w:rPr>
                <w:lang w:val="en-US"/>
              </w:rPr>
              <w:t>3,921 (48.7%)</w:t>
            </w:r>
          </w:p>
        </w:tc>
      </w:tr>
      <w:tr w:rsidR="00B51178" w:rsidRPr="00167453" w14:paraId="4B34A199" w14:textId="77777777" w:rsidTr="00643086">
        <w:tc>
          <w:tcPr>
            <w:tcW w:w="9072" w:type="dxa"/>
            <w:gridSpan w:val="6"/>
            <w:tcBorders>
              <w:top w:val="single" w:sz="4" w:space="0" w:color="auto"/>
              <w:bottom w:val="single" w:sz="4" w:space="0" w:color="auto"/>
            </w:tcBorders>
            <w:shd w:val="clear" w:color="auto" w:fill="ACB9CA" w:themeFill="text2" w:themeFillTint="66"/>
            <w:vAlign w:val="center"/>
          </w:tcPr>
          <w:p w14:paraId="58302CD4" w14:textId="77777777" w:rsidR="00B51178" w:rsidRPr="008A4528" w:rsidRDefault="00B51178" w:rsidP="00643086">
            <w:pPr>
              <w:rPr>
                <w:lang w:val="en-US"/>
              </w:rPr>
            </w:pPr>
            <w:r>
              <w:rPr>
                <w:lang w:val="en-US"/>
              </w:rPr>
              <w:t>MRI</w:t>
            </w:r>
            <w:r w:rsidRPr="00FE3EC2">
              <w:rPr>
                <w:shd w:val="clear" w:color="auto" w:fill="ACB9CA" w:themeFill="text2" w:themeFillTint="66"/>
                <w:lang w:val="en-US"/>
              </w:rPr>
              <w:t>: magnetic resonance imaging</w:t>
            </w:r>
            <w:r>
              <w:rPr>
                <w:shd w:val="clear" w:color="auto" w:fill="ACB9CA" w:themeFill="text2" w:themeFillTint="66"/>
                <w:lang w:val="en-US"/>
              </w:rPr>
              <w:t xml:space="preserve">; CBEU: </w:t>
            </w:r>
            <w:r w:rsidRPr="008A4528">
              <w:rPr>
                <w:lang w:val="en-US"/>
              </w:rPr>
              <w:t xml:space="preserve">Cytobacteriological Exam </w:t>
            </w:r>
            <w:r>
              <w:rPr>
                <w:lang w:val="en-US"/>
              </w:rPr>
              <w:t>o</w:t>
            </w:r>
            <w:r w:rsidRPr="008A4528">
              <w:rPr>
                <w:lang w:val="en-US"/>
              </w:rPr>
              <w:t>f Urine</w:t>
            </w:r>
          </w:p>
        </w:tc>
      </w:tr>
    </w:tbl>
    <w:p w14:paraId="3D284997" w14:textId="77777777" w:rsidR="00B51178" w:rsidRPr="00FE1856" w:rsidRDefault="00B51178" w:rsidP="00B51178">
      <w:pPr>
        <w:rPr>
          <w:color w:val="000000" w:themeColor="text1"/>
          <w:lang w:val="en-US"/>
        </w:rPr>
      </w:pPr>
    </w:p>
    <w:p w14:paraId="4D9C0BFB" w14:textId="5330116F" w:rsidR="00B51178" w:rsidRPr="00B51178" w:rsidRDefault="00B51178" w:rsidP="00B51178">
      <w:pPr>
        <w:pStyle w:val="Titre1"/>
        <w:rPr>
          <w:lang w:val="en-US"/>
        </w:rPr>
      </w:pPr>
      <w:bookmarkStart w:id="11" w:name="_Toc61013795"/>
      <w:bookmarkStart w:id="12" w:name="_Toc12257810"/>
      <w:r>
        <w:rPr>
          <w:lang w:val="en-US"/>
        </w:rPr>
        <w:t>Supplement Table 3 — Multiple sclerosis-related medical device reimbursed in incident highly active relapsing-remitting multiple sclerosis adults</w:t>
      </w:r>
      <w:r w:rsidRPr="00B51178">
        <w:rPr>
          <w:lang w:val="en-US"/>
        </w:rPr>
        <w:t xml:space="preserve"> with at least 2 years of follow-up (n = 8,045), 2010–2017</w:t>
      </w:r>
      <w:bookmarkEnd w:id="11"/>
      <w:r w:rsidRPr="00D179B4">
        <w:rPr>
          <w:lang w:val="en-US"/>
        </w:rPr>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80"/>
        <w:gridCol w:w="2582"/>
      </w:tblGrid>
      <w:tr w:rsidR="00B51178" w:rsidRPr="006D5BEF" w14:paraId="7EDD8567" w14:textId="77777777" w:rsidTr="00643086">
        <w:tc>
          <w:tcPr>
            <w:tcW w:w="6480" w:type="dxa"/>
            <w:tcBorders>
              <w:top w:val="single" w:sz="4" w:space="0" w:color="auto"/>
              <w:bottom w:val="single" w:sz="4" w:space="0" w:color="auto"/>
            </w:tcBorders>
            <w:shd w:val="clear" w:color="auto" w:fill="ACB9CA" w:themeFill="text2" w:themeFillTint="66"/>
          </w:tcPr>
          <w:p w14:paraId="76848C20" w14:textId="77777777" w:rsidR="00B51178" w:rsidRDefault="00B51178" w:rsidP="00643086">
            <w:pPr>
              <w:rPr>
                <w:lang w:val="en-US"/>
              </w:rPr>
            </w:pPr>
          </w:p>
        </w:tc>
        <w:tc>
          <w:tcPr>
            <w:tcW w:w="2582" w:type="dxa"/>
            <w:tcBorders>
              <w:top w:val="single" w:sz="4" w:space="0" w:color="auto"/>
              <w:bottom w:val="single" w:sz="4" w:space="0" w:color="auto"/>
            </w:tcBorders>
            <w:shd w:val="clear" w:color="auto" w:fill="ACB9CA" w:themeFill="text2" w:themeFillTint="66"/>
          </w:tcPr>
          <w:p w14:paraId="56008FB3" w14:textId="77777777" w:rsidR="00B51178" w:rsidRDefault="00B51178" w:rsidP="00643086">
            <w:pPr>
              <w:jc w:val="center"/>
              <w:rPr>
                <w:lang w:val="en-US"/>
              </w:rPr>
            </w:pPr>
            <w:r>
              <w:rPr>
                <w:lang w:val="en-US"/>
              </w:rPr>
              <w:t xml:space="preserve">HA-RRMS incident population with at least 2 years of follow-up </w:t>
            </w:r>
          </w:p>
          <w:p w14:paraId="6E95AB67" w14:textId="77777777" w:rsidR="00B51178" w:rsidRDefault="00B51178" w:rsidP="00643086">
            <w:pPr>
              <w:jc w:val="center"/>
              <w:rPr>
                <w:lang w:val="en-US"/>
              </w:rPr>
            </w:pPr>
            <w:r w:rsidRPr="006D5BEF">
              <w:rPr>
                <w:lang w:val="en-US"/>
              </w:rPr>
              <w:t>(n = 8,045)</w:t>
            </w:r>
          </w:p>
        </w:tc>
      </w:tr>
      <w:tr w:rsidR="00B51178" w:rsidRPr="00BA4FD0" w14:paraId="334E8CE6" w14:textId="77777777" w:rsidTr="00643086">
        <w:tc>
          <w:tcPr>
            <w:tcW w:w="6480" w:type="dxa"/>
            <w:tcBorders>
              <w:top w:val="single" w:sz="4" w:space="0" w:color="auto"/>
            </w:tcBorders>
          </w:tcPr>
          <w:p w14:paraId="1353AB58" w14:textId="77777777" w:rsidR="00B51178" w:rsidRDefault="00B51178" w:rsidP="00643086">
            <w:pPr>
              <w:rPr>
                <w:lang w:val="en-US"/>
              </w:rPr>
            </w:pPr>
            <w:r>
              <w:rPr>
                <w:lang w:val="en-US"/>
              </w:rPr>
              <w:t>At least one medical device reimbursed, during follow-up, no. (%)</w:t>
            </w:r>
          </w:p>
          <w:p w14:paraId="0BE10A3E" w14:textId="77777777" w:rsidR="00B51178" w:rsidRDefault="00B51178" w:rsidP="00643086">
            <w:pPr>
              <w:rPr>
                <w:lang w:val="en-US"/>
              </w:rPr>
            </w:pPr>
            <w:r>
              <w:rPr>
                <w:lang w:val="en-US"/>
              </w:rPr>
              <w:t xml:space="preserve">     </w:t>
            </w:r>
            <w:r w:rsidRPr="006D5BEF">
              <w:rPr>
                <w:lang w:val="en-US"/>
              </w:rPr>
              <w:t xml:space="preserve">Materials and products for management of specific diseases </w:t>
            </w:r>
          </w:p>
          <w:p w14:paraId="535293A3" w14:textId="77777777" w:rsidR="00B51178" w:rsidRDefault="00B51178" w:rsidP="00643086">
            <w:pPr>
              <w:rPr>
                <w:lang w:val="en-US"/>
              </w:rPr>
            </w:pPr>
            <w:r>
              <w:rPr>
                <w:lang w:val="en-US"/>
              </w:rPr>
              <w:t xml:space="preserve">     Bandages, restraint equipment</w:t>
            </w:r>
            <w:r w:rsidRPr="006D5BEF">
              <w:rPr>
                <w:lang w:val="en-US"/>
              </w:rPr>
              <w:t xml:space="preserve"> </w:t>
            </w:r>
          </w:p>
          <w:p w14:paraId="21F6A703" w14:textId="77777777" w:rsidR="00B51178" w:rsidRDefault="00B51178" w:rsidP="00643086">
            <w:pPr>
              <w:rPr>
                <w:lang w:val="en-US"/>
              </w:rPr>
            </w:pPr>
            <w:r>
              <w:rPr>
                <w:lang w:val="en-US"/>
              </w:rPr>
              <w:t xml:space="preserve">     O</w:t>
            </w:r>
            <w:r w:rsidRPr="006D5BEF">
              <w:rPr>
                <w:lang w:val="en-US"/>
              </w:rPr>
              <w:t>rthosis</w:t>
            </w:r>
            <w:r>
              <w:rPr>
                <w:lang w:val="en-US"/>
              </w:rPr>
              <w:t xml:space="preserve"> </w:t>
            </w:r>
            <w:r w:rsidRPr="006D5BEF">
              <w:rPr>
                <w:lang w:val="en-US"/>
              </w:rPr>
              <w:t xml:space="preserve">/ </w:t>
            </w:r>
            <w:proofErr w:type="spellStart"/>
            <w:r w:rsidRPr="006D5BEF">
              <w:rPr>
                <w:lang w:val="en-US"/>
              </w:rPr>
              <w:t>orthoprosthesis</w:t>
            </w:r>
            <w:proofErr w:type="spellEnd"/>
          </w:p>
          <w:p w14:paraId="0E71ECEB" w14:textId="77777777" w:rsidR="00B51178" w:rsidRDefault="00B51178" w:rsidP="00643086">
            <w:pPr>
              <w:rPr>
                <w:lang w:val="en-US"/>
              </w:rPr>
            </w:pPr>
            <w:r>
              <w:rPr>
                <w:lang w:val="en-US"/>
              </w:rPr>
              <w:t xml:space="preserve">     H</w:t>
            </w:r>
            <w:r w:rsidRPr="006D5BEF">
              <w:rPr>
                <w:lang w:val="en-US"/>
              </w:rPr>
              <w:t>ome support and life support for sick and disabled persons</w:t>
            </w:r>
          </w:p>
          <w:p w14:paraId="439AAA25" w14:textId="77777777" w:rsidR="00B51178" w:rsidRDefault="00B51178" w:rsidP="00643086">
            <w:pPr>
              <w:rPr>
                <w:lang w:val="en-US"/>
              </w:rPr>
            </w:pPr>
            <w:r>
              <w:rPr>
                <w:lang w:val="en-US"/>
              </w:rPr>
              <w:t xml:space="preserve">     V</w:t>
            </w:r>
            <w:r w:rsidRPr="006D5BEF">
              <w:rPr>
                <w:lang w:val="en-US"/>
              </w:rPr>
              <w:t>ehicles for disabled persons</w:t>
            </w:r>
          </w:p>
        </w:tc>
        <w:tc>
          <w:tcPr>
            <w:tcW w:w="2582" w:type="dxa"/>
            <w:tcBorders>
              <w:top w:val="single" w:sz="4" w:space="0" w:color="auto"/>
            </w:tcBorders>
          </w:tcPr>
          <w:p w14:paraId="1F7E1ED1" w14:textId="77777777" w:rsidR="00B51178" w:rsidRDefault="00B51178" w:rsidP="00643086">
            <w:pPr>
              <w:jc w:val="center"/>
            </w:pPr>
            <w:r w:rsidRPr="006D5BEF">
              <w:t>6,997 (8</w:t>
            </w:r>
            <w:r>
              <w:t>7</w:t>
            </w:r>
            <w:r w:rsidRPr="006D5BEF">
              <w:t>.</w:t>
            </w:r>
            <w:r>
              <w:t>0</w:t>
            </w:r>
            <w:r w:rsidRPr="006D5BEF">
              <w:t>%)</w:t>
            </w:r>
          </w:p>
          <w:p w14:paraId="4470F571" w14:textId="77777777" w:rsidR="00B51178" w:rsidRDefault="00B51178" w:rsidP="00643086">
            <w:pPr>
              <w:jc w:val="center"/>
            </w:pPr>
            <w:r>
              <w:t>5,195 (64.6%)</w:t>
            </w:r>
          </w:p>
          <w:p w14:paraId="3C84CEC3" w14:textId="77777777" w:rsidR="00B51178" w:rsidRDefault="00B51178" w:rsidP="00643086">
            <w:pPr>
              <w:jc w:val="center"/>
            </w:pPr>
            <w:r>
              <w:t>4,741 (58.9%)</w:t>
            </w:r>
          </w:p>
          <w:p w14:paraId="4DFCD918" w14:textId="77777777" w:rsidR="00B51178" w:rsidRDefault="00B51178" w:rsidP="00643086">
            <w:pPr>
              <w:jc w:val="center"/>
            </w:pPr>
            <w:r>
              <w:t>3,174 (39.5%)</w:t>
            </w:r>
          </w:p>
          <w:p w14:paraId="782147C8" w14:textId="77777777" w:rsidR="00B51178" w:rsidRDefault="00B51178" w:rsidP="00643086">
            <w:pPr>
              <w:jc w:val="center"/>
            </w:pPr>
            <w:r>
              <w:t>3,119 (38.8%)</w:t>
            </w:r>
          </w:p>
          <w:p w14:paraId="2FCBAA3C" w14:textId="77777777" w:rsidR="00B51178" w:rsidRDefault="00B51178" w:rsidP="00643086">
            <w:pPr>
              <w:jc w:val="center"/>
              <w:rPr>
                <w:lang w:val="en-US"/>
              </w:rPr>
            </w:pPr>
            <w:r>
              <w:t>1,293 (16.1%)</w:t>
            </w:r>
          </w:p>
        </w:tc>
      </w:tr>
      <w:tr w:rsidR="00B51178" w:rsidRPr="00167453" w14:paraId="3AD33371" w14:textId="77777777" w:rsidTr="00643086">
        <w:tc>
          <w:tcPr>
            <w:tcW w:w="9062" w:type="dxa"/>
            <w:gridSpan w:val="2"/>
            <w:tcBorders>
              <w:top w:val="single" w:sz="4" w:space="0" w:color="auto"/>
              <w:bottom w:val="single" w:sz="4" w:space="0" w:color="auto"/>
            </w:tcBorders>
            <w:shd w:val="clear" w:color="auto" w:fill="ACB9CA" w:themeFill="text2" w:themeFillTint="66"/>
          </w:tcPr>
          <w:p w14:paraId="678029DF" w14:textId="77777777" w:rsidR="00B51178" w:rsidRPr="00BA4FD0" w:rsidRDefault="00B51178" w:rsidP="00643086">
            <w:pPr>
              <w:jc w:val="both"/>
              <w:rPr>
                <w:lang w:val="en-US"/>
              </w:rPr>
            </w:pPr>
            <w:r>
              <w:rPr>
                <w:lang w:val="en-US"/>
              </w:rPr>
              <w:t>HA-RRMS: highly active relapsing-remitting multiple sclerosis</w:t>
            </w:r>
          </w:p>
        </w:tc>
      </w:tr>
      <w:bookmarkEnd w:id="12"/>
    </w:tbl>
    <w:p w14:paraId="53695150" w14:textId="77777777" w:rsidR="00B51178" w:rsidRPr="00557F49" w:rsidRDefault="00B51178" w:rsidP="00B51178">
      <w:pPr>
        <w:rPr>
          <w:rFonts w:ascii="Arial" w:eastAsiaTheme="majorEastAsia" w:hAnsi="Arial" w:cs="Arial"/>
          <w:b/>
          <w:bCs/>
          <w:color w:val="000000"/>
          <w:sz w:val="26"/>
          <w:szCs w:val="26"/>
          <w:shd w:val="clear" w:color="auto" w:fill="FFFFFF"/>
          <w:lang w:val="en-US"/>
        </w:rPr>
      </w:pPr>
    </w:p>
    <w:p w14:paraId="5CE69FC3" w14:textId="581E08BE" w:rsidR="00D7478F" w:rsidRDefault="00D7478F">
      <w:pPr>
        <w:rPr>
          <w:lang w:val="en-US"/>
        </w:rPr>
      </w:pPr>
      <w:r>
        <w:rPr>
          <w:lang w:val="en-US"/>
        </w:rPr>
        <w:br w:type="page"/>
      </w:r>
    </w:p>
    <w:p w14:paraId="0FB76726" w14:textId="77777777" w:rsidR="00D7478F" w:rsidRPr="00D56DD2" w:rsidRDefault="00D7478F" w:rsidP="00430CB7">
      <w:pPr>
        <w:pStyle w:val="Titre1"/>
        <w:rPr>
          <w:lang w:val="en-US"/>
        </w:rPr>
      </w:pPr>
      <w:bookmarkStart w:id="13" w:name="_Toc61013796"/>
      <w:r w:rsidRPr="00D56DD2">
        <w:rPr>
          <w:lang w:val="en-US"/>
        </w:rPr>
        <w:lastRenderedPageBreak/>
        <w:t>References</w:t>
      </w:r>
      <w:bookmarkEnd w:id="13"/>
    </w:p>
    <w:p w14:paraId="07828209" w14:textId="77777777" w:rsidR="00B861CA" w:rsidRPr="00B861CA" w:rsidRDefault="00D7478F" w:rsidP="00B861CA">
      <w:pPr>
        <w:pStyle w:val="Bibliographie"/>
        <w:rPr>
          <w:rFonts w:ascii="Calibri" w:hAnsi="Calibri" w:cs="Calibri"/>
        </w:rPr>
      </w:pPr>
      <w:r>
        <w:rPr>
          <w:lang w:val="en-US"/>
        </w:rPr>
        <w:fldChar w:fldCharType="begin"/>
      </w:r>
      <w:r w:rsidR="00B861CA" w:rsidRPr="00C64DB8">
        <w:rPr>
          <w:lang w:val="en-US"/>
        </w:rPr>
        <w:instrText xml:space="preserve"> ADDIN ZOTERO_BIBL {"uncited":[],"omitted":[],"custom":[]} CSL_BIBLIOGRAPHY </w:instrText>
      </w:r>
      <w:r>
        <w:rPr>
          <w:lang w:val="en-US"/>
        </w:rPr>
        <w:fldChar w:fldCharType="separate"/>
      </w:r>
      <w:r w:rsidR="00B861CA" w:rsidRPr="00C64DB8">
        <w:rPr>
          <w:rFonts w:ascii="Calibri" w:hAnsi="Calibri" w:cs="Calibri"/>
          <w:lang w:val="en-US"/>
        </w:rPr>
        <w:t xml:space="preserve">1. </w:t>
      </w:r>
      <w:r w:rsidR="00B861CA" w:rsidRPr="00C64DB8">
        <w:rPr>
          <w:rFonts w:ascii="Calibri" w:hAnsi="Calibri" w:cs="Calibri"/>
          <w:lang w:val="en-US"/>
        </w:rPr>
        <w:tab/>
        <w:t xml:space="preserve">Tuppin P, Rudant J, Constantinou P, et al. Value of a national administrative database to guide public decisions: From the système national d’information interrégimes de l’Assurance Maladie (SNIIRAM) to the système national des données de santé (SNDS) in France. </w:t>
      </w:r>
      <w:r w:rsidR="00B861CA" w:rsidRPr="00B861CA">
        <w:rPr>
          <w:rFonts w:ascii="Calibri" w:hAnsi="Calibri" w:cs="Calibri"/>
          <w:i/>
          <w:iCs/>
        </w:rPr>
        <w:t>Revue d’Épidémiologie et de Santé Publique</w:t>
      </w:r>
      <w:r w:rsidR="00B861CA" w:rsidRPr="00B861CA">
        <w:rPr>
          <w:rFonts w:ascii="Calibri" w:hAnsi="Calibri" w:cs="Calibri"/>
        </w:rPr>
        <w:t xml:space="preserve"> 2017; 65: S149–S167.</w:t>
      </w:r>
    </w:p>
    <w:p w14:paraId="34C34E04" w14:textId="77777777" w:rsidR="00B861CA" w:rsidRPr="00B861CA" w:rsidRDefault="00B861CA" w:rsidP="00B861CA">
      <w:pPr>
        <w:pStyle w:val="Bibliographie"/>
        <w:rPr>
          <w:rFonts w:ascii="Calibri" w:hAnsi="Calibri" w:cs="Calibri"/>
        </w:rPr>
      </w:pPr>
      <w:r w:rsidRPr="00B861CA">
        <w:rPr>
          <w:rFonts w:ascii="Calibri" w:hAnsi="Calibri" w:cs="Calibri"/>
        </w:rPr>
        <w:t xml:space="preserve">2. </w:t>
      </w:r>
      <w:r w:rsidRPr="00B861CA">
        <w:rPr>
          <w:rFonts w:ascii="Calibri" w:hAnsi="Calibri" w:cs="Calibri"/>
        </w:rPr>
        <w:tab/>
        <w:t xml:space="preserve">Centre des liaisons européennes et internationales de sécurité sociale, République Française. </w:t>
      </w:r>
      <w:r w:rsidRPr="00B861CA">
        <w:rPr>
          <w:rFonts w:ascii="Calibri" w:hAnsi="Calibri" w:cs="Calibri"/>
          <w:lang w:val="en-US"/>
        </w:rPr>
        <w:t xml:space="preserve">The French Social Security System. I-Health, maternity, paternity, disability, and death. </w:t>
      </w:r>
      <w:r w:rsidRPr="00B861CA">
        <w:rPr>
          <w:rFonts w:ascii="Calibri" w:hAnsi="Calibri" w:cs="Calibri"/>
          <w:i/>
          <w:iCs/>
        </w:rPr>
        <w:t>Vous informer sur la protection sociale à l’international</w:t>
      </w:r>
      <w:r w:rsidRPr="00B861CA">
        <w:rPr>
          <w:rFonts w:ascii="Calibri" w:hAnsi="Calibri" w:cs="Calibri"/>
        </w:rPr>
        <w:t>, https://www.cleiss.fr/docs/regimes/regime_france/an_1.html (2020, accessed 12 October 2020).</w:t>
      </w:r>
    </w:p>
    <w:p w14:paraId="4394B284" w14:textId="77777777" w:rsidR="00B861CA" w:rsidRPr="00B861CA" w:rsidRDefault="00B861CA" w:rsidP="00B861CA">
      <w:pPr>
        <w:pStyle w:val="Bibliographie"/>
        <w:rPr>
          <w:rFonts w:ascii="Calibri" w:hAnsi="Calibri" w:cs="Calibri"/>
        </w:rPr>
      </w:pPr>
      <w:r w:rsidRPr="00B861CA">
        <w:rPr>
          <w:rFonts w:ascii="Calibri" w:hAnsi="Calibri" w:cs="Calibri"/>
        </w:rPr>
        <w:t xml:space="preserve">3. </w:t>
      </w:r>
      <w:r w:rsidRPr="00B861CA">
        <w:rPr>
          <w:rFonts w:ascii="Calibri" w:hAnsi="Calibri" w:cs="Calibri"/>
        </w:rPr>
        <w:tab/>
        <w:t>Arrêt maladie, https://www.ameli.fr/assure/remboursements/indemnites-journalieres/arret-maladie (accessed 15 September 2020).</w:t>
      </w:r>
    </w:p>
    <w:p w14:paraId="3A913B3C" w14:textId="77777777" w:rsidR="00B861CA" w:rsidRPr="00B861CA" w:rsidRDefault="00B861CA" w:rsidP="00B861CA">
      <w:pPr>
        <w:pStyle w:val="Bibliographie"/>
        <w:rPr>
          <w:rFonts w:ascii="Calibri" w:hAnsi="Calibri" w:cs="Calibri"/>
        </w:rPr>
      </w:pPr>
      <w:r w:rsidRPr="00B861CA">
        <w:rPr>
          <w:rFonts w:ascii="Calibri" w:hAnsi="Calibri" w:cs="Calibri"/>
        </w:rPr>
        <w:t xml:space="preserve">4. </w:t>
      </w:r>
      <w:r w:rsidRPr="00B861CA">
        <w:rPr>
          <w:rFonts w:ascii="Calibri" w:hAnsi="Calibri" w:cs="Calibri"/>
        </w:rPr>
        <w:tab/>
        <w:t>Pensions d’invalidité, https://www.ameli.fr/entreprise/vos-salaries/montants-reference/pension-invalidite (accessed 15 September 2020).</w:t>
      </w:r>
    </w:p>
    <w:p w14:paraId="709A38FF" w14:textId="77777777" w:rsidR="00B861CA" w:rsidRPr="00B861CA" w:rsidRDefault="00B861CA" w:rsidP="00B861CA">
      <w:pPr>
        <w:pStyle w:val="Bibliographie"/>
        <w:rPr>
          <w:rFonts w:ascii="Calibri" w:hAnsi="Calibri" w:cs="Calibri"/>
        </w:rPr>
      </w:pPr>
      <w:r w:rsidRPr="00B861CA">
        <w:rPr>
          <w:rFonts w:ascii="Calibri" w:hAnsi="Calibri" w:cs="Calibri"/>
        </w:rPr>
        <w:t xml:space="preserve">5. </w:t>
      </w:r>
      <w:r w:rsidRPr="00B861CA">
        <w:rPr>
          <w:rFonts w:ascii="Calibri" w:hAnsi="Calibri" w:cs="Calibri"/>
        </w:rPr>
        <w:tab/>
        <w:t xml:space="preserve">Charlson ME, Pompei P, Ales KL, et al. </w:t>
      </w:r>
      <w:r w:rsidRPr="00B861CA">
        <w:rPr>
          <w:rFonts w:ascii="Calibri" w:hAnsi="Calibri" w:cs="Calibri"/>
          <w:lang w:val="en-US"/>
        </w:rPr>
        <w:t xml:space="preserve">A new method of classifying prognostic comorbidity in longitudinal studies: Development and validation. </w:t>
      </w:r>
      <w:r w:rsidRPr="00B861CA">
        <w:rPr>
          <w:rFonts w:ascii="Calibri" w:hAnsi="Calibri" w:cs="Calibri"/>
          <w:i/>
          <w:iCs/>
        </w:rPr>
        <w:t>Journal of Chronic Diseases</w:t>
      </w:r>
      <w:r w:rsidRPr="00B861CA">
        <w:rPr>
          <w:rFonts w:ascii="Calibri" w:hAnsi="Calibri" w:cs="Calibri"/>
        </w:rPr>
        <w:t xml:space="preserve"> 1987; 40: 373–383.</w:t>
      </w:r>
    </w:p>
    <w:p w14:paraId="441236CD" w14:textId="1477EFE2" w:rsidR="00123D86" w:rsidRPr="00123D86" w:rsidRDefault="00D7478F">
      <w:pPr>
        <w:rPr>
          <w:lang w:val="en-US"/>
        </w:rPr>
      </w:pPr>
      <w:r>
        <w:rPr>
          <w:lang w:val="en-US"/>
        </w:rPr>
        <w:fldChar w:fldCharType="end"/>
      </w:r>
    </w:p>
    <w:sectPr w:rsidR="00123D86" w:rsidRPr="00123D86">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8F7C80" w14:textId="77777777" w:rsidR="00541939" w:rsidRDefault="00541939" w:rsidP="00F94292">
      <w:pPr>
        <w:spacing w:after="0" w:line="240" w:lineRule="auto"/>
      </w:pPr>
      <w:r>
        <w:separator/>
      </w:r>
    </w:p>
  </w:endnote>
  <w:endnote w:type="continuationSeparator" w:id="0">
    <w:p w14:paraId="13C54EEE" w14:textId="77777777" w:rsidR="00541939" w:rsidRDefault="00541939" w:rsidP="00F942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Times New Roman (Corps CS)">
    <w:altName w:val="Calibri"/>
    <w:charset w:val="00"/>
    <w:family w:val="roman"/>
    <w:pitch w:val="variable"/>
    <w:sig w:usb0="E0002AE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FCB26E" w14:textId="77777777" w:rsidR="00BA22D6" w:rsidRDefault="00BA22D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70955245"/>
      <w:docPartObj>
        <w:docPartGallery w:val="Page Numbers (Bottom of Page)"/>
        <w:docPartUnique/>
      </w:docPartObj>
    </w:sdtPr>
    <w:sdtEndPr>
      <w:rPr>
        <w:noProof/>
      </w:rPr>
    </w:sdtEndPr>
    <w:sdtContent>
      <w:p w14:paraId="33A06FC4" w14:textId="05AC22E0" w:rsidR="00F94292" w:rsidRDefault="00F94292">
        <w:pPr>
          <w:pStyle w:val="Pieddepage"/>
          <w:jc w:val="right"/>
        </w:pPr>
        <w:r>
          <w:fldChar w:fldCharType="begin"/>
        </w:r>
        <w:r>
          <w:instrText xml:space="preserve"> PAGE   \* MERGEFORMAT </w:instrText>
        </w:r>
        <w:r>
          <w:fldChar w:fldCharType="separate"/>
        </w:r>
        <w:r>
          <w:rPr>
            <w:noProof/>
          </w:rPr>
          <w:t>2</w:t>
        </w:r>
        <w:r>
          <w:rPr>
            <w:noProof/>
          </w:rPr>
          <w:fldChar w:fldCharType="end"/>
        </w:r>
      </w:p>
    </w:sdtContent>
  </w:sdt>
  <w:p w14:paraId="7B95F6D5" w14:textId="77777777" w:rsidR="00F94292" w:rsidRDefault="00F94292">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406B50" w14:textId="77777777" w:rsidR="00BA22D6" w:rsidRDefault="00BA22D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590B63" w14:textId="77777777" w:rsidR="00541939" w:rsidRDefault="00541939" w:rsidP="00F94292">
      <w:pPr>
        <w:spacing w:after="0" w:line="240" w:lineRule="auto"/>
      </w:pPr>
      <w:r>
        <w:separator/>
      </w:r>
    </w:p>
  </w:footnote>
  <w:footnote w:type="continuationSeparator" w:id="0">
    <w:p w14:paraId="05BB8C55" w14:textId="77777777" w:rsidR="00541939" w:rsidRDefault="00541939" w:rsidP="00F942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C16346" w14:textId="77777777" w:rsidR="00BA22D6" w:rsidRDefault="00BA22D6">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674CE9" w14:textId="77777777" w:rsidR="00BA22D6" w:rsidRDefault="00BA22D6">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F81991" w14:textId="77777777" w:rsidR="00BA22D6" w:rsidRDefault="00BA22D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7A91819"/>
    <w:multiLevelType w:val="hybridMultilevel"/>
    <w:tmpl w:val="88327336"/>
    <w:lvl w:ilvl="0" w:tplc="BA82837A">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7B02561A"/>
    <w:multiLevelType w:val="hybridMultilevel"/>
    <w:tmpl w:val="ED02F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F1A"/>
    <w:rsid w:val="00053F4B"/>
    <w:rsid w:val="000707FF"/>
    <w:rsid w:val="00123D86"/>
    <w:rsid w:val="00167453"/>
    <w:rsid w:val="0018360E"/>
    <w:rsid w:val="00184373"/>
    <w:rsid w:val="001B7D81"/>
    <w:rsid w:val="00262500"/>
    <w:rsid w:val="00340F01"/>
    <w:rsid w:val="003A525F"/>
    <w:rsid w:val="0042737B"/>
    <w:rsid w:val="00430CB7"/>
    <w:rsid w:val="004766C1"/>
    <w:rsid w:val="004A1D59"/>
    <w:rsid w:val="00541939"/>
    <w:rsid w:val="005F2B2F"/>
    <w:rsid w:val="00677F1A"/>
    <w:rsid w:val="007A7869"/>
    <w:rsid w:val="007C38AE"/>
    <w:rsid w:val="008C7D86"/>
    <w:rsid w:val="00905E22"/>
    <w:rsid w:val="00954287"/>
    <w:rsid w:val="009A1720"/>
    <w:rsid w:val="009A7770"/>
    <w:rsid w:val="00AA1EF8"/>
    <w:rsid w:val="00AD1578"/>
    <w:rsid w:val="00B24CFC"/>
    <w:rsid w:val="00B51178"/>
    <w:rsid w:val="00B767B2"/>
    <w:rsid w:val="00B861CA"/>
    <w:rsid w:val="00B87A16"/>
    <w:rsid w:val="00BA22D6"/>
    <w:rsid w:val="00BE716E"/>
    <w:rsid w:val="00C64DB8"/>
    <w:rsid w:val="00CF7DFC"/>
    <w:rsid w:val="00D56DD2"/>
    <w:rsid w:val="00D65161"/>
    <w:rsid w:val="00D7478F"/>
    <w:rsid w:val="00D94464"/>
    <w:rsid w:val="00DA479F"/>
    <w:rsid w:val="00DB6E18"/>
    <w:rsid w:val="00E2552A"/>
    <w:rsid w:val="00F22CC6"/>
    <w:rsid w:val="00F53065"/>
    <w:rsid w:val="00F537DE"/>
    <w:rsid w:val="00F574CD"/>
    <w:rsid w:val="00F94292"/>
    <w:rsid w:val="00FD0F45"/>
    <w:rsid w:val="00FE4F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BD22180"/>
  <w15:chartTrackingRefBased/>
  <w15:docId w15:val="{83A21C36-6107-49CB-A665-068C7391F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3D86"/>
    <w:rPr>
      <w:lang w:val="fr-FR"/>
    </w:rPr>
  </w:style>
  <w:style w:type="paragraph" w:styleId="Titre1">
    <w:name w:val="heading 1"/>
    <w:basedOn w:val="Normal"/>
    <w:next w:val="Normal"/>
    <w:link w:val="Titre1Car"/>
    <w:uiPriority w:val="9"/>
    <w:qFormat/>
    <w:rsid w:val="0012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unhideWhenUsed/>
    <w:qFormat/>
    <w:rsid w:val="00D56DD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23D86"/>
    <w:rPr>
      <w:rFonts w:asciiTheme="majorHAnsi" w:eastAsiaTheme="majorEastAsia" w:hAnsiTheme="majorHAnsi" w:cstheme="majorBidi"/>
      <w:color w:val="2F5496" w:themeColor="accent1" w:themeShade="BF"/>
      <w:sz w:val="32"/>
      <w:szCs w:val="32"/>
      <w:lang w:val="fr-FR"/>
    </w:rPr>
  </w:style>
  <w:style w:type="character" w:styleId="Lienhypertexte">
    <w:name w:val="Hyperlink"/>
    <w:basedOn w:val="Policepardfaut"/>
    <w:uiPriority w:val="99"/>
    <w:unhideWhenUsed/>
    <w:rsid w:val="00123D86"/>
    <w:rPr>
      <w:color w:val="0000FF"/>
      <w:u w:val="single"/>
    </w:rPr>
  </w:style>
  <w:style w:type="character" w:styleId="Marquedecommentaire">
    <w:name w:val="annotation reference"/>
    <w:basedOn w:val="Policepardfaut"/>
    <w:uiPriority w:val="99"/>
    <w:semiHidden/>
    <w:unhideWhenUsed/>
    <w:rsid w:val="00123D86"/>
    <w:rPr>
      <w:sz w:val="16"/>
      <w:szCs w:val="16"/>
    </w:rPr>
  </w:style>
  <w:style w:type="paragraph" w:styleId="Commentaire">
    <w:name w:val="annotation text"/>
    <w:basedOn w:val="Normal"/>
    <w:link w:val="CommentaireCar"/>
    <w:uiPriority w:val="99"/>
    <w:unhideWhenUsed/>
    <w:rsid w:val="00123D86"/>
    <w:pPr>
      <w:spacing w:before="200" w:after="200" w:line="240" w:lineRule="auto"/>
      <w:jc w:val="both"/>
    </w:pPr>
    <w:rPr>
      <w:rFonts w:cs="Times New Roman (Corps CS)"/>
      <w:color w:val="000000" w:themeColor="text1"/>
      <w:sz w:val="20"/>
      <w:szCs w:val="20"/>
    </w:rPr>
  </w:style>
  <w:style w:type="character" w:customStyle="1" w:styleId="CommentaireCar">
    <w:name w:val="Commentaire Car"/>
    <w:basedOn w:val="Policepardfaut"/>
    <w:link w:val="Commentaire"/>
    <w:uiPriority w:val="99"/>
    <w:rsid w:val="00123D86"/>
    <w:rPr>
      <w:rFonts w:cs="Times New Roman (Corps CS)"/>
      <w:color w:val="000000" w:themeColor="text1"/>
      <w:sz w:val="20"/>
      <w:szCs w:val="20"/>
      <w:lang w:val="fr-FR"/>
    </w:rPr>
  </w:style>
  <w:style w:type="paragraph" w:styleId="Textedebulles">
    <w:name w:val="Balloon Text"/>
    <w:basedOn w:val="Normal"/>
    <w:link w:val="TextedebullesCar"/>
    <w:uiPriority w:val="99"/>
    <w:semiHidden/>
    <w:unhideWhenUsed/>
    <w:rsid w:val="00123D8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23D86"/>
    <w:rPr>
      <w:rFonts w:ascii="Segoe UI" w:hAnsi="Segoe UI" w:cs="Segoe UI"/>
      <w:sz w:val="18"/>
      <w:szCs w:val="18"/>
      <w:lang w:val="fr-FR"/>
    </w:rPr>
  </w:style>
  <w:style w:type="paragraph" w:styleId="Titre">
    <w:name w:val="Title"/>
    <w:basedOn w:val="Normal"/>
    <w:next w:val="Normal"/>
    <w:link w:val="TitreCar"/>
    <w:uiPriority w:val="10"/>
    <w:qFormat/>
    <w:rsid w:val="00123D8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23D86"/>
    <w:rPr>
      <w:rFonts w:asciiTheme="majorHAnsi" w:eastAsiaTheme="majorEastAsia" w:hAnsiTheme="majorHAnsi" w:cstheme="majorBidi"/>
      <w:spacing w:val="-10"/>
      <w:kern w:val="28"/>
      <w:sz w:val="56"/>
      <w:szCs w:val="56"/>
      <w:lang w:val="fr-FR"/>
    </w:rPr>
  </w:style>
  <w:style w:type="paragraph" w:styleId="En-ttedetabledesmatires">
    <w:name w:val="TOC Heading"/>
    <w:basedOn w:val="Titre1"/>
    <w:next w:val="Normal"/>
    <w:uiPriority w:val="39"/>
    <w:unhideWhenUsed/>
    <w:qFormat/>
    <w:rsid w:val="00F94292"/>
    <w:pPr>
      <w:outlineLvl w:val="9"/>
    </w:pPr>
    <w:rPr>
      <w:lang w:val="en-US"/>
    </w:rPr>
  </w:style>
  <w:style w:type="paragraph" w:styleId="TM1">
    <w:name w:val="toc 1"/>
    <w:basedOn w:val="Normal"/>
    <w:next w:val="Normal"/>
    <w:autoRedefine/>
    <w:uiPriority w:val="39"/>
    <w:unhideWhenUsed/>
    <w:rsid w:val="00262500"/>
    <w:pPr>
      <w:tabs>
        <w:tab w:val="right" w:leader="dot" w:pos="9350"/>
      </w:tabs>
      <w:spacing w:after="100"/>
    </w:pPr>
  </w:style>
  <w:style w:type="paragraph" w:styleId="En-tte">
    <w:name w:val="header"/>
    <w:basedOn w:val="Normal"/>
    <w:link w:val="En-tteCar"/>
    <w:uiPriority w:val="99"/>
    <w:unhideWhenUsed/>
    <w:rsid w:val="00F94292"/>
    <w:pPr>
      <w:tabs>
        <w:tab w:val="center" w:pos="4680"/>
        <w:tab w:val="right" w:pos="9360"/>
      </w:tabs>
      <w:spacing w:after="0" w:line="240" w:lineRule="auto"/>
    </w:pPr>
  </w:style>
  <w:style w:type="character" w:customStyle="1" w:styleId="En-tteCar">
    <w:name w:val="En-tête Car"/>
    <w:basedOn w:val="Policepardfaut"/>
    <w:link w:val="En-tte"/>
    <w:uiPriority w:val="99"/>
    <w:rsid w:val="00F94292"/>
    <w:rPr>
      <w:lang w:val="fr-FR"/>
    </w:rPr>
  </w:style>
  <w:style w:type="paragraph" w:styleId="Pieddepage">
    <w:name w:val="footer"/>
    <w:basedOn w:val="Normal"/>
    <w:link w:val="PieddepageCar"/>
    <w:uiPriority w:val="99"/>
    <w:unhideWhenUsed/>
    <w:rsid w:val="00F94292"/>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F94292"/>
    <w:rPr>
      <w:lang w:val="fr-FR"/>
    </w:rPr>
  </w:style>
  <w:style w:type="paragraph" w:styleId="Bibliographie">
    <w:name w:val="Bibliography"/>
    <w:basedOn w:val="Normal"/>
    <w:next w:val="Normal"/>
    <w:uiPriority w:val="37"/>
    <w:unhideWhenUsed/>
    <w:rsid w:val="00D7478F"/>
    <w:pPr>
      <w:tabs>
        <w:tab w:val="left" w:pos="384"/>
      </w:tabs>
      <w:spacing w:after="240" w:line="240" w:lineRule="auto"/>
      <w:ind w:left="384" w:hanging="384"/>
    </w:pPr>
  </w:style>
  <w:style w:type="paragraph" w:customStyle="1" w:styleId="MittleresRaster1-Akzent21">
    <w:name w:val="Mittleres Raster 1 - Akzent 21"/>
    <w:basedOn w:val="Normal"/>
    <w:link w:val="MittleresRaster1-Akzent21Char"/>
    <w:uiPriority w:val="34"/>
    <w:qFormat/>
    <w:rsid w:val="001B7D81"/>
    <w:pPr>
      <w:spacing w:after="0" w:line="240" w:lineRule="auto"/>
      <w:ind w:left="708"/>
    </w:pPr>
    <w:rPr>
      <w:rFonts w:ascii="Times New Roman" w:eastAsia="Times New Roman" w:hAnsi="Times New Roman" w:cs="Times New Roman"/>
      <w:sz w:val="20"/>
      <w:szCs w:val="20"/>
      <w:lang w:val="en-US" w:eastAsia="de-DE"/>
    </w:rPr>
  </w:style>
  <w:style w:type="character" w:customStyle="1" w:styleId="MittleresRaster1-Akzent21Char">
    <w:name w:val="Mittleres Raster 1 - Akzent 21 Char"/>
    <w:basedOn w:val="Policepardfaut"/>
    <w:link w:val="MittleresRaster1-Akzent21"/>
    <w:uiPriority w:val="34"/>
    <w:rsid w:val="001B7D81"/>
    <w:rPr>
      <w:rFonts w:ascii="Times New Roman" w:eastAsia="Times New Roman" w:hAnsi="Times New Roman" w:cs="Times New Roman"/>
      <w:sz w:val="20"/>
      <w:szCs w:val="20"/>
      <w:lang w:eastAsia="de-DE"/>
    </w:rPr>
  </w:style>
  <w:style w:type="character" w:customStyle="1" w:styleId="Titre3Car">
    <w:name w:val="Titre 3 Car"/>
    <w:basedOn w:val="Policepardfaut"/>
    <w:link w:val="Titre3"/>
    <w:uiPriority w:val="9"/>
    <w:rsid w:val="00D56DD2"/>
    <w:rPr>
      <w:rFonts w:asciiTheme="majorHAnsi" w:eastAsiaTheme="majorEastAsia" w:hAnsiTheme="majorHAnsi" w:cstheme="majorBidi"/>
      <w:color w:val="1F3763" w:themeColor="accent1" w:themeShade="7F"/>
      <w:sz w:val="24"/>
      <w:szCs w:val="24"/>
      <w:lang w:val="fr-FR"/>
    </w:rPr>
  </w:style>
  <w:style w:type="paragraph" w:styleId="Paragraphedeliste">
    <w:name w:val="List Paragraph"/>
    <w:basedOn w:val="Normal"/>
    <w:uiPriority w:val="34"/>
    <w:qFormat/>
    <w:rsid w:val="004766C1"/>
    <w:pPr>
      <w:spacing w:after="0" w:line="240" w:lineRule="auto"/>
      <w:ind w:left="720"/>
    </w:pPr>
    <w:rPr>
      <w:rFonts w:ascii="Calibri" w:hAnsi="Calibri" w:cs="Calibri"/>
      <w:lang w:val="en-US"/>
    </w:rPr>
  </w:style>
  <w:style w:type="table" w:styleId="Grilledutableau">
    <w:name w:val="Table Grid"/>
    <w:basedOn w:val="TableauNormal"/>
    <w:uiPriority w:val="39"/>
    <w:rsid w:val="00B51178"/>
    <w:pPr>
      <w:spacing w:after="0" w:line="240" w:lineRule="auto"/>
    </w:pPr>
    <w:rPr>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6630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ee.fr"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8C513C-7E81-4A3A-91A3-159514343D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3752</Words>
  <Characters>20642</Characters>
  <Application>Microsoft Office Word</Application>
  <DocSecurity>0</DocSecurity>
  <Lines>172</Lines>
  <Paragraphs>48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Joannie LORTET-TIEULENT</dc:creator>
  <cp:keywords/>
  <dc:description/>
  <cp:lastModifiedBy>Olivier Chevreuil</cp:lastModifiedBy>
  <cp:revision>2</cp:revision>
  <dcterms:created xsi:type="dcterms:W3CDTF">2021-02-19T09:31:00Z</dcterms:created>
  <dcterms:modified xsi:type="dcterms:W3CDTF">2021-02-19T09:31:00Z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zotero-version="5.0.92"&gt;&lt;session id="p9fGjYoO"/&gt;&lt;style id="http://www.zotero.org/styles/sage-vancouver" hasBibliography="1" bibliographyStyleHasBeenSet="1"/&gt;&lt;prefs&gt;&lt;pref name="fieldType" value="Field"/&gt;&lt;/prefs&gt;&lt;/data&gt;</vt:lpwstr>
  </property>
</Properties>
</file>