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4B09C" w14:textId="77777777" w:rsidR="004D3E37" w:rsidRPr="00572C0B" w:rsidRDefault="004D3E37" w:rsidP="004D3E37">
      <w:pPr>
        <w:spacing w:after="0" w:line="360" w:lineRule="auto"/>
        <w:rPr>
          <w:rFonts w:ascii="Arial" w:hAnsi="Arial" w:cs="Arial"/>
          <w:b/>
          <w:bCs/>
          <w:lang w:val="en-US"/>
        </w:rPr>
      </w:pPr>
      <w:r w:rsidRPr="00572C0B">
        <w:rPr>
          <w:rFonts w:ascii="Arial" w:hAnsi="Arial" w:cs="Arial"/>
          <w:b/>
          <w:bCs/>
          <w:lang w:val="en-US"/>
        </w:rPr>
        <w:t>Extended data figures</w:t>
      </w:r>
    </w:p>
    <w:p w14:paraId="4BE83513" w14:textId="77777777" w:rsidR="004D3E37" w:rsidRDefault="004D3E37" w:rsidP="004D3E37">
      <w:pPr>
        <w:spacing w:after="0" w:line="360" w:lineRule="auto"/>
        <w:rPr>
          <w:rFonts w:ascii="Arial" w:hAnsi="Arial" w:cs="Arial"/>
          <w:b/>
          <w:bCs/>
        </w:rPr>
      </w:pPr>
      <w:r w:rsidRPr="00572C0B">
        <w:rPr>
          <w:rFonts w:ascii="Arial" w:hAnsi="Arial" w:cs="Arial"/>
          <w:b/>
          <w:bCs/>
          <w:lang w:val="en-US"/>
        </w:rPr>
        <w:t xml:space="preserve">Extended </w:t>
      </w:r>
      <w:r>
        <w:rPr>
          <w:rFonts w:ascii="Arial" w:hAnsi="Arial" w:cs="Arial"/>
          <w:b/>
          <w:bCs/>
          <w:lang w:val="en-US"/>
        </w:rPr>
        <w:t>D</w:t>
      </w:r>
      <w:r w:rsidRPr="00572C0B">
        <w:rPr>
          <w:rFonts w:ascii="Arial" w:hAnsi="Arial" w:cs="Arial"/>
          <w:b/>
          <w:bCs/>
          <w:lang w:val="en-US"/>
        </w:rPr>
        <w:t xml:space="preserve">ata </w:t>
      </w:r>
      <w:r>
        <w:rPr>
          <w:rFonts w:ascii="Arial" w:hAnsi="Arial" w:cs="Arial"/>
          <w:b/>
          <w:bCs/>
          <w:lang w:val="en-US"/>
        </w:rPr>
        <w:t>F</w:t>
      </w:r>
      <w:r w:rsidRPr="00572C0B">
        <w:rPr>
          <w:rFonts w:ascii="Arial" w:hAnsi="Arial" w:cs="Arial"/>
          <w:b/>
          <w:bCs/>
          <w:lang w:val="en-US"/>
        </w:rPr>
        <w:t>ig</w:t>
      </w:r>
      <w:r>
        <w:rPr>
          <w:rFonts w:ascii="Arial" w:hAnsi="Arial" w:cs="Arial"/>
          <w:b/>
          <w:bCs/>
          <w:lang w:val="en-US"/>
        </w:rPr>
        <w:t xml:space="preserve">. </w:t>
      </w:r>
      <w:r w:rsidRPr="00572C0B">
        <w:rPr>
          <w:rFonts w:ascii="Arial" w:hAnsi="Arial" w:cs="Arial"/>
          <w:b/>
          <w:bCs/>
          <w:lang w:val="en-US"/>
        </w:rPr>
        <w:t xml:space="preserve">1 </w:t>
      </w:r>
      <w:r w:rsidRPr="002A6E63">
        <w:rPr>
          <w:rFonts w:ascii="Arial" w:hAnsi="Arial" w:cs="Arial"/>
          <w:b/>
          <w:bCs/>
        </w:rPr>
        <w:t>|</w:t>
      </w:r>
      <w:r w:rsidRPr="00734DA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Patients, samples, and assay.</w:t>
      </w:r>
    </w:p>
    <w:p w14:paraId="26490307" w14:textId="77777777" w:rsidR="004D3E37" w:rsidRDefault="004D3E37" w:rsidP="004D3E37">
      <w:pPr>
        <w:spacing w:after="0" w:line="360" w:lineRule="auto"/>
        <w:rPr>
          <w:rFonts w:ascii="Arial" w:hAnsi="Arial" w:cs="Arial"/>
          <w:lang w:val="en-US"/>
        </w:rPr>
      </w:pPr>
      <w:r w:rsidRPr="00572C0B"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>,</w:t>
      </w:r>
      <w:r w:rsidRPr="00572C0B">
        <w:rPr>
          <w:rFonts w:ascii="Arial" w:hAnsi="Arial" w:cs="Arial"/>
          <w:lang w:val="en-US"/>
        </w:rPr>
        <w:t xml:space="preserve"> Flow chart depicting patient selection process.</w:t>
      </w:r>
      <w:r w:rsidRPr="00572C0B">
        <w:rPr>
          <w:rFonts w:ascii="Arial" w:hAnsi="Arial" w:cs="Arial"/>
          <w:b/>
          <w:bCs/>
          <w:lang w:val="en-US"/>
        </w:rPr>
        <w:t xml:space="preserve"> b</w:t>
      </w:r>
      <w:r>
        <w:rPr>
          <w:rFonts w:ascii="Arial" w:hAnsi="Arial" w:cs="Arial"/>
          <w:lang w:val="en-US"/>
        </w:rPr>
        <w:t>,</w:t>
      </w:r>
      <w:r w:rsidRPr="00572C0B">
        <w:rPr>
          <w:rFonts w:ascii="Arial" w:hAnsi="Arial" w:cs="Arial"/>
          <w:lang w:val="en-US"/>
        </w:rPr>
        <w:t xml:space="preserve"> Distribution of cfDNA inputs in nanograms from the 895 patients included in this study. cfDNA values are log-transformed. </w:t>
      </w:r>
      <w:r w:rsidRPr="00572C0B">
        <w:rPr>
          <w:rFonts w:ascii="Arial" w:hAnsi="Arial" w:cs="Arial"/>
          <w:b/>
          <w:bCs/>
          <w:lang w:val="en-US"/>
        </w:rPr>
        <w:t>c</w:t>
      </w:r>
      <w:r w:rsidRPr="00314416">
        <w:rPr>
          <w:rFonts w:ascii="Arial" w:hAnsi="Arial" w:cs="Arial"/>
          <w:lang w:val="en-US"/>
        </w:rPr>
        <w:t>,</w:t>
      </w:r>
      <w:r w:rsidRPr="00572C0B">
        <w:rPr>
          <w:rFonts w:ascii="Arial" w:hAnsi="Arial" w:cs="Arial"/>
          <w:lang w:val="en-US"/>
        </w:rPr>
        <w:t xml:space="preserve"> TMeF distribution plot by sample type (cancer vs non-cancer) of all tested participant sample replicates near LOD95 and all non-cancer sample replicates from the limit of blank study. Color was customized for each participant with cancer and unicolor was applied for all non-cancer participants. </w:t>
      </w:r>
      <w:r w:rsidRPr="00572C0B">
        <w:rPr>
          <w:rFonts w:ascii="Arial" w:hAnsi="Arial" w:cs="Arial"/>
          <w:b/>
          <w:bCs/>
          <w:lang w:val="en-US"/>
        </w:rPr>
        <w:t>d</w:t>
      </w:r>
      <w:r>
        <w:rPr>
          <w:rFonts w:ascii="Arial" w:hAnsi="Arial" w:cs="Arial"/>
          <w:lang w:val="en-US"/>
        </w:rPr>
        <w:t>,</w:t>
      </w:r>
      <w:r w:rsidRPr="00572C0B">
        <w:rPr>
          <w:rFonts w:ascii="Arial" w:hAnsi="Arial" w:cs="Arial"/>
          <w:lang w:val="en-US"/>
        </w:rPr>
        <w:t xml:space="preserve"> Targeted methylation-based prognostic assay analytical validation results. Analytical sensitivity at LOD95 (140 replicates from 5 LUAD participants at empirical LOD95 level) and analytical specificity (66 replicates from 62 non-cancer participants) were presented.</w:t>
      </w:r>
    </w:p>
    <w:p w14:paraId="5A05F750" w14:textId="77777777" w:rsidR="004D3E37" w:rsidRDefault="004D3E37" w:rsidP="004D3E37">
      <w:pPr>
        <w:spacing w:after="0" w:line="36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1DF7B6D5" wp14:editId="432DCBC4">
            <wp:extent cx="6505575" cy="5101631"/>
            <wp:effectExtent l="0" t="0" r="0" b="0"/>
            <wp:docPr id="121978828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788282" name="Picture 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0793" cy="51057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ED94C0" w14:textId="77777777" w:rsidR="004D3E37" w:rsidRPr="00FF4B46" w:rsidRDefault="004D3E37" w:rsidP="004D3E37">
      <w:pPr>
        <w:spacing w:after="0" w:line="360" w:lineRule="auto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ca, cancer; cfDNA, cell-free DNA; ctDNA, circulating tumor DNA; LOD, limit of detection; LUAD, lung adenocarcinoma; nc, non-cancer; NSCLC, non-small-cell lung cancer; ppm, parts per million; TMeF, </w:t>
      </w:r>
      <w:r w:rsidRPr="00847795">
        <w:rPr>
          <w:rFonts w:ascii="Arial" w:hAnsi="Arial" w:cs="Arial"/>
          <w:sz w:val="18"/>
          <w:szCs w:val="18"/>
          <w:lang w:val="en-US"/>
        </w:rPr>
        <w:t>tumor methylated fraction</w:t>
      </w:r>
      <w:r>
        <w:rPr>
          <w:rFonts w:ascii="Arial" w:hAnsi="Arial" w:cs="Arial"/>
          <w:sz w:val="18"/>
          <w:szCs w:val="18"/>
          <w:lang w:val="en-US"/>
        </w:rPr>
        <w:t>; (c)/(p)TNM, (clinical)/(pathologic) tumor-node-metastasis.</w:t>
      </w:r>
    </w:p>
    <w:p w14:paraId="027057AE" w14:textId="77777777" w:rsidR="004D3E37" w:rsidRPr="00A91E85" w:rsidRDefault="004D3E37" w:rsidP="004D3E37">
      <w:pPr>
        <w:spacing w:after="0" w:line="360" w:lineRule="auto"/>
        <w:rPr>
          <w:rFonts w:ascii="Arial" w:hAnsi="Arial" w:cs="Arial"/>
          <w:b/>
          <w:lang w:val="en-US"/>
        </w:rPr>
      </w:pPr>
      <w:r w:rsidRPr="00A91E85">
        <w:rPr>
          <w:rFonts w:ascii="Arial" w:hAnsi="Arial" w:cs="Arial"/>
          <w:b/>
          <w:lang w:val="en-US"/>
        </w:rPr>
        <w:br w:type="page"/>
      </w:r>
    </w:p>
    <w:p w14:paraId="2AE05E17" w14:textId="77777777" w:rsidR="004D3E37" w:rsidRDefault="004D3E37" w:rsidP="004D3E37">
      <w:pPr>
        <w:spacing w:after="0"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r w:rsidRPr="00A91E85">
        <w:rPr>
          <w:rFonts w:ascii="Arial" w:hAnsi="Arial" w:cs="Arial"/>
          <w:b/>
          <w:lang w:val="en-US"/>
        </w:rPr>
        <w:lastRenderedPageBreak/>
        <w:t xml:space="preserve">Extended </w:t>
      </w:r>
      <w:r>
        <w:rPr>
          <w:rFonts w:ascii="Arial" w:hAnsi="Arial" w:cs="Arial"/>
          <w:b/>
          <w:lang w:val="en-US"/>
        </w:rPr>
        <w:t>D</w:t>
      </w:r>
      <w:r w:rsidRPr="00A91E85">
        <w:rPr>
          <w:rFonts w:ascii="Arial" w:hAnsi="Arial" w:cs="Arial"/>
          <w:b/>
          <w:lang w:val="en-US"/>
        </w:rPr>
        <w:t xml:space="preserve">ata </w:t>
      </w:r>
      <w:r>
        <w:rPr>
          <w:rFonts w:ascii="Arial" w:hAnsi="Arial" w:cs="Arial"/>
          <w:b/>
          <w:lang w:val="en-US"/>
        </w:rPr>
        <w:t>F</w:t>
      </w:r>
      <w:r w:rsidRPr="00A91E85">
        <w:rPr>
          <w:rFonts w:ascii="Arial" w:hAnsi="Arial" w:cs="Arial"/>
          <w:b/>
          <w:lang w:val="en-US"/>
        </w:rPr>
        <w:t>ig</w:t>
      </w:r>
      <w:r>
        <w:rPr>
          <w:rFonts w:ascii="Arial" w:hAnsi="Arial" w:cs="Arial"/>
          <w:b/>
          <w:lang w:val="en-US"/>
        </w:rPr>
        <w:t>.</w:t>
      </w:r>
      <w:r w:rsidRPr="00A91E85">
        <w:rPr>
          <w:rFonts w:ascii="Arial" w:hAnsi="Arial" w:cs="Arial"/>
          <w:b/>
          <w:lang w:val="en-US"/>
        </w:rPr>
        <w:t xml:space="preserve"> 2</w:t>
      </w:r>
      <w:r w:rsidRPr="00572C0B">
        <w:rPr>
          <w:rFonts w:ascii="Arial" w:hAnsi="Arial" w:cs="Arial"/>
          <w:b/>
          <w:bCs/>
          <w:lang w:val="en-US"/>
        </w:rPr>
        <w:t xml:space="preserve"> </w:t>
      </w:r>
      <w:r w:rsidRPr="002A6E63">
        <w:rPr>
          <w:rFonts w:ascii="Arial" w:hAnsi="Arial" w:cs="Arial"/>
          <w:b/>
          <w:bCs/>
        </w:rPr>
        <w:t>|</w:t>
      </w:r>
      <w:r w:rsidRPr="00A91E85">
        <w:rPr>
          <w:rFonts w:ascii="Arial" w:hAnsi="Arial" w:cs="Arial"/>
          <w:b/>
          <w:lang w:val="en-US"/>
        </w:rPr>
        <w:t xml:space="preserve"> </w:t>
      </w:r>
      <w:r w:rsidRPr="009F5496">
        <w:rPr>
          <w:rFonts w:ascii="Arial" w:hAnsi="Arial" w:cs="Arial"/>
          <w:b/>
          <w:lang w:val="en-US"/>
        </w:rPr>
        <w:t>RFS</w:t>
      </w:r>
      <w:r w:rsidRPr="009F5496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 xml:space="preserve"> by clinical stage and ctDNA status.</w:t>
      </w:r>
    </w:p>
    <w:p w14:paraId="7C8674D1" w14:textId="77777777" w:rsidR="004D3E37" w:rsidRPr="00A91E85" w:rsidRDefault="004D3E37" w:rsidP="004D3E37">
      <w:pPr>
        <w:spacing w:after="0"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r>
        <w:rPr>
          <w:rFonts w:ascii="Arial" w:hAnsi="Arial" w:cs="Arial"/>
          <w:color w:val="222222"/>
          <w:shd w:val="clear" w:color="auto" w:fill="FFFFFF"/>
          <w:lang w:val="en-US"/>
        </w:rPr>
        <w:t xml:space="preserve">Kaplan–Meier analysis 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>of RFS in clinical stage I LUAD (stratified by ctDNA status) and clinical stage II LUAD (all comers)</w:t>
      </w:r>
      <w:r>
        <w:rPr>
          <w:rFonts w:ascii="Arial" w:hAnsi="Arial" w:cs="Arial"/>
          <w:color w:val="222222"/>
          <w:shd w:val="clear" w:color="auto" w:fill="FFFFFF"/>
          <w:lang w:val="en-US"/>
        </w:rPr>
        <w:t xml:space="preserve">. </w:t>
      </w:r>
    </w:p>
    <w:p w14:paraId="4D3C6C50" w14:textId="77777777" w:rsidR="004D3E37" w:rsidRDefault="004D3E37" w:rsidP="004D3E37">
      <w:pPr>
        <w:spacing w:after="0"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r w:rsidRPr="00A91E85">
        <w:rPr>
          <w:rFonts w:ascii="Arial" w:hAnsi="Arial" w:cs="Arial"/>
          <w:noProof/>
          <w:color w:val="222222"/>
          <w:shd w:val="clear" w:color="auto" w:fill="FFFFFF"/>
          <w:lang w:val="en-US"/>
        </w:rPr>
        <w:drawing>
          <wp:inline distT="0" distB="0" distL="0" distR="0" wp14:anchorId="4EEEF57E" wp14:editId="404CD411">
            <wp:extent cx="5731510" cy="4139565"/>
            <wp:effectExtent l="0" t="0" r="0" b="635"/>
            <wp:docPr id="20883483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971590" name="Picture 70597159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3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4129B" w14:textId="77777777" w:rsidR="004D3E37" w:rsidRPr="009F5496" w:rsidRDefault="004D3E37" w:rsidP="004D3E37">
      <w:pPr>
        <w:spacing w:after="0" w:line="360" w:lineRule="auto"/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>ctDNA, circulating tumor DNA; LUAD, lung adenocarcinoma; RFS, relapse-free survival.</w:t>
      </w:r>
    </w:p>
    <w:p w14:paraId="771A7A1B" w14:textId="77777777" w:rsidR="004D3E37" w:rsidRPr="00A91E85" w:rsidRDefault="004D3E37" w:rsidP="004D3E37">
      <w:pPr>
        <w:spacing w:after="0" w:line="360" w:lineRule="auto"/>
        <w:rPr>
          <w:rFonts w:ascii="Arial" w:hAnsi="Arial" w:cs="Arial"/>
          <w:b/>
          <w:lang w:val="en-US"/>
        </w:rPr>
      </w:pPr>
      <w:r w:rsidRPr="00A91E85">
        <w:rPr>
          <w:rFonts w:ascii="Arial" w:hAnsi="Arial" w:cs="Arial"/>
          <w:b/>
          <w:lang w:val="en-US"/>
        </w:rPr>
        <w:br w:type="page"/>
      </w:r>
    </w:p>
    <w:p w14:paraId="4DCB47AF" w14:textId="77777777" w:rsidR="004D3E37" w:rsidRDefault="004D3E37" w:rsidP="004D3E37">
      <w:pPr>
        <w:spacing w:after="0"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r w:rsidRPr="00A91E85">
        <w:rPr>
          <w:rFonts w:ascii="Arial" w:hAnsi="Arial" w:cs="Arial"/>
          <w:b/>
          <w:lang w:val="en-US"/>
        </w:rPr>
        <w:lastRenderedPageBreak/>
        <w:t xml:space="preserve">Extended </w:t>
      </w:r>
      <w:r>
        <w:rPr>
          <w:rFonts w:ascii="Arial" w:hAnsi="Arial" w:cs="Arial"/>
          <w:b/>
          <w:lang w:val="en-US"/>
        </w:rPr>
        <w:t>D</w:t>
      </w:r>
      <w:r w:rsidRPr="00A91E85">
        <w:rPr>
          <w:rFonts w:ascii="Arial" w:hAnsi="Arial" w:cs="Arial"/>
          <w:b/>
          <w:lang w:val="en-US"/>
        </w:rPr>
        <w:t xml:space="preserve">ata </w:t>
      </w:r>
      <w:r>
        <w:rPr>
          <w:rFonts w:ascii="Arial" w:hAnsi="Arial" w:cs="Arial"/>
          <w:b/>
          <w:lang w:val="en-US"/>
        </w:rPr>
        <w:t>F</w:t>
      </w:r>
      <w:r w:rsidRPr="00A91E85">
        <w:rPr>
          <w:rFonts w:ascii="Arial" w:hAnsi="Arial" w:cs="Arial"/>
          <w:b/>
          <w:lang w:val="en-US"/>
        </w:rPr>
        <w:t>i</w:t>
      </w:r>
      <w:r w:rsidRPr="003F29DE">
        <w:rPr>
          <w:rFonts w:ascii="Arial" w:hAnsi="Arial" w:cs="Arial"/>
          <w:b/>
          <w:lang w:val="en-US"/>
        </w:rPr>
        <w:t xml:space="preserve">g. 3 </w:t>
      </w:r>
      <w:r w:rsidRPr="003F29DE">
        <w:rPr>
          <w:rFonts w:ascii="Arial" w:hAnsi="Arial" w:cs="Arial"/>
          <w:b/>
        </w:rPr>
        <w:t xml:space="preserve">| </w:t>
      </w:r>
      <w:r w:rsidRPr="003F29DE">
        <w:rPr>
          <w:rFonts w:ascii="Arial" w:hAnsi="Arial" w:cs="Arial"/>
          <w:b/>
          <w:color w:val="222222"/>
          <w:shd w:val="clear" w:color="auto" w:fill="FFFFFF"/>
          <w:lang w:val="en-US"/>
        </w:rPr>
        <w:t xml:space="preserve">Pre-surgical ctDNA associations with clinical outcome in clinical stage I or II non-LUAD histologies. </w:t>
      </w:r>
    </w:p>
    <w:p w14:paraId="0A89D161" w14:textId="77777777" w:rsidR="004D3E37" w:rsidRPr="00A91E85" w:rsidRDefault="004D3E37" w:rsidP="004D3E37">
      <w:pPr>
        <w:spacing w:after="0"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r w:rsidRPr="003F29DE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a,b</w:t>
      </w:r>
      <w:r>
        <w:rPr>
          <w:rFonts w:ascii="Arial" w:hAnsi="Arial" w:cs="Arial"/>
          <w:color w:val="222222"/>
          <w:shd w:val="clear" w:color="auto" w:fill="FFFFFF"/>
          <w:lang w:val="en-US"/>
        </w:rPr>
        <w:t xml:space="preserve">, 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RFS and </w:t>
      </w:r>
      <w:r w:rsidRPr="003F29DE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c,d</w:t>
      </w:r>
      <w:r>
        <w:rPr>
          <w:rFonts w:ascii="Arial" w:hAnsi="Arial" w:cs="Arial"/>
          <w:color w:val="222222"/>
          <w:shd w:val="clear" w:color="auto" w:fill="FFFFFF"/>
          <w:lang w:val="en-US"/>
        </w:rPr>
        <w:t xml:space="preserve">, 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OS were associated with pre-surgical ctDNA status. Of 188 patients with clinical stage I non-LUAD analyzed, 133/188 were ctDNA positive. Of 153 patients with clinical stage II non-LUAD analyzed, 143/153 were ctDNA positive. </w:t>
      </w:r>
      <w:r w:rsidRPr="00A91E85">
        <w:rPr>
          <w:rFonts w:ascii="Arial" w:hAnsi="Arial" w:cs="Arial"/>
          <w:i/>
          <w:iCs/>
          <w:color w:val="222222"/>
          <w:shd w:val="clear" w:color="auto" w:fill="FFFFFF"/>
          <w:lang w:val="en-US"/>
        </w:rPr>
        <w:t>P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-values on Kaplan–Meier graphs represent log-rank </w:t>
      </w:r>
      <w:r w:rsidRPr="00A91E85">
        <w:rPr>
          <w:rFonts w:ascii="Arial" w:hAnsi="Arial" w:cs="Arial"/>
          <w:i/>
          <w:iCs/>
          <w:color w:val="222222"/>
          <w:shd w:val="clear" w:color="auto" w:fill="FFFFFF"/>
          <w:lang w:val="en-US"/>
        </w:rPr>
        <w:t>P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-values. </w:t>
      </w:r>
      <w:r w:rsidRPr="00897B51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e,f</w:t>
      </w:r>
      <w:r>
        <w:rPr>
          <w:rFonts w:ascii="Arial" w:hAnsi="Arial" w:cs="Arial"/>
          <w:color w:val="222222"/>
          <w:shd w:val="clear" w:color="auto" w:fill="FFFFFF"/>
          <w:lang w:val="en-US"/>
        </w:rPr>
        <w:t xml:space="preserve">, 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RFS and </w:t>
      </w:r>
      <w:r w:rsidRPr="00897B51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g,h</w:t>
      </w:r>
      <w:r>
        <w:rPr>
          <w:rFonts w:ascii="Arial" w:hAnsi="Arial" w:cs="Arial"/>
          <w:color w:val="222222"/>
          <w:shd w:val="clear" w:color="auto" w:fill="FFFFFF"/>
          <w:lang w:val="en-US"/>
        </w:rPr>
        <w:t xml:space="preserve">, 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>OS were also associated with TMeF level (above or below the median in ctDNA-positive cases, median TMeF = 52</w:t>
      </w:r>
      <w:r>
        <w:rPr>
          <w:rFonts w:ascii="Arial" w:hAnsi="Arial" w:cs="Arial"/>
          <w:color w:val="222222"/>
          <w:shd w:val="clear" w:color="auto" w:fill="FFFFFF"/>
          <w:lang w:val="en-US"/>
        </w:rPr>
        <w:t xml:space="preserve"> ppm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). </w:t>
      </w:r>
    </w:p>
    <w:p w14:paraId="643230AE" w14:textId="77777777" w:rsidR="004D3E37" w:rsidRPr="00A91E85" w:rsidRDefault="004D3E37" w:rsidP="004D3E37">
      <w:pPr>
        <w:spacing w:after="0"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r w:rsidRPr="00A91E85">
        <w:rPr>
          <w:rFonts w:ascii="Arial" w:hAnsi="Arial" w:cs="Arial"/>
          <w:noProof/>
          <w:lang w:val="en-US"/>
        </w:rPr>
        <w:drawing>
          <wp:inline distT="0" distB="0" distL="0" distR="0" wp14:anchorId="5E705C3A" wp14:editId="178F04EC">
            <wp:extent cx="5572125" cy="7429500"/>
            <wp:effectExtent l="0" t="0" r="9525" b="0"/>
            <wp:docPr id="917736304" name="Graphic 917736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736304" name="Graphic 91773630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3910" cy="7445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2771F" w14:textId="77777777" w:rsidR="004D3E37" w:rsidRDefault="004D3E37" w:rsidP="004D3E37">
      <w:pPr>
        <w:spacing w:after="0" w:line="36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 xml:space="preserve">ctDNA, circulating tumor DNA; LUAD, lung adenocarcinoma; OS, overall survival; RFS, relapse-free survival; </w:t>
      </w:r>
      <w:r>
        <w:rPr>
          <w:rFonts w:ascii="Arial" w:hAnsi="Arial" w:cs="Arial"/>
          <w:sz w:val="18"/>
          <w:szCs w:val="18"/>
          <w:lang w:val="en-US"/>
        </w:rPr>
        <w:t xml:space="preserve">TMeF, </w:t>
      </w:r>
      <w:r w:rsidRPr="00847795">
        <w:rPr>
          <w:rFonts w:ascii="Arial" w:hAnsi="Arial" w:cs="Arial"/>
          <w:sz w:val="18"/>
          <w:szCs w:val="18"/>
          <w:lang w:val="en-US"/>
        </w:rPr>
        <w:t>tumor methylated fraction</w:t>
      </w:r>
      <w:r>
        <w:rPr>
          <w:rFonts w:ascii="Arial" w:hAnsi="Arial" w:cs="Arial"/>
          <w:sz w:val="18"/>
          <w:szCs w:val="18"/>
          <w:lang w:val="en-US"/>
        </w:rPr>
        <w:t>.</w:t>
      </w:r>
      <w:r>
        <w:rPr>
          <w:rFonts w:ascii="Arial" w:hAnsi="Arial" w:cs="Arial"/>
          <w:b/>
          <w:lang w:val="en-US"/>
        </w:rPr>
        <w:br w:type="page"/>
      </w:r>
    </w:p>
    <w:p w14:paraId="4C20E064" w14:textId="77777777" w:rsidR="004D3E37" w:rsidRDefault="004D3E37" w:rsidP="004D3E37">
      <w:pPr>
        <w:spacing w:after="0" w:line="360" w:lineRule="auto"/>
        <w:rPr>
          <w:rFonts w:ascii="Arial" w:hAnsi="Arial" w:cs="Arial"/>
          <w:b/>
        </w:rPr>
      </w:pPr>
      <w:r w:rsidRPr="00A91E85">
        <w:rPr>
          <w:rFonts w:ascii="Arial" w:hAnsi="Arial" w:cs="Arial"/>
          <w:b/>
          <w:lang w:val="en-US"/>
        </w:rPr>
        <w:lastRenderedPageBreak/>
        <w:t xml:space="preserve">Extended </w:t>
      </w:r>
      <w:r>
        <w:rPr>
          <w:rFonts w:ascii="Arial" w:hAnsi="Arial" w:cs="Arial"/>
          <w:b/>
          <w:lang w:val="en-US"/>
        </w:rPr>
        <w:t>D</w:t>
      </w:r>
      <w:r w:rsidRPr="00A91E85">
        <w:rPr>
          <w:rFonts w:ascii="Arial" w:hAnsi="Arial" w:cs="Arial"/>
          <w:b/>
          <w:lang w:val="en-US"/>
        </w:rPr>
        <w:t xml:space="preserve">ata </w:t>
      </w:r>
      <w:r>
        <w:rPr>
          <w:rFonts w:ascii="Arial" w:hAnsi="Arial" w:cs="Arial"/>
          <w:b/>
          <w:lang w:val="en-US"/>
        </w:rPr>
        <w:t>F</w:t>
      </w:r>
      <w:r w:rsidRPr="00A91E85">
        <w:rPr>
          <w:rFonts w:ascii="Arial" w:hAnsi="Arial" w:cs="Arial"/>
          <w:b/>
          <w:lang w:val="en-US"/>
        </w:rPr>
        <w:t>ig</w:t>
      </w:r>
      <w:r>
        <w:rPr>
          <w:rFonts w:ascii="Arial" w:hAnsi="Arial" w:cs="Arial"/>
          <w:b/>
          <w:lang w:val="en-US"/>
        </w:rPr>
        <w:t>.</w:t>
      </w:r>
      <w:r w:rsidRPr="00A91E85">
        <w:rPr>
          <w:rFonts w:ascii="Arial" w:hAnsi="Arial" w:cs="Arial"/>
          <w:b/>
          <w:lang w:val="en-US"/>
        </w:rPr>
        <w:t xml:space="preserve"> 4</w:t>
      </w:r>
      <w:r w:rsidRPr="003F29DE">
        <w:rPr>
          <w:rFonts w:ascii="Arial" w:hAnsi="Arial" w:cs="Arial"/>
          <w:b/>
          <w:lang w:val="en-US"/>
        </w:rPr>
        <w:t xml:space="preserve"> </w:t>
      </w:r>
      <w:r w:rsidRPr="003F29DE">
        <w:rPr>
          <w:rFonts w:ascii="Arial" w:hAnsi="Arial" w:cs="Arial"/>
          <w:b/>
        </w:rPr>
        <w:t xml:space="preserve">| </w:t>
      </w:r>
      <w:r>
        <w:rPr>
          <w:rFonts w:ascii="Arial" w:hAnsi="Arial" w:cs="Arial"/>
          <w:b/>
        </w:rPr>
        <w:t>RFS, OS, and clinical stage I patients by histologic grade.</w:t>
      </w:r>
    </w:p>
    <w:p w14:paraId="244D272F" w14:textId="77777777" w:rsidR="004D3E37" w:rsidRPr="00A91E85" w:rsidRDefault="004D3E37" w:rsidP="004D3E37">
      <w:pPr>
        <w:spacing w:after="0"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>IASLC histologic grade (G1</w:t>
      </w:r>
      <w:r>
        <w:rPr>
          <w:rFonts w:ascii="Arial" w:hAnsi="Arial" w:cs="Arial"/>
          <w:color w:val="222222"/>
          <w:shd w:val="clear" w:color="auto" w:fill="FFFFFF"/>
          <w:lang w:val="en-US"/>
        </w:rPr>
        <w:t>‒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3) associations with </w:t>
      </w:r>
      <w:r w:rsidRPr="001740F2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a</w:t>
      </w:r>
      <w:r>
        <w:rPr>
          <w:rFonts w:ascii="Arial" w:hAnsi="Arial" w:cs="Arial"/>
          <w:color w:val="222222"/>
          <w:shd w:val="clear" w:color="auto" w:fill="FFFFFF"/>
          <w:lang w:val="en-US"/>
        </w:rPr>
        <w:t xml:space="preserve">, 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RFS and </w:t>
      </w:r>
      <w:r w:rsidRPr="001740F2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b</w:t>
      </w:r>
      <w:r>
        <w:rPr>
          <w:rFonts w:ascii="Arial" w:hAnsi="Arial" w:cs="Arial"/>
          <w:color w:val="222222"/>
          <w:shd w:val="clear" w:color="auto" w:fill="FFFFFF"/>
          <w:lang w:val="en-US"/>
        </w:rPr>
        <w:t xml:space="preserve">, 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>OS in 345 patients with pathologically</w:t>
      </w:r>
      <w:r>
        <w:rPr>
          <w:rFonts w:ascii="Arial" w:hAnsi="Arial" w:cs="Arial"/>
          <w:color w:val="222222"/>
          <w:shd w:val="clear" w:color="auto" w:fill="FFFFFF"/>
          <w:lang w:val="en-US"/>
        </w:rPr>
        <w:t xml:space="preserve"> 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confirmed stage I invasive LUAD. </w:t>
      </w:r>
      <w:r w:rsidRPr="00A91E85">
        <w:rPr>
          <w:rFonts w:ascii="Arial" w:hAnsi="Arial" w:cs="Arial"/>
          <w:i/>
          <w:iCs/>
          <w:color w:val="222222"/>
          <w:shd w:val="clear" w:color="auto" w:fill="FFFFFF"/>
          <w:lang w:val="en-US"/>
        </w:rPr>
        <w:t>P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>-value</w:t>
      </w:r>
      <w:r>
        <w:rPr>
          <w:rFonts w:ascii="Arial" w:hAnsi="Arial" w:cs="Arial"/>
          <w:color w:val="222222"/>
          <w:shd w:val="clear" w:color="auto" w:fill="FFFFFF"/>
          <w:lang w:val="en-US"/>
        </w:rPr>
        <w:t>s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 on Kaplan</w:t>
      </w:r>
      <w:r>
        <w:rPr>
          <w:rFonts w:ascii="Arial" w:hAnsi="Arial" w:cs="Arial"/>
          <w:color w:val="222222"/>
          <w:shd w:val="clear" w:color="auto" w:fill="FFFFFF"/>
          <w:lang w:val="en-US"/>
        </w:rPr>
        <w:t>–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Meier graphs represent log-rank </w:t>
      </w:r>
      <w:r w:rsidRPr="00A91E85">
        <w:rPr>
          <w:rFonts w:ascii="Arial" w:hAnsi="Arial" w:cs="Arial"/>
          <w:i/>
          <w:iCs/>
          <w:color w:val="222222"/>
          <w:shd w:val="clear" w:color="auto" w:fill="FFFFFF"/>
          <w:lang w:val="en-US"/>
        </w:rPr>
        <w:t>P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-values. </w:t>
      </w:r>
      <w:r w:rsidRPr="00A91E85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c</w:t>
      </w:r>
      <w:r>
        <w:rPr>
          <w:rFonts w:ascii="Arial" w:hAnsi="Arial" w:cs="Arial"/>
          <w:color w:val="222222"/>
          <w:shd w:val="clear" w:color="auto" w:fill="FFFFFF"/>
          <w:lang w:val="en-US"/>
        </w:rPr>
        <w:t>,</w:t>
      </w:r>
      <w:r w:rsidRPr="00A91E85">
        <w:rPr>
          <w:rFonts w:ascii="Arial" w:hAnsi="Arial" w:cs="Arial"/>
          <w:color w:val="222222"/>
          <w:shd w:val="clear" w:color="auto" w:fill="FFFFFF"/>
          <w:lang w:val="en-US"/>
        </w:rPr>
        <w:t xml:space="preserve"> Bar chart showing that pre-surgical ctDNA-positive status enriches in grade 3 histology. </w:t>
      </w:r>
    </w:p>
    <w:p w14:paraId="3EE4FB29" w14:textId="77777777" w:rsidR="004D3E37" w:rsidRDefault="004D3E37" w:rsidP="004D3E37">
      <w:pPr>
        <w:spacing w:after="0"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r w:rsidRPr="00A91E85">
        <w:rPr>
          <w:rFonts w:ascii="Arial" w:hAnsi="Arial" w:cs="Arial"/>
          <w:b/>
          <w:noProof/>
          <w:lang w:val="en-US"/>
        </w:rPr>
        <w:drawing>
          <wp:inline distT="0" distB="0" distL="0" distR="0" wp14:anchorId="64BCA221" wp14:editId="33A4C85F">
            <wp:extent cx="6416320" cy="6762750"/>
            <wp:effectExtent l="0" t="0" r="0" b="0"/>
            <wp:docPr id="1881562711" name="Graphic 1881562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phic 8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 b="12370"/>
                    <a:stretch/>
                  </pic:blipFill>
                  <pic:spPr bwMode="auto">
                    <a:xfrm>
                      <a:off x="0" y="0"/>
                      <a:ext cx="6424816" cy="6771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841980" w14:textId="77777777" w:rsidR="004D3E37" w:rsidRDefault="004D3E37" w:rsidP="004D3E37">
      <w:pPr>
        <w:spacing w:after="0"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 xml:space="preserve">ctDNA, circulating tumor DNA; G, grade; IASLC, </w:t>
      </w:r>
      <w:r w:rsidRPr="00F64B62"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>International Association for the Study of Lung Cancer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>; LUAD, lung adenocarcinoma; OS, overall survival; RFS, relapse-free survival</w:t>
      </w:r>
      <w:r>
        <w:rPr>
          <w:rFonts w:ascii="Arial" w:hAnsi="Arial" w:cs="Arial"/>
          <w:sz w:val="18"/>
          <w:szCs w:val="18"/>
          <w:lang w:val="en-US"/>
        </w:rPr>
        <w:t>.</w:t>
      </w:r>
      <w:r>
        <w:rPr>
          <w:rFonts w:ascii="Arial" w:hAnsi="Arial" w:cs="Arial"/>
          <w:color w:val="222222"/>
          <w:shd w:val="clear" w:color="auto" w:fill="FFFFFF"/>
          <w:lang w:val="en-US"/>
        </w:rPr>
        <w:br w:type="page"/>
      </w:r>
    </w:p>
    <w:p w14:paraId="73D339E2" w14:textId="77777777" w:rsidR="004D3E37" w:rsidRPr="001433CA" w:rsidRDefault="004D3E37" w:rsidP="004D3E37">
      <w:pPr>
        <w:spacing w:after="0" w:line="360" w:lineRule="auto"/>
        <w:rPr>
          <w:rFonts w:ascii="Arial" w:hAnsi="Arial" w:cs="Arial"/>
          <w:lang w:val="en-US"/>
        </w:rPr>
      </w:pPr>
      <w:r w:rsidRPr="001433CA">
        <w:rPr>
          <w:rFonts w:ascii="Arial" w:hAnsi="Arial" w:cs="Arial"/>
          <w:b/>
          <w:bCs/>
          <w:lang w:val="en-US"/>
        </w:rPr>
        <w:lastRenderedPageBreak/>
        <w:t xml:space="preserve">Extended </w:t>
      </w:r>
      <w:r>
        <w:rPr>
          <w:rFonts w:ascii="Arial" w:hAnsi="Arial" w:cs="Arial"/>
          <w:b/>
          <w:bCs/>
          <w:lang w:val="en-US"/>
        </w:rPr>
        <w:t>D</w:t>
      </w:r>
      <w:r w:rsidRPr="001433CA">
        <w:rPr>
          <w:rFonts w:ascii="Arial" w:hAnsi="Arial" w:cs="Arial"/>
          <w:b/>
          <w:bCs/>
          <w:lang w:val="en-US"/>
        </w:rPr>
        <w:t xml:space="preserve">ata </w:t>
      </w:r>
      <w:r>
        <w:rPr>
          <w:rFonts w:ascii="Arial" w:hAnsi="Arial" w:cs="Arial"/>
          <w:b/>
          <w:bCs/>
          <w:lang w:val="en-US"/>
        </w:rPr>
        <w:t>T</w:t>
      </w:r>
      <w:r w:rsidRPr="001433CA">
        <w:rPr>
          <w:rFonts w:ascii="Arial" w:hAnsi="Arial" w:cs="Arial"/>
          <w:b/>
          <w:bCs/>
          <w:lang w:val="en-US"/>
        </w:rPr>
        <w:t>able 1</w:t>
      </w:r>
      <w:r>
        <w:rPr>
          <w:rFonts w:ascii="Arial" w:hAnsi="Arial" w:cs="Arial"/>
          <w:b/>
          <w:bCs/>
          <w:lang w:val="en-US"/>
        </w:rPr>
        <w:t xml:space="preserve"> </w:t>
      </w:r>
      <w:r w:rsidRPr="003F29DE">
        <w:rPr>
          <w:rFonts w:ascii="Arial" w:hAnsi="Arial" w:cs="Arial"/>
          <w:b/>
        </w:rPr>
        <w:t>|</w:t>
      </w:r>
      <w:r w:rsidRPr="001433CA">
        <w:rPr>
          <w:rFonts w:ascii="Arial" w:hAnsi="Arial" w:cs="Arial"/>
          <w:lang w:val="en-US"/>
        </w:rPr>
        <w:t xml:space="preserve"> </w:t>
      </w:r>
      <w:r w:rsidRPr="00E13AE6">
        <w:rPr>
          <w:rFonts w:ascii="Arial" w:hAnsi="Arial" w:cs="Arial"/>
          <w:b/>
          <w:bCs/>
          <w:lang w:val="en-US"/>
        </w:rPr>
        <w:t>Logistic regression of ctDNA-positive status on tumor volume and avidity</w:t>
      </w:r>
      <w:r>
        <w:rPr>
          <w:rFonts w:ascii="Arial" w:hAnsi="Arial" w:cs="Arial"/>
          <w:lang w:val="en-US"/>
        </w:rPr>
        <w:t xml:space="preserve">. 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2781"/>
        <w:gridCol w:w="839"/>
        <w:gridCol w:w="1389"/>
        <w:gridCol w:w="1181"/>
      </w:tblGrid>
      <w:tr w:rsidR="004D3E37" w:rsidRPr="001433CA" w14:paraId="6CF9E61A" w14:textId="77777777" w:rsidTr="00071DD4">
        <w:trPr>
          <w:tblHeader/>
        </w:trPr>
        <w:tc>
          <w:tcPr>
            <w:tcW w:w="278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0930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Characteristic</w:t>
            </w:r>
          </w:p>
        </w:tc>
        <w:tc>
          <w:tcPr>
            <w:tcW w:w="839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46999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OR</w:t>
            </w:r>
          </w:p>
        </w:tc>
        <w:tc>
          <w:tcPr>
            <w:tcW w:w="1389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4036D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95% CI</w:t>
            </w:r>
          </w:p>
        </w:tc>
        <w:tc>
          <w:tcPr>
            <w:tcW w:w="118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43533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i/>
                <w:iCs/>
                <w:color w:val="000000"/>
                <w:lang w:val="en-US"/>
              </w:rPr>
              <w:t>P</w:t>
            </w: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-value</w:t>
            </w:r>
          </w:p>
        </w:tc>
      </w:tr>
      <w:tr w:rsidR="004D3E37" w:rsidRPr="001433CA" w14:paraId="52D095DC" w14:textId="77777777" w:rsidTr="00071DD4">
        <w:tc>
          <w:tcPr>
            <w:tcW w:w="278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FD67F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Histology</w:t>
            </w:r>
          </w:p>
        </w:tc>
        <w:tc>
          <w:tcPr>
            <w:tcW w:w="839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8A0D3B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389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A4123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11B81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4D3E37" w:rsidRPr="001433CA" w14:paraId="349B883C" w14:textId="77777777" w:rsidTr="00071DD4">
        <w:tc>
          <w:tcPr>
            <w:tcW w:w="27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1FFA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2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LUAD</w:t>
            </w:r>
          </w:p>
        </w:tc>
        <w:tc>
          <w:tcPr>
            <w:tcW w:w="8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95E4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—</w:t>
            </w:r>
          </w:p>
        </w:tc>
        <w:tc>
          <w:tcPr>
            <w:tcW w:w="13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2442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—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2E345D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4D3E37" w:rsidRPr="001433CA" w14:paraId="6868C7D0" w14:textId="77777777" w:rsidTr="00071DD4">
        <w:tc>
          <w:tcPr>
            <w:tcW w:w="27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6455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2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Non-LUAD</w:t>
            </w:r>
          </w:p>
        </w:tc>
        <w:tc>
          <w:tcPr>
            <w:tcW w:w="8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5E980F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5.42</w:t>
            </w:r>
          </w:p>
        </w:tc>
        <w:tc>
          <w:tcPr>
            <w:tcW w:w="13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FC4A8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3.35–8.83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4A13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&lt;0.001</w:t>
            </w:r>
          </w:p>
        </w:tc>
      </w:tr>
      <w:tr w:rsidR="004D3E37" w:rsidRPr="001433CA" w14:paraId="4435E366" w14:textId="77777777" w:rsidTr="00071DD4">
        <w:tc>
          <w:tcPr>
            <w:tcW w:w="27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66FCD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Tumor volume (cm</w:t>
            </w:r>
            <w:r w:rsidRPr="001433CA">
              <w:rPr>
                <w:rFonts w:ascii="Arial" w:eastAsia="Helvetica" w:hAnsi="Arial" w:cs="Arial"/>
                <w:color w:val="000000"/>
                <w:vertAlign w:val="superscript"/>
                <w:lang w:val="en-US"/>
              </w:rPr>
              <w:t>3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)</w:t>
            </w:r>
          </w:p>
        </w:tc>
        <w:tc>
          <w:tcPr>
            <w:tcW w:w="8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BBAE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1.03</w:t>
            </w:r>
          </w:p>
        </w:tc>
        <w:tc>
          <w:tcPr>
            <w:tcW w:w="13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FE08EF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1.01–1.04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A98A9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0.001</w:t>
            </w:r>
          </w:p>
        </w:tc>
      </w:tr>
      <w:tr w:rsidR="004D3E37" w:rsidRPr="001433CA" w14:paraId="6E1D6A50" w14:textId="77777777" w:rsidTr="00071DD4">
        <w:tc>
          <w:tcPr>
            <w:tcW w:w="27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18A28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SUV</w:t>
            </w:r>
            <w:r w:rsidRPr="001433CA">
              <w:rPr>
                <w:rFonts w:ascii="Arial" w:eastAsia="Helvetica" w:hAnsi="Arial" w:cs="Arial"/>
                <w:color w:val="000000"/>
                <w:vertAlign w:val="subscript"/>
                <w:lang w:val="en-US"/>
              </w:rPr>
              <w:t>max</w:t>
            </w:r>
          </w:p>
        </w:tc>
        <w:tc>
          <w:tcPr>
            <w:tcW w:w="839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E130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1.22</w:t>
            </w:r>
          </w:p>
        </w:tc>
        <w:tc>
          <w:tcPr>
            <w:tcW w:w="1389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C95A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1.16–1.29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55A7D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&lt;0.001</w:t>
            </w:r>
          </w:p>
        </w:tc>
      </w:tr>
    </w:tbl>
    <w:p w14:paraId="79847765" w14:textId="77777777" w:rsidR="004D3E37" w:rsidRPr="001433CA" w:rsidRDefault="004D3E37" w:rsidP="004D3E37">
      <w:pPr>
        <w:spacing w:after="0" w:line="360" w:lineRule="auto"/>
        <w:rPr>
          <w:rFonts w:ascii="Arial" w:hAnsi="Arial" w:cs="Arial"/>
          <w:lang w:val="en-US"/>
        </w:rPr>
      </w:pPr>
      <w:r>
        <w:rPr>
          <w:rFonts w:ascii="Arial" w:eastAsia="Helvetica" w:hAnsi="Arial" w:cs="Arial"/>
          <w:color w:val="000000"/>
          <w:sz w:val="18"/>
          <w:szCs w:val="18"/>
          <w:lang w:val="en-US"/>
        </w:rPr>
        <w:t xml:space="preserve">CI, confidence interval; ctDNA, circulating tumor DNA; LUAD, lung adenocarcinoma; </w:t>
      </w:r>
      <w:r w:rsidRPr="001433CA">
        <w:rPr>
          <w:rFonts w:ascii="Arial" w:eastAsia="Helvetica" w:hAnsi="Arial" w:cs="Arial"/>
          <w:color w:val="000000"/>
          <w:sz w:val="18"/>
          <w:szCs w:val="18"/>
          <w:lang w:val="en-US"/>
        </w:rPr>
        <w:t>OR, odds ratio</w:t>
      </w:r>
      <w:r>
        <w:rPr>
          <w:rFonts w:ascii="Arial" w:eastAsia="Helvetica" w:hAnsi="Arial" w:cs="Arial"/>
          <w:color w:val="000000"/>
          <w:sz w:val="18"/>
          <w:szCs w:val="18"/>
          <w:lang w:val="en-US"/>
        </w:rPr>
        <w:t>; SUV,</w:t>
      </w:r>
      <w:r w:rsidRPr="001433CA"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 xml:space="preserve"> 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>s</w:t>
      </w:r>
      <w:r w:rsidRPr="00656E7B"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>tandardized uptake value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>.</w:t>
      </w:r>
    </w:p>
    <w:p w14:paraId="69E5531A" w14:textId="77777777" w:rsidR="004D3E37" w:rsidRDefault="004D3E37" w:rsidP="004D3E37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1DB1FE90" w14:textId="77777777" w:rsidR="004D3E37" w:rsidRPr="001433CA" w:rsidRDefault="004D3E37" w:rsidP="004D3E37">
      <w:pPr>
        <w:spacing w:after="0" w:line="360" w:lineRule="auto"/>
        <w:rPr>
          <w:rFonts w:ascii="Arial" w:hAnsi="Arial" w:cs="Arial"/>
          <w:b/>
          <w:bCs/>
          <w:lang w:val="en-US"/>
        </w:rPr>
      </w:pPr>
      <w:r w:rsidRPr="001433CA">
        <w:rPr>
          <w:rFonts w:ascii="Arial" w:hAnsi="Arial" w:cs="Arial"/>
          <w:b/>
          <w:bCs/>
          <w:color w:val="000000" w:themeColor="text1"/>
          <w:lang w:val="en-US"/>
        </w:rPr>
        <w:lastRenderedPageBreak/>
        <w:t xml:space="preserve">Extended </w:t>
      </w:r>
      <w:r>
        <w:rPr>
          <w:rFonts w:ascii="Arial" w:hAnsi="Arial" w:cs="Arial"/>
          <w:b/>
          <w:bCs/>
          <w:color w:val="000000" w:themeColor="text1"/>
          <w:lang w:val="en-US"/>
        </w:rPr>
        <w:t>D</w:t>
      </w:r>
      <w:r w:rsidRPr="001433CA">
        <w:rPr>
          <w:rFonts w:ascii="Arial" w:hAnsi="Arial" w:cs="Arial"/>
          <w:b/>
          <w:bCs/>
          <w:color w:val="000000" w:themeColor="text1"/>
          <w:lang w:val="en-US"/>
        </w:rPr>
        <w:t xml:space="preserve">ata </w:t>
      </w:r>
      <w:r>
        <w:rPr>
          <w:rFonts w:ascii="Arial" w:hAnsi="Arial" w:cs="Arial"/>
          <w:b/>
          <w:bCs/>
          <w:color w:val="000000" w:themeColor="text1"/>
          <w:lang w:val="en-US"/>
        </w:rPr>
        <w:t>T</w:t>
      </w:r>
      <w:r w:rsidRPr="001433CA">
        <w:rPr>
          <w:rFonts w:ascii="Arial" w:hAnsi="Arial" w:cs="Arial"/>
          <w:b/>
          <w:bCs/>
          <w:color w:val="000000" w:themeColor="text1"/>
          <w:lang w:val="en-US"/>
        </w:rPr>
        <w:t>able 2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Pr="003F29DE">
        <w:rPr>
          <w:rFonts w:ascii="Arial" w:hAnsi="Arial" w:cs="Arial"/>
          <w:b/>
        </w:rPr>
        <w:t>|</w:t>
      </w:r>
      <w:r w:rsidRPr="001433CA">
        <w:rPr>
          <w:rFonts w:ascii="Arial" w:hAnsi="Arial" w:cs="Arial"/>
          <w:b/>
          <w:bCs/>
          <w:lang w:val="en-US"/>
        </w:rPr>
        <w:t xml:space="preserve"> </w:t>
      </w:r>
      <w:r w:rsidRPr="001433CA">
        <w:rPr>
          <w:rFonts w:ascii="Arial" w:hAnsi="Arial" w:cs="Arial"/>
          <w:b/>
          <w:bCs/>
          <w:color w:val="000000" w:themeColor="text1"/>
          <w:lang w:val="en-US"/>
        </w:rPr>
        <w:t>Associations between ctDNA status and upstaging in clinical stage I–II NSCLC</w:t>
      </w:r>
      <w:r>
        <w:rPr>
          <w:rFonts w:ascii="Arial" w:hAnsi="Arial" w:cs="Arial"/>
          <w:b/>
          <w:bCs/>
          <w:color w:val="000000" w:themeColor="text1"/>
          <w:lang w:val="en-US"/>
        </w:rPr>
        <w:t>.</w:t>
      </w:r>
    </w:p>
    <w:tbl>
      <w:tblPr>
        <w:tblW w:w="0" w:type="auto"/>
        <w:jc w:val="center"/>
        <w:tblCellMar>
          <w:left w:w="57" w:type="dxa"/>
          <w:right w:w="57" w:type="dxa"/>
        </w:tblCellMar>
        <w:tblLook w:val="0420" w:firstRow="1" w:lastRow="0" w:firstColumn="0" w:lastColumn="0" w:noHBand="0" w:noVBand="1"/>
      </w:tblPr>
      <w:tblGrid>
        <w:gridCol w:w="992"/>
        <w:gridCol w:w="1274"/>
        <w:gridCol w:w="1413"/>
        <w:gridCol w:w="617"/>
        <w:gridCol w:w="590"/>
        <w:gridCol w:w="2321"/>
        <w:gridCol w:w="2272"/>
        <w:gridCol w:w="987"/>
      </w:tblGrid>
      <w:tr w:rsidR="004D3E37" w:rsidRPr="001433CA" w14:paraId="1B6942DA" w14:textId="77777777" w:rsidTr="00071DD4">
        <w:trPr>
          <w:trHeight w:val="50"/>
          <w:tblHeader/>
          <w:jc w:val="center"/>
        </w:trPr>
        <w:tc>
          <w:tcPr>
            <w:tcW w:w="3679" w:type="dxa"/>
            <w:gridSpan w:val="3"/>
            <w:tcBorders>
              <w:top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FA64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07" w:type="dxa"/>
            <w:gridSpan w:val="2"/>
            <w:tcBorders>
              <w:top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B45C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right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Upstaged</w:t>
            </w:r>
          </w:p>
        </w:tc>
        <w:tc>
          <w:tcPr>
            <w:tcW w:w="5580" w:type="dxa"/>
            <w:gridSpan w:val="3"/>
            <w:tcBorders>
              <w:top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044B9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</w:tr>
      <w:tr w:rsidR="004D3E37" w:rsidRPr="001433CA" w14:paraId="43C2CB0F" w14:textId="77777777" w:rsidTr="00071DD4">
        <w:trPr>
          <w:trHeight w:val="225"/>
          <w:tblHeader/>
          <w:jc w:val="center"/>
        </w:trPr>
        <w:tc>
          <w:tcPr>
            <w:tcW w:w="992" w:type="dxa"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67046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 xml:space="preserve"> </w:t>
            </w:r>
          </w:p>
        </w:tc>
        <w:tc>
          <w:tcPr>
            <w:tcW w:w="1274" w:type="dxa"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E076B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Histology</w:t>
            </w:r>
          </w:p>
        </w:tc>
        <w:tc>
          <w:tcPr>
            <w:tcW w:w="1413" w:type="dxa"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F737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 xml:space="preserve">ctDNA test </w:t>
            </w:r>
          </w:p>
        </w:tc>
        <w:tc>
          <w:tcPr>
            <w:tcW w:w="617" w:type="dxa"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E06D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Yes</w:t>
            </w:r>
          </w:p>
        </w:tc>
        <w:tc>
          <w:tcPr>
            <w:tcW w:w="590" w:type="dxa"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8E85B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No</w:t>
            </w:r>
          </w:p>
        </w:tc>
        <w:tc>
          <w:tcPr>
            <w:tcW w:w="2321" w:type="dxa"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6AFE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Sensitivity (95% CI)</w:t>
            </w:r>
          </w:p>
        </w:tc>
        <w:tc>
          <w:tcPr>
            <w:tcW w:w="2272" w:type="dxa"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7A171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Specificity (95% CI)</w:t>
            </w:r>
          </w:p>
        </w:tc>
        <w:tc>
          <w:tcPr>
            <w:tcW w:w="0" w:type="auto"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9223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b/>
                <w:i/>
                <w:iCs/>
                <w:color w:val="000000"/>
                <w:lang w:val="en-US"/>
              </w:rPr>
              <w:t>P-</w:t>
            </w:r>
            <w:r w:rsidRPr="001433CA">
              <w:rPr>
                <w:rFonts w:ascii="Arial" w:eastAsia="Helvetica" w:hAnsi="Arial" w:cs="Arial"/>
                <w:b/>
                <w:color w:val="000000"/>
                <w:lang w:val="en-US"/>
              </w:rPr>
              <w:t>value</w:t>
            </w:r>
          </w:p>
        </w:tc>
      </w:tr>
      <w:tr w:rsidR="004D3E37" w:rsidRPr="001433CA" w14:paraId="0EBEE26F" w14:textId="77777777" w:rsidTr="00071DD4">
        <w:trPr>
          <w:trHeight w:val="50"/>
          <w:jc w:val="center"/>
        </w:trPr>
        <w:tc>
          <w:tcPr>
            <w:tcW w:w="992" w:type="dxa"/>
            <w:vMerge w:val="restart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4DCF0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Clinical stage I</w:t>
            </w:r>
          </w:p>
        </w:tc>
        <w:tc>
          <w:tcPr>
            <w:tcW w:w="1274" w:type="dxa"/>
            <w:vMerge w:val="restart"/>
            <w:tcBorders>
              <w:top w:val="single" w:sz="12" w:space="0" w:color="666666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C988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All</w:t>
            </w:r>
          </w:p>
        </w:tc>
        <w:tc>
          <w:tcPr>
            <w:tcW w:w="1413" w:type="dxa"/>
            <w:tcBorders>
              <w:top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4A633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Positive</w:t>
            </w:r>
          </w:p>
        </w:tc>
        <w:tc>
          <w:tcPr>
            <w:tcW w:w="617" w:type="dxa"/>
            <w:tcBorders>
              <w:top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8B19E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70</w:t>
            </w:r>
          </w:p>
        </w:tc>
        <w:tc>
          <w:tcPr>
            <w:tcW w:w="590" w:type="dxa"/>
            <w:tcBorders>
              <w:top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2D1FD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118</w:t>
            </w:r>
          </w:p>
        </w:tc>
        <w:tc>
          <w:tcPr>
            <w:tcW w:w="2321" w:type="dxa"/>
            <w:vMerge w:val="restart"/>
            <w:tcBorders>
              <w:top w:val="single" w:sz="12" w:space="0" w:color="666666"/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EBDB6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0.58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(0.49–0.67)</w:t>
            </w:r>
          </w:p>
        </w:tc>
        <w:tc>
          <w:tcPr>
            <w:tcW w:w="2272" w:type="dxa"/>
            <w:vMerge w:val="restart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0D10D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0.75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(0.71–0.79)</w:t>
            </w:r>
          </w:p>
        </w:tc>
        <w:tc>
          <w:tcPr>
            <w:tcW w:w="0" w:type="auto"/>
            <w:vMerge w:val="restart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0A2B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&lt;0.001</w:t>
            </w:r>
          </w:p>
        </w:tc>
      </w:tr>
      <w:tr w:rsidR="004D3E37" w:rsidRPr="001433CA" w14:paraId="6D3934BA" w14:textId="77777777" w:rsidTr="00071DD4">
        <w:trPr>
          <w:trHeight w:val="65"/>
          <w:jc w:val="center"/>
        </w:trPr>
        <w:tc>
          <w:tcPr>
            <w:tcW w:w="992" w:type="dxa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1665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  <w:vMerge/>
            <w:tcBorders>
              <w:left w:val="none" w:sz="0" w:space="0" w:color="000000"/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0AD70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413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A8F9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Negative</w:t>
            </w:r>
          </w:p>
        </w:tc>
        <w:tc>
          <w:tcPr>
            <w:tcW w:w="617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4192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51</w:t>
            </w:r>
          </w:p>
        </w:tc>
        <w:tc>
          <w:tcPr>
            <w:tcW w:w="590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4EF71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363</w:t>
            </w:r>
          </w:p>
        </w:tc>
        <w:tc>
          <w:tcPr>
            <w:tcW w:w="2321" w:type="dxa"/>
            <w:vMerge/>
            <w:tcBorders>
              <w:left w:val="nil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27D79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272" w:type="dxa"/>
            <w:vMerge/>
            <w:tcBorders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4400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vMerge/>
            <w:tcBorders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8574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4D3E37" w:rsidRPr="001433CA" w14:paraId="5CBC1F33" w14:textId="77777777" w:rsidTr="00071DD4">
        <w:trPr>
          <w:trHeight w:val="65"/>
          <w:jc w:val="center"/>
        </w:trPr>
        <w:tc>
          <w:tcPr>
            <w:tcW w:w="992" w:type="dxa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8C00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  <w:vMerge w:val="restart"/>
            <w:tcBorders>
              <w:top w:val="single" w:sz="6" w:space="0" w:color="666666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B9B2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LUAD</w:t>
            </w:r>
          </w:p>
        </w:tc>
        <w:tc>
          <w:tcPr>
            <w:tcW w:w="1413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BA2A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Positive</w:t>
            </w:r>
          </w:p>
        </w:tc>
        <w:tc>
          <w:tcPr>
            <w:tcW w:w="617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C7E3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20</w:t>
            </w:r>
          </w:p>
        </w:tc>
        <w:tc>
          <w:tcPr>
            <w:tcW w:w="590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30D19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35</w:t>
            </w:r>
          </w:p>
        </w:tc>
        <w:tc>
          <w:tcPr>
            <w:tcW w:w="2321" w:type="dxa"/>
            <w:vMerge w:val="restart"/>
            <w:tcBorders>
              <w:top w:val="single" w:sz="6" w:space="0" w:color="666666"/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A6181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0.31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(0.20–0.44)</w:t>
            </w:r>
          </w:p>
        </w:tc>
        <w:tc>
          <w:tcPr>
            <w:tcW w:w="2272" w:type="dxa"/>
            <w:vMerge w:val="restart"/>
            <w:tcBorders>
              <w:top w:val="single" w:sz="6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B8181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0.90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(0.86–0.93)</w:t>
            </w:r>
          </w:p>
        </w:tc>
        <w:tc>
          <w:tcPr>
            <w:tcW w:w="0" w:type="auto"/>
            <w:vMerge w:val="restart"/>
            <w:tcBorders>
              <w:top w:val="single" w:sz="6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4249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&lt;0.001</w:t>
            </w:r>
          </w:p>
        </w:tc>
      </w:tr>
      <w:tr w:rsidR="004D3E37" w:rsidRPr="001433CA" w14:paraId="4DBA05DE" w14:textId="77777777" w:rsidTr="00071DD4">
        <w:trPr>
          <w:trHeight w:val="65"/>
          <w:jc w:val="center"/>
        </w:trPr>
        <w:tc>
          <w:tcPr>
            <w:tcW w:w="992" w:type="dxa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5D4C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  <w:vMerge/>
            <w:tcBorders>
              <w:left w:val="none" w:sz="0" w:space="0" w:color="000000"/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09A5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413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D5FA8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Negative</w:t>
            </w:r>
          </w:p>
        </w:tc>
        <w:tc>
          <w:tcPr>
            <w:tcW w:w="617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B9363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44</w:t>
            </w:r>
          </w:p>
        </w:tc>
        <w:tc>
          <w:tcPr>
            <w:tcW w:w="590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21143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315</w:t>
            </w:r>
          </w:p>
        </w:tc>
        <w:tc>
          <w:tcPr>
            <w:tcW w:w="2321" w:type="dxa"/>
            <w:vMerge/>
            <w:tcBorders>
              <w:left w:val="nil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CF813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272" w:type="dxa"/>
            <w:vMerge/>
            <w:tcBorders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5EEB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vMerge/>
            <w:tcBorders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385A0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4D3E37" w:rsidRPr="001433CA" w14:paraId="7BFBC3A6" w14:textId="77777777" w:rsidTr="00071DD4">
        <w:trPr>
          <w:trHeight w:val="65"/>
          <w:jc w:val="center"/>
        </w:trPr>
        <w:tc>
          <w:tcPr>
            <w:tcW w:w="992" w:type="dxa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FFF1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  <w:vMerge w:val="restart"/>
            <w:tcBorders>
              <w:top w:val="single" w:sz="6" w:space="0" w:color="666666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950A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Non-LUAD</w:t>
            </w:r>
          </w:p>
        </w:tc>
        <w:tc>
          <w:tcPr>
            <w:tcW w:w="1413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7B490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Positive</w:t>
            </w:r>
          </w:p>
        </w:tc>
        <w:tc>
          <w:tcPr>
            <w:tcW w:w="617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6E46F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50</w:t>
            </w:r>
          </w:p>
        </w:tc>
        <w:tc>
          <w:tcPr>
            <w:tcW w:w="590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6545B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83</w:t>
            </w:r>
          </w:p>
        </w:tc>
        <w:tc>
          <w:tcPr>
            <w:tcW w:w="2321" w:type="dxa"/>
            <w:vMerge w:val="restart"/>
            <w:tcBorders>
              <w:top w:val="single" w:sz="6" w:space="0" w:color="666666"/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F25AF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0.88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(0.76–0.95)</w:t>
            </w:r>
          </w:p>
        </w:tc>
        <w:tc>
          <w:tcPr>
            <w:tcW w:w="2272" w:type="dxa"/>
            <w:vMerge w:val="restart"/>
            <w:tcBorders>
              <w:top w:val="single" w:sz="6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5A9B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0.37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(0.28–0.46)</w:t>
            </w:r>
          </w:p>
        </w:tc>
        <w:tc>
          <w:tcPr>
            <w:tcW w:w="0" w:type="auto"/>
            <w:vMerge w:val="restart"/>
            <w:tcBorders>
              <w:top w:val="single" w:sz="6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D27C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0.0014</w:t>
            </w:r>
          </w:p>
        </w:tc>
      </w:tr>
      <w:tr w:rsidR="004D3E37" w:rsidRPr="001433CA" w14:paraId="02F2A869" w14:textId="77777777" w:rsidTr="00071DD4">
        <w:trPr>
          <w:trHeight w:val="65"/>
          <w:jc w:val="center"/>
        </w:trPr>
        <w:tc>
          <w:tcPr>
            <w:tcW w:w="992" w:type="dxa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DA6A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  <w:vMerge/>
            <w:tcBorders>
              <w:left w:val="none" w:sz="0" w:space="0" w:color="000000"/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F052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413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54A4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Negative</w:t>
            </w:r>
          </w:p>
        </w:tc>
        <w:tc>
          <w:tcPr>
            <w:tcW w:w="617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FB74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7</w:t>
            </w:r>
          </w:p>
        </w:tc>
        <w:tc>
          <w:tcPr>
            <w:tcW w:w="590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7C436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48</w:t>
            </w:r>
          </w:p>
        </w:tc>
        <w:tc>
          <w:tcPr>
            <w:tcW w:w="2321" w:type="dxa"/>
            <w:vMerge/>
            <w:tcBorders>
              <w:left w:val="nil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F312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272" w:type="dxa"/>
            <w:vMerge/>
            <w:tcBorders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D371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vMerge/>
            <w:tcBorders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6BD8E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4D3E37" w:rsidRPr="001433CA" w14:paraId="5C7EC299" w14:textId="77777777" w:rsidTr="00071DD4">
        <w:trPr>
          <w:trHeight w:val="65"/>
          <w:jc w:val="center"/>
        </w:trPr>
        <w:tc>
          <w:tcPr>
            <w:tcW w:w="992" w:type="dxa"/>
            <w:vMerge w:val="restart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383F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Clinical stage II</w:t>
            </w:r>
          </w:p>
        </w:tc>
        <w:tc>
          <w:tcPr>
            <w:tcW w:w="1274" w:type="dxa"/>
            <w:vMerge w:val="restart"/>
            <w:tcBorders>
              <w:top w:val="single" w:sz="6" w:space="0" w:color="666666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B2B18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All</w:t>
            </w:r>
          </w:p>
        </w:tc>
        <w:tc>
          <w:tcPr>
            <w:tcW w:w="1413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132AD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Positive</w:t>
            </w:r>
          </w:p>
        </w:tc>
        <w:tc>
          <w:tcPr>
            <w:tcW w:w="617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1F389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63</w:t>
            </w:r>
          </w:p>
        </w:tc>
        <w:tc>
          <w:tcPr>
            <w:tcW w:w="590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89CB3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146</w:t>
            </w:r>
          </w:p>
        </w:tc>
        <w:tc>
          <w:tcPr>
            <w:tcW w:w="2321" w:type="dxa"/>
            <w:vMerge w:val="restart"/>
            <w:tcBorders>
              <w:top w:val="single" w:sz="6" w:space="0" w:color="666666"/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02EE8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0.74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(0.63–0.83)</w:t>
            </w:r>
          </w:p>
        </w:tc>
        <w:tc>
          <w:tcPr>
            <w:tcW w:w="2272" w:type="dxa"/>
            <w:vMerge w:val="restart"/>
            <w:tcBorders>
              <w:top w:val="single" w:sz="6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456BF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0.30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(0.24–0.37)</w:t>
            </w:r>
          </w:p>
        </w:tc>
        <w:tc>
          <w:tcPr>
            <w:tcW w:w="0" w:type="auto"/>
            <w:vMerge w:val="restart"/>
            <w:tcBorders>
              <w:top w:val="single" w:sz="6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0A1DF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0.59</w:t>
            </w:r>
          </w:p>
        </w:tc>
      </w:tr>
      <w:tr w:rsidR="004D3E37" w:rsidRPr="001433CA" w14:paraId="4396289E" w14:textId="77777777" w:rsidTr="00071DD4">
        <w:trPr>
          <w:trHeight w:val="50"/>
          <w:jc w:val="center"/>
        </w:trPr>
        <w:tc>
          <w:tcPr>
            <w:tcW w:w="992" w:type="dxa"/>
            <w:vMerge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C589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  <w:vMerge/>
            <w:tcBorders>
              <w:left w:val="none" w:sz="0" w:space="0" w:color="000000"/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ED5F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413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276E3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Negative</w:t>
            </w:r>
          </w:p>
        </w:tc>
        <w:tc>
          <w:tcPr>
            <w:tcW w:w="617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7B15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22</w:t>
            </w:r>
          </w:p>
        </w:tc>
        <w:tc>
          <w:tcPr>
            <w:tcW w:w="590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C20E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62</w:t>
            </w:r>
          </w:p>
        </w:tc>
        <w:tc>
          <w:tcPr>
            <w:tcW w:w="2321" w:type="dxa"/>
            <w:vMerge/>
            <w:tcBorders>
              <w:left w:val="nil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6981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272" w:type="dxa"/>
            <w:vMerge/>
            <w:tcBorders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51B8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vMerge/>
            <w:tcBorders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D98A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4D3E37" w:rsidRPr="001433CA" w14:paraId="58E8C4F9" w14:textId="77777777" w:rsidTr="00071DD4">
        <w:trPr>
          <w:trHeight w:val="65"/>
          <w:jc w:val="center"/>
        </w:trPr>
        <w:tc>
          <w:tcPr>
            <w:tcW w:w="992" w:type="dxa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10917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  <w:vMerge w:val="restart"/>
            <w:tcBorders>
              <w:top w:val="single" w:sz="6" w:space="0" w:color="666666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6B370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LUAD</w:t>
            </w:r>
          </w:p>
        </w:tc>
        <w:tc>
          <w:tcPr>
            <w:tcW w:w="1413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EA1BB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Positive</w:t>
            </w:r>
          </w:p>
        </w:tc>
        <w:tc>
          <w:tcPr>
            <w:tcW w:w="617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F7F2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17</w:t>
            </w:r>
          </w:p>
        </w:tc>
        <w:tc>
          <w:tcPr>
            <w:tcW w:w="590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E4E6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49</w:t>
            </w:r>
          </w:p>
        </w:tc>
        <w:tc>
          <w:tcPr>
            <w:tcW w:w="2321" w:type="dxa"/>
            <w:vMerge w:val="restart"/>
            <w:tcBorders>
              <w:top w:val="single" w:sz="6" w:space="0" w:color="666666"/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22DE3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0.49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(0.31–0.66)</w:t>
            </w:r>
          </w:p>
        </w:tc>
        <w:tc>
          <w:tcPr>
            <w:tcW w:w="2272" w:type="dxa"/>
            <w:vMerge w:val="restart"/>
            <w:tcBorders>
              <w:top w:val="single" w:sz="6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75C5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0.53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(0.43–0.63)</w:t>
            </w:r>
          </w:p>
        </w:tc>
        <w:tc>
          <w:tcPr>
            <w:tcW w:w="0" w:type="auto"/>
            <w:vMerge w:val="restart"/>
            <w:tcBorders>
              <w:top w:val="single" w:sz="6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D7D3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1</w:t>
            </w:r>
          </w:p>
        </w:tc>
      </w:tr>
      <w:tr w:rsidR="004D3E37" w:rsidRPr="001433CA" w14:paraId="751F4FDF" w14:textId="77777777" w:rsidTr="00071DD4">
        <w:trPr>
          <w:trHeight w:val="65"/>
          <w:jc w:val="center"/>
        </w:trPr>
        <w:tc>
          <w:tcPr>
            <w:tcW w:w="992" w:type="dxa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96E2E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  <w:vMerge/>
            <w:tcBorders>
              <w:left w:val="none" w:sz="0" w:space="0" w:color="000000"/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4BFDD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413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1638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Negative</w:t>
            </w:r>
          </w:p>
        </w:tc>
        <w:tc>
          <w:tcPr>
            <w:tcW w:w="617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39DCF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18</w:t>
            </w:r>
          </w:p>
        </w:tc>
        <w:tc>
          <w:tcPr>
            <w:tcW w:w="590" w:type="dxa"/>
            <w:tcBorders>
              <w:bottom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A0CC0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56</w:t>
            </w:r>
          </w:p>
        </w:tc>
        <w:tc>
          <w:tcPr>
            <w:tcW w:w="2321" w:type="dxa"/>
            <w:vMerge/>
            <w:tcBorders>
              <w:left w:val="nil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81A03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272" w:type="dxa"/>
            <w:vMerge/>
            <w:tcBorders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AAD06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vMerge/>
            <w:tcBorders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C810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4D3E37" w:rsidRPr="001433CA" w14:paraId="01800372" w14:textId="77777777" w:rsidTr="00071DD4">
        <w:trPr>
          <w:trHeight w:val="65"/>
          <w:jc w:val="center"/>
        </w:trPr>
        <w:tc>
          <w:tcPr>
            <w:tcW w:w="992" w:type="dxa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805F0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  <w:vMerge w:val="restart"/>
            <w:tcBorders>
              <w:top w:val="single" w:sz="6" w:space="0" w:color="666666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89FA1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Non-LUAD</w:t>
            </w:r>
          </w:p>
        </w:tc>
        <w:tc>
          <w:tcPr>
            <w:tcW w:w="1413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0BC5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Positive</w:t>
            </w:r>
          </w:p>
        </w:tc>
        <w:tc>
          <w:tcPr>
            <w:tcW w:w="617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6B2DE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46</w:t>
            </w:r>
          </w:p>
        </w:tc>
        <w:tc>
          <w:tcPr>
            <w:tcW w:w="590" w:type="dxa"/>
            <w:tcBorders>
              <w:top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8D73F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97</w:t>
            </w:r>
          </w:p>
        </w:tc>
        <w:tc>
          <w:tcPr>
            <w:tcW w:w="2321" w:type="dxa"/>
            <w:vMerge w:val="restart"/>
            <w:tcBorders>
              <w:top w:val="single" w:sz="6" w:space="0" w:color="666666"/>
              <w:left w:val="nil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67B9B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0.92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(0.81–0.98)</w:t>
            </w:r>
          </w:p>
        </w:tc>
        <w:tc>
          <w:tcPr>
            <w:tcW w:w="2272" w:type="dxa"/>
            <w:vMerge w:val="restart"/>
            <w:tcBorders>
              <w:top w:val="single" w:sz="6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0BC7A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0.06</w:t>
            </w:r>
            <w:r>
              <w:rPr>
                <w:rFonts w:ascii="Arial" w:eastAsia="Helvetica" w:hAnsi="Arial" w:cs="Arial"/>
                <w:color w:val="000000"/>
                <w:lang w:val="en-US"/>
              </w:rPr>
              <w:t xml:space="preserve"> </w:t>
            </w: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(0.02–0.12)</w:t>
            </w:r>
          </w:p>
        </w:tc>
        <w:tc>
          <w:tcPr>
            <w:tcW w:w="0" w:type="auto"/>
            <w:vMerge w:val="restart"/>
            <w:tcBorders>
              <w:top w:val="single" w:sz="6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B85F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0.87</w:t>
            </w:r>
          </w:p>
        </w:tc>
      </w:tr>
      <w:tr w:rsidR="004D3E37" w:rsidRPr="001433CA" w14:paraId="1C96218D" w14:textId="77777777" w:rsidTr="00071DD4">
        <w:trPr>
          <w:trHeight w:val="65"/>
          <w:jc w:val="center"/>
        </w:trPr>
        <w:tc>
          <w:tcPr>
            <w:tcW w:w="992" w:type="dxa"/>
            <w:vMerge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0D94C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  <w:vMerge/>
            <w:tcBorders>
              <w:left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D0AE2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1413" w:type="dxa"/>
            <w:tcBorders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7500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Negative</w:t>
            </w:r>
          </w:p>
        </w:tc>
        <w:tc>
          <w:tcPr>
            <w:tcW w:w="617" w:type="dxa"/>
            <w:tcBorders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56565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4</w:t>
            </w:r>
          </w:p>
        </w:tc>
        <w:tc>
          <w:tcPr>
            <w:tcW w:w="590" w:type="dxa"/>
            <w:tcBorders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FB98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jc w:val="center"/>
              <w:rPr>
                <w:rFonts w:ascii="Arial" w:hAnsi="Arial" w:cs="Arial"/>
                <w:lang w:val="en-US"/>
              </w:rPr>
            </w:pPr>
            <w:r w:rsidRPr="001433CA">
              <w:rPr>
                <w:rFonts w:ascii="Arial" w:eastAsia="Helvetica" w:hAnsi="Arial" w:cs="Arial"/>
                <w:color w:val="000000"/>
                <w:lang w:val="en-US"/>
              </w:rPr>
              <w:t>6</w:t>
            </w:r>
          </w:p>
        </w:tc>
        <w:tc>
          <w:tcPr>
            <w:tcW w:w="2321" w:type="dxa"/>
            <w:vMerge/>
            <w:tcBorders>
              <w:left w:val="nil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CF764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2272" w:type="dxa"/>
            <w:vMerge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B6350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vMerge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DBF70" w14:textId="77777777" w:rsidR="004D3E37" w:rsidRPr="001433CA" w:rsidRDefault="004D3E37" w:rsidP="00071D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2" w:right="102"/>
              <w:rPr>
                <w:rFonts w:ascii="Arial" w:hAnsi="Arial" w:cs="Arial"/>
                <w:lang w:val="en-US"/>
              </w:rPr>
            </w:pPr>
          </w:p>
        </w:tc>
      </w:tr>
    </w:tbl>
    <w:p w14:paraId="4691ED59" w14:textId="77777777" w:rsidR="004D3E37" w:rsidRPr="001433CA" w:rsidRDefault="004D3E37" w:rsidP="004D3E37">
      <w:pPr>
        <w:spacing w:after="0" w:line="360" w:lineRule="auto"/>
        <w:rPr>
          <w:rFonts w:ascii="Arial" w:hAnsi="Arial" w:cs="Arial"/>
          <w:lang w:val="en-US"/>
        </w:rPr>
      </w:pPr>
      <w:r>
        <w:rPr>
          <w:rFonts w:ascii="Arial" w:eastAsia="Helvetica" w:hAnsi="Arial" w:cs="Arial"/>
          <w:color w:val="000000"/>
          <w:sz w:val="18"/>
          <w:szCs w:val="18"/>
          <w:lang w:val="en-US"/>
        </w:rPr>
        <w:t>CI, confidence interval; ctDNA, circulating tumor DNA; LUAD, lung adenocarcinoma; NSCLC, non-small-cell lung cancer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>.</w:t>
      </w:r>
    </w:p>
    <w:p w14:paraId="674B41FA" w14:textId="77777777" w:rsidR="004D3E37" w:rsidRDefault="004D3E37" w:rsidP="004D3E37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br w:type="page"/>
      </w:r>
    </w:p>
    <w:p w14:paraId="4D2EFB12" w14:textId="77777777" w:rsidR="004D3E37" w:rsidRPr="001433CA" w:rsidRDefault="004D3E37" w:rsidP="004D3E37">
      <w:pPr>
        <w:spacing w:after="0" w:line="360" w:lineRule="auto"/>
        <w:rPr>
          <w:rFonts w:ascii="Arial" w:hAnsi="Arial" w:cs="Arial"/>
          <w:b/>
          <w:bCs/>
          <w:lang w:val="en-US"/>
        </w:rPr>
      </w:pPr>
      <w:r w:rsidRPr="001433CA">
        <w:rPr>
          <w:rFonts w:ascii="Arial" w:hAnsi="Arial" w:cs="Arial"/>
          <w:b/>
          <w:bCs/>
          <w:lang w:val="en-US"/>
        </w:rPr>
        <w:lastRenderedPageBreak/>
        <w:t xml:space="preserve">Extended </w:t>
      </w:r>
      <w:r>
        <w:rPr>
          <w:rFonts w:ascii="Arial" w:hAnsi="Arial" w:cs="Arial"/>
          <w:b/>
          <w:bCs/>
          <w:lang w:val="en-US"/>
        </w:rPr>
        <w:t>D</w:t>
      </w:r>
      <w:r w:rsidRPr="001433CA">
        <w:rPr>
          <w:rFonts w:ascii="Arial" w:hAnsi="Arial" w:cs="Arial"/>
          <w:b/>
          <w:bCs/>
          <w:lang w:val="en-US"/>
        </w:rPr>
        <w:t xml:space="preserve">ata </w:t>
      </w:r>
      <w:r>
        <w:rPr>
          <w:rFonts w:ascii="Arial" w:hAnsi="Arial" w:cs="Arial"/>
          <w:b/>
          <w:bCs/>
          <w:lang w:val="en-US"/>
        </w:rPr>
        <w:t>T</w:t>
      </w:r>
      <w:r w:rsidRPr="001433CA">
        <w:rPr>
          <w:rFonts w:ascii="Arial" w:hAnsi="Arial" w:cs="Arial"/>
          <w:b/>
          <w:bCs/>
          <w:lang w:val="en-US"/>
        </w:rPr>
        <w:t>able 3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Pr="003F29DE">
        <w:rPr>
          <w:rFonts w:ascii="Arial" w:hAnsi="Arial" w:cs="Arial"/>
          <w:b/>
        </w:rPr>
        <w:t>|</w:t>
      </w:r>
      <w:r>
        <w:rPr>
          <w:rFonts w:ascii="Arial" w:hAnsi="Arial" w:cs="Arial"/>
          <w:b/>
        </w:rPr>
        <w:t xml:space="preserve"> </w:t>
      </w:r>
      <w:r w:rsidRPr="001433CA">
        <w:rPr>
          <w:rFonts w:ascii="Arial" w:hAnsi="Arial" w:cs="Arial"/>
          <w:b/>
          <w:bCs/>
          <w:lang w:val="en-US"/>
        </w:rPr>
        <w:t xml:space="preserve">Multivariable Cox regression analyses of pre-surgical ctDNA status, adjusted for stage sub-category, age, gender, and smoking status, and association with RFS and OS in clinical stage I LUAD. </w:t>
      </w:r>
      <w:r w:rsidRPr="00B0789F">
        <w:rPr>
          <w:rFonts w:ascii="Arial" w:hAnsi="Arial" w:cs="Arial"/>
          <w:lang w:val="en-US"/>
        </w:rPr>
        <w:t>N</w:t>
      </w:r>
      <w:r>
        <w:rPr>
          <w:rFonts w:ascii="Arial" w:hAnsi="Arial" w:cs="Arial"/>
          <w:lang w:val="en-US"/>
        </w:rPr>
        <w:t xml:space="preserve"> </w:t>
      </w:r>
      <w:r w:rsidRPr="00B0789F">
        <w:rPr>
          <w:rFonts w:ascii="Arial" w:hAnsi="Arial" w:cs="Arial"/>
          <w:lang w:val="en-US"/>
        </w:rPr>
        <w:t>=</w:t>
      </w:r>
      <w:r>
        <w:rPr>
          <w:rFonts w:ascii="Arial" w:hAnsi="Arial" w:cs="Arial"/>
          <w:lang w:val="en-US"/>
        </w:rPr>
        <w:t xml:space="preserve"> </w:t>
      </w:r>
      <w:r w:rsidRPr="00B0789F">
        <w:rPr>
          <w:rFonts w:ascii="Arial" w:hAnsi="Arial" w:cs="Arial"/>
          <w:lang w:val="en-US"/>
        </w:rPr>
        <w:t>414 patients subject to analysis.</w:t>
      </w:r>
    </w:p>
    <w:tbl>
      <w:tblPr>
        <w:tblStyle w:val="GridTable1Light-Accent1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6"/>
        <w:gridCol w:w="668"/>
        <w:gridCol w:w="851"/>
        <w:gridCol w:w="1402"/>
        <w:gridCol w:w="980"/>
        <w:gridCol w:w="729"/>
        <w:gridCol w:w="1402"/>
        <w:gridCol w:w="980"/>
      </w:tblGrid>
      <w:tr w:rsidR="004D3E37" w:rsidRPr="001433CA" w14:paraId="59B4DEB7" w14:textId="77777777" w:rsidTr="00071D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62C6EB" w14:textId="77777777" w:rsidR="004D3E37" w:rsidRPr="001433CA" w:rsidRDefault="004D3E37" w:rsidP="00071DD4">
            <w:pPr>
              <w:spacing w:line="360" w:lineRule="auto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75F5FE" w14:textId="77777777" w:rsidR="004D3E37" w:rsidRPr="001433CA" w:rsidRDefault="004D3E37" w:rsidP="00071DD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6AFC33" w14:textId="77777777" w:rsidR="004D3E37" w:rsidRPr="001433CA" w:rsidRDefault="004D3E37" w:rsidP="00071DD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RFS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59EBB9" w14:textId="77777777" w:rsidR="004D3E37" w:rsidRPr="001433CA" w:rsidRDefault="004D3E37" w:rsidP="00071DD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OS</w:t>
            </w:r>
          </w:p>
        </w:tc>
      </w:tr>
      <w:tr w:rsidR="004D3E37" w:rsidRPr="001433CA" w14:paraId="632F91E1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D0E967" w14:textId="77777777" w:rsidR="004D3E37" w:rsidRPr="001433CA" w:rsidRDefault="004D3E37" w:rsidP="00071DD4">
            <w:pPr>
              <w:spacing w:line="360" w:lineRule="auto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96BC82" w14:textId="77777777" w:rsidR="004D3E37" w:rsidRPr="001433CA" w:rsidRDefault="004D3E37" w:rsidP="00071DD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CA8186" w14:textId="77777777" w:rsidR="004D3E37" w:rsidRPr="001433CA" w:rsidRDefault="004D3E37" w:rsidP="00071DD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  <w:t>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D7B14B" w14:textId="77777777" w:rsidR="004D3E37" w:rsidRPr="001433CA" w:rsidRDefault="004D3E37" w:rsidP="00071DD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B96C40" w14:textId="77777777" w:rsidR="004D3E37" w:rsidRPr="001433CA" w:rsidRDefault="004D3E37" w:rsidP="00071DD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i/>
                <w:iCs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b/>
                <w:bCs/>
                <w:i/>
                <w:iCs/>
                <w:color w:val="333333"/>
                <w:lang w:val="en-US"/>
              </w:rPr>
              <w:t>P</w:t>
            </w:r>
            <w:r w:rsidRPr="001433CA"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7AC391" w14:textId="77777777" w:rsidR="004D3E37" w:rsidRPr="001433CA" w:rsidRDefault="004D3E37" w:rsidP="00071DD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i/>
                <w:iCs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  <w:t>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AD763A" w14:textId="77777777" w:rsidR="004D3E37" w:rsidRPr="001433CA" w:rsidRDefault="004D3E37" w:rsidP="00071DD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i/>
                <w:iCs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9D8622" w14:textId="77777777" w:rsidR="004D3E37" w:rsidRPr="001433CA" w:rsidRDefault="004D3E37" w:rsidP="00071DD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b/>
                <w:bCs/>
                <w:i/>
                <w:iCs/>
                <w:color w:val="333333"/>
                <w:lang w:val="en-US"/>
              </w:rPr>
              <w:t>P</w:t>
            </w:r>
            <w:r w:rsidRPr="001433CA">
              <w:rPr>
                <w:rFonts w:ascii="Arial" w:eastAsia="Times New Roman" w:hAnsi="Arial" w:cs="Arial"/>
                <w:b/>
                <w:bCs/>
                <w:color w:val="333333"/>
                <w:lang w:val="en-US"/>
              </w:rPr>
              <w:t>-value</w:t>
            </w:r>
          </w:p>
        </w:tc>
      </w:tr>
      <w:tr w:rsidR="004D3E37" w:rsidRPr="001433CA" w14:paraId="6EE9C973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2FC422D" w14:textId="77777777" w:rsidR="004D3E37" w:rsidRPr="001433CA" w:rsidRDefault="004D3E37" w:rsidP="00071DD4">
            <w:pPr>
              <w:spacing w:line="360" w:lineRule="auto"/>
              <w:ind w:right="15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Pre-surgical ctDNA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837F3C" w14:textId="77777777" w:rsidR="004D3E37" w:rsidRPr="001433CA" w:rsidRDefault="004D3E37" w:rsidP="00071DD4">
            <w:pPr>
              <w:spacing w:line="360" w:lineRule="auto"/>
              <w:ind w:left="150" w:right="1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B4CDD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491E3A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19533C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9B1F87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156C4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E727AB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&lt;0.001</w:t>
            </w:r>
          </w:p>
        </w:tc>
      </w:tr>
      <w:tr w:rsidR="004D3E37" w:rsidRPr="001433CA" w14:paraId="59DB3133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E22436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Negative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393E098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1BEACE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0BB487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1199B21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60ECAC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64585A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9E602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  <w:tr w:rsidR="004D3E37" w:rsidRPr="001433CA" w14:paraId="33F0B0CB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FB4F7D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Positive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253FB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09DFAA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2.83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D65F9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1.63–4.92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1DEDD0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902C1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6.17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2B76CF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2.57–14.80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79D517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  <w:tr w:rsidR="004D3E37" w:rsidRPr="001433CA" w14:paraId="2354ECE9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BB22A1" w14:textId="77777777" w:rsidR="004D3E37" w:rsidRPr="001433CA" w:rsidRDefault="004D3E37" w:rsidP="00071DD4">
            <w:pPr>
              <w:spacing w:line="360" w:lineRule="auto"/>
              <w:ind w:right="15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Clinical stage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2C4DE3" w14:textId="77777777" w:rsidR="004D3E37" w:rsidRPr="001433CA" w:rsidRDefault="004D3E37" w:rsidP="00071DD4">
            <w:pPr>
              <w:spacing w:line="360" w:lineRule="auto"/>
              <w:ind w:left="150" w:right="1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B4B750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E9343C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858FCE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EA998B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113CD2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56F72B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0.060</w:t>
            </w:r>
          </w:p>
        </w:tc>
      </w:tr>
      <w:tr w:rsidR="004D3E37" w:rsidRPr="001433CA" w14:paraId="65468E26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117AA5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IA1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59ABF32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CA59DEE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A89937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70AA03B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B1DBB1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45CA20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6809A3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  <w:tr w:rsidR="004D3E37" w:rsidRPr="001433CA" w14:paraId="1DDD64D3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EC84323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IA2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C46ECE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DBAD8D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9DD67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0.20–15.70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393759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0D19F0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A8E66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0.02–5.68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9BCB92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  <w:tr w:rsidR="004D3E37" w:rsidRPr="001433CA" w14:paraId="25C7FDF3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71C2C0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IA3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492043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4675C0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7.83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C41EFB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1.06–57.70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959599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98D3D2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02CC79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0.27–16.70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6B05BC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  <w:tr w:rsidR="004D3E37" w:rsidRPr="001433CA" w14:paraId="534CCCD3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66287A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IB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2B719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B17A35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13.60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AA209E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1.84–101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B20D50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B58D9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2.95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05469A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0.36–24.20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7241A2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  <w:tr w:rsidR="004D3E37" w:rsidRPr="001433CA" w14:paraId="235F49EF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5AA6EC" w14:textId="77777777" w:rsidR="004D3E37" w:rsidRPr="001433CA" w:rsidRDefault="004D3E37" w:rsidP="00071DD4">
            <w:pPr>
              <w:spacing w:line="360" w:lineRule="auto"/>
              <w:ind w:right="15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C297A1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414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3FEAE9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23A3F1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0.99–1.04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55305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2C40A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B88E8C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0.96–1.05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4168D2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&gt;0.9</w:t>
            </w:r>
          </w:p>
        </w:tc>
      </w:tr>
      <w:tr w:rsidR="004D3E37" w:rsidRPr="001433CA" w14:paraId="72612C0C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A4233A" w14:textId="77777777" w:rsidR="004D3E37" w:rsidRPr="001433CA" w:rsidRDefault="004D3E37" w:rsidP="00071DD4">
            <w:pPr>
              <w:spacing w:line="360" w:lineRule="auto"/>
              <w:ind w:right="150"/>
              <w:rPr>
                <w:rFonts w:ascii="Arial" w:eastAsia="Times New Roman" w:hAnsi="Arial" w:cs="Arial"/>
                <w:color w:val="333333"/>
                <w:lang w:val="en-US"/>
              </w:rPr>
            </w:pPr>
            <w:r>
              <w:rPr>
                <w:rFonts w:ascii="Arial" w:eastAsia="Times New Roman" w:hAnsi="Arial" w:cs="Arial"/>
                <w:color w:val="333333"/>
                <w:lang w:val="en-US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8E833E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1BD181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40F843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80F73D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998AEB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73363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F36B1F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0.3</w:t>
            </w:r>
          </w:p>
        </w:tc>
      </w:tr>
      <w:tr w:rsidR="004D3E37" w:rsidRPr="001433CA" w14:paraId="7D79361C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E3B383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6A696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5A72D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FF403C2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F41140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AA0F42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183217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46716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  <w:tr w:rsidR="004D3E37" w:rsidRPr="001433CA" w14:paraId="49A4A7E0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1DCB21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068DAD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75F3C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15C92C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0.63–2.85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D37972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E6E9CD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A419B7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0.54–6.40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7B5CD1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  <w:tr w:rsidR="004D3E37" w:rsidRPr="001433CA" w14:paraId="77A06989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C91012" w14:textId="77777777" w:rsidR="004D3E37" w:rsidRPr="001433CA" w:rsidRDefault="004D3E37" w:rsidP="00071DD4">
            <w:pPr>
              <w:spacing w:line="360" w:lineRule="auto"/>
              <w:ind w:right="15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Smoking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7A5842" w14:textId="77777777" w:rsidR="004D3E37" w:rsidRPr="001433CA" w:rsidRDefault="004D3E37" w:rsidP="00071DD4">
            <w:pPr>
              <w:spacing w:line="360" w:lineRule="auto"/>
              <w:ind w:left="150" w:right="1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98AE05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58F20C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4A9658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767B97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7056F3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C4954D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0.10</w:t>
            </w:r>
          </w:p>
        </w:tc>
      </w:tr>
      <w:tr w:rsidR="004D3E37" w:rsidRPr="001433CA" w14:paraId="20E34B0A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FFDA04F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Current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FFBD423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060999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AB05FA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112808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39771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99E84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708D23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  <w:tr w:rsidR="004D3E37" w:rsidRPr="001433CA" w14:paraId="52BD49DA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C27182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Former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896EE1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6F81BB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7D0D48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0.81–3.20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176009C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0211C0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6FCB9E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0.96–11.7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E33036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  <w:tr w:rsidR="004D3E37" w:rsidRPr="001433CA" w14:paraId="0432CBB4" w14:textId="77777777" w:rsidTr="00071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C71FEA" w14:textId="77777777" w:rsidR="004D3E37" w:rsidRPr="001433CA" w:rsidRDefault="004D3E37" w:rsidP="00071DD4">
            <w:pPr>
              <w:spacing w:line="360" w:lineRule="auto"/>
              <w:ind w:left="150" w:right="150"/>
              <w:rPr>
                <w:rFonts w:ascii="Arial" w:eastAsia="Times New Roman" w:hAnsi="Arial" w:cs="Arial"/>
                <w:b w:val="0"/>
                <w:bCs w:val="0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Never smoker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20272D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8BDB04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5DF110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0.65–3.61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F5A6A9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0795E8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0ED06E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  <w:r w:rsidRPr="001433CA">
              <w:rPr>
                <w:rFonts w:ascii="Arial" w:eastAsia="Times New Roman" w:hAnsi="Arial" w:cs="Arial"/>
                <w:color w:val="333333"/>
                <w:lang w:val="en-US"/>
              </w:rPr>
              <w:t>0.81–16.6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5EDC35" w14:textId="77777777" w:rsidR="004D3E37" w:rsidRPr="001433CA" w:rsidRDefault="004D3E37" w:rsidP="00071DD4">
            <w:pPr>
              <w:spacing w:line="360" w:lineRule="auto"/>
              <w:ind w:left="150" w:right="1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lang w:val="en-US"/>
              </w:rPr>
            </w:pPr>
          </w:p>
        </w:tc>
      </w:tr>
    </w:tbl>
    <w:p w14:paraId="2BBD61D4" w14:textId="77777777" w:rsidR="004D3E37" w:rsidRPr="001433CA" w:rsidRDefault="004D3E37" w:rsidP="004D3E37">
      <w:pPr>
        <w:spacing w:after="0" w:line="360" w:lineRule="auto"/>
        <w:rPr>
          <w:rFonts w:ascii="Arial" w:hAnsi="Arial" w:cs="Arial"/>
          <w:lang w:val="en-US"/>
        </w:rPr>
      </w:pPr>
      <w:r>
        <w:rPr>
          <w:rFonts w:ascii="Arial" w:eastAsia="Helvetica" w:hAnsi="Arial" w:cs="Arial"/>
          <w:color w:val="000000"/>
          <w:sz w:val="18"/>
          <w:szCs w:val="18"/>
          <w:lang w:val="en-US"/>
        </w:rPr>
        <w:t>CI, confidence interval; ctDNA, circulating tumor DNA; HR, hazard ratio; LUAD, lung adenocarcinoma; NSCLC, non-small-cell lung cancer; OS, overall survival; RFS, relapse-free survival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  <w:lang w:val="en-US"/>
        </w:rPr>
        <w:t>.</w:t>
      </w:r>
    </w:p>
    <w:p w14:paraId="1B5EC6A7" w14:textId="77777777" w:rsidR="004D3E37" w:rsidRPr="001433CA" w:rsidRDefault="004D3E37" w:rsidP="004D3E37">
      <w:pPr>
        <w:spacing w:after="0" w:line="360" w:lineRule="auto"/>
        <w:rPr>
          <w:rFonts w:ascii="Arial" w:hAnsi="Arial" w:cs="Arial"/>
          <w:lang w:val="en-US"/>
        </w:rPr>
      </w:pPr>
    </w:p>
    <w:p w14:paraId="0401B42A" w14:textId="77777777" w:rsidR="00755780" w:rsidRDefault="00755780"/>
    <w:sectPr w:rsidR="00755780" w:rsidSect="009A7937">
      <w:pgSz w:w="11906" w:h="16838"/>
      <w:pgMar w:top="720" w:right="720" w:bottom="720" w:left="72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E37"/>
    <w:rsid w:val="004D3E37"/>
    <w:rsid w:val="00755780"/>
    <w:rsid w:val="00857596"/>
    <w:rsid w:val="009A7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720D6"/>
  <w15:chartTrackingRefBased/>
  <w15:docId w15:val="{CE521A4D-B021-44BA-9FB5-05FCB900D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E37"/>
    <w:rPr>
      <w:rFonts w:ascii="Calibri" w:eastAsia="Calibri" w:hAnsi="Calibri" w:cs="Calibri"/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-Accent1">
    <w:name w:val="Grid Table 1 Light Accent 1"/>
    <w:basedOn w:val="TableNormal"/>
    <w:uiPriority w:val="46"/>
    <w:rsid w:val="004D3E37"/>
    <w:pPr>
      <w:spacing w:after="0" w:line="240" w:lineRule="auto"/>
    </w:pPr>
    <w:rPr>
      <w:rFonts w:eastAsiaTheme="minorEastAsia"/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neNumber">
    <w:name w:val="line number"/>
    <w:basedOn w:val="DefaultParagraphFont"/>
    <w:uiPriority w:val="99"/>
    <w:semiHidden/>
    <w:unhideWhenUsed/>
    <w:rsid w:val="004D3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sv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740</Words>
  <Characters>4219</Characters>
  <Application>Microsoft Office Word</Application>
  <DocSecurity>0</DocSecurity>
  <Lines>35</Lines>
  <Paragraphs>9</Paragraphs>
  <ScaleCrop>false</ScaleCrop>
  <Company>Springer Nature</Company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2024-04-01T05:10:00Z</dcterms:created>
  <dcterms:modified xsi:type="dcterms:W3CDTF">2024-04-01T05:10:00Z</dcterms:modified>
</cp:coreProperties>
</file>