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B154AA" w14:textId="77777777" w:rsidR="00C44CD5" w:rsidRPr="00C44CD5" w:rsidRDefault="00C44CD5" w:rsidP="00C44CD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22222"/>
          <w:lang w:eastAsia="pt-BR"/>
          <w14:ligatures w14:val="none"/>
        </w:rPr>
      </w:pPr>
      <w:r w:rsidRPr="00C44CD5">
        <w:rPr>
          <w:rFonts w:ascii="Arial" w:eastAsia="Times New Roman" w:hAnsi="Arial" w:cs="Arial"/>
          <w:b/>
          <w:bCs/>
          <w:color w:val="222222"/>
          <w:lang w:eastAsia="pt-BR"/>
          <w14:ligatures w14:val="none"/>
        </w:rPr>
        <w:t>Supplementary Information</w:t>
      </w:r>
    </w:p>
    <w:p w14:paraId="7CE102E0" w14:textId="25995BC4" w:rsidR="00C44CD5" w:rsidRPr="00B44519" w:rsidRDefault="00C44CD5" w:rsidP="00C44CD5">
      <w:pPr>
        <w:spacing w:line="360" w:lineRule="auto"/>
        <w:ind w:firstLine="708"/>
        <w:jc w:val="both"/>
        <w:rPr>
          <w:rFonts w:ascii="Arial" w:eastAsia="Calibri" w:hAnsi="Arial" w:cs="Arial"/>
        </w:rPr>
      </w:pPr>
      <w:r w:rsidRPr="00B44519">
        <w:rPr>
          <w:rFonts w:ascii="Arial" w:eastAsia="Arial" w:hAnsi="Arial" w:cs="Arial"/>
          <w:shd w:val="clear" w:color="auto" w:fill="FFFFFF"/>
          <w:lang w:bidi="en-US"/>
        </w:rPr>
        <w:t>Limits</w:t>
      </w:r>
      <w:r w:rsidRPr="00B44519">
        <w:rPr>
          <w:rFonts w:ascii="Arial" w:hAnsi="Arial" w:cs="Arial"/>
          <w:shd w:val="clear" w:color="auto" w:fill="FFFFFF"/>
        </w:rPr>
        <w:t xml:space="preserve"> of detection and quantitation for soil samples were calculated </w:t>
      </w:r>
      <w:r w:rsidRPr="00B44519">
        <w:rPr>
          <w:rFonts w:ascii="Arial" w:eastAsia="Arial" w:hAnsi="Arial" w:cs="Arial"/>
          <w:shd w:val="clear" w:color="auto" w:fill="FFFFFF"/>
          <w:lang w:bidi="en-US"/>
        </w:rPr>
        <w:t>by</w:t>
      </w:r>
      <w:r w:rsidRPr="00B44519">
        <w:rPr>
          <w:rFonts w:ascii="Arial" w:hAnsi="Arial" w:cs="Arial"/>
          <w:shd w:val="clear" w:color="auto" w:fill="FFFFFF"/>
        </w:rPr>
        <w:t xml:space="preserve"> Eq. 1 and Eq. 2, respectively </w:t>
      </w:r>
      <w:r w:rsidRPr="00B44519">
        <w:rPr>
          <w:rFonts w:ascii="Arial" w:hAnsi="Arial" w:cs="Arial"/>
          <w:color w:val="000000"/>
          <w:shd w:val="clear" w:color="auto" w:fill="FFFFFF"/>
        </w:rPr>
        <w:t xml:space="preserve">where </w:t>
      </w:r>
      <m:oMath>
        <m:r>
          <w:rPr>
            <w:rFonts w:ascii="Cambria Math" w:hAnsi="Cambria Math" w:cs="Arial"/>
            <w:sz w:val="24"/>
          </w:rPr>
          <m:t>LoD</m:t>
        </m:r>
      </m:oMath>
      <w:r w:rsidRPr="00B44519">
        <w:rPr>
          <w:rFonts w:ascii="Arial" w:hAnsi="Arial" w:cs="Arial"/>
          <w:color w:val="000000"/>
          <w:shd w:val="clear" w:color="auto" w:fill="FFFFFF"/>
        </w:rPr>
        <w:t xml:space="preserve"> is</w:t>
      </w:r>
      <w:r w:rsidRPr="00B44519">
        <w:rPr>
          <w:rFonts w:ascii="Arial" w:eastAsia="Arial" w:hAnsi="Arial" w:cs="Arial"/>
          <w:color w:val="000000"/>
          <w:shd w:val="clear" w:color="auto" w:fill="FFFFFF"/>
        </w:rPr>
        <w:t xml:space="preserve"> the</w:t>
      </w:r>
      <w:r w:rsidRPr="00B44519">
        <w:rPr>
          <w:rFonts w:ascii="Arial" w:hAnsi="Arial" w:cs="Arial"/>
          <w:color w:val="000000"/>
          <w:shd w:val="clear" w:color="auto" w:fill="FFFFFF"/>
        </w:rPr>
        <w:t xml:space="preserve"> limit of detection, </w:t>
      </w:r>
      <m:oMath>
        <m:sSub>
          <m:sSubPr>
            <m:ctrlPr>
              <w:rPr>
                <w:rFonts w:ascii="Cambria Math" w:hAnsi="Cambria Math" w:cs="Arial"/>
                <w:i/>
                <w:sz w:val="24"/>
              </w:rPr>
            </m:ctrlPr>
          </m:sSubPr>
          <m:e>
            <m:r>
              <w:rPr>
                <w:rFonts w:ascii="Cambria Math" w:hAnsi="Cambria Math" w:cs="Arial"/>
                <w:sz w:val="24"/>
              </w:rPr>
              <m:t>SD</m:t>
            </m:r>
          </m:e>
          <m:sub>
            <m:r>
              <w:rPr>
                <w:rFonts w:ascii="Cambria Math" w:hAnsi="Cambria Math" w:cs="Arial"/>
                <w:sz w:val="24"/>
              </w:rPr>
              <m:t>blank</m:t>
            </m:r>
          </m:sub>
        </m:sSub>
      </m:oMath>
      <w:r w:rsidRPr="00B44519">
        <w:rPr>
          <w:rFonts w:ascii="Arial" w:hAnsi="Arial" w:cs="Arial"/>
          <w:color w:val="000000"/>
          <w:shd w:val="clear" w:color="auto" w:fill="FFFFFF"/>
        </w:rPr>
        <w:t xml:space="preserve"> is the blank standard deviation, </w:t>
      </w:r>
      <m:oMath>
        <m:r>
          <w:rPr>
            <w:rFonts w:ascii="Cambria Math" w:hAnsi="Cambria Math" w:cs="Arial"/>
            <w:sz w:val="24"/>
          </w:rPr>
          <m:t>b</m:t>
        </m:r>
      </m:oMath>
      <w:r w:rsidRPr="00B44519">
        <w:rPr>
          <w:rFonts w:ascii="Arial" w:hAnsi="Arial" w:cs="Arial"/>
          <w:sz w:val="24"/>
        </w:rPr>
        <w:t xml:space="preserve"> </w:t>
      </w:r>
      <w:r w:rsidRPr="00B44519">
        <w:rPr>
          <w:rFonts w:ascii="Arial" w:hAnsi="Arial" w:cs="Arial"/>
        </w:rPr>
        <w:t xml:space="preserve">is the slope of analyte calibration line and </w:t>
      </w:r>
      <m:oMath>
        <m:r>
          <w:rPr>
            <w:rFonts w:ascii="Cambria Math" w:hAnsi="Cambria Math" w:cs="Arial"/>
            <w:sz w:val="24"/>
          </w:rPr>
          <m:t>LoQ</m:t>
        </m:r>
      </m:oMath>
      <w:r w:rsidRPr="00B44519">
        <w:rPr>
          <w:rFonts w:ascii="Arial" w:hAnsi="Arial" w:cs="Arial"/>
          <w:sz w:val="24"/>
        </w:rPr>
        <w:t xml:space="preserve"> </w:t>
      </w:r>
      <w:r w:rsidRPr="00B44519">
        <w:rPr>
          <w:rFonts w:ascii="Arial" w:hAnsi="Arial" w:cs="Arial"/>
          <w:color w:val="000000"/>
          <w:shd w:val="clear" w:color="auto" w:fill="FFFFFF"/>
        </w:rPr>
        <w:t>is the limit of quantitation</w:t>
      </w:r>
      <w:r w:rsidR="002C4BB9">
        <w:rPr>
          <w:rFonts w:ascii="Arial" w:hAnsi="Arial" w:cs="Arial"/>
          <w:color w:val="000000"/>
          <w:shd w:val="clear" w:color="auto" w:fill="FFFFFF"/>
        </w:rPr>
        <w:t xml:space="preserve"> (Table </w:t>
      </w:r>
      <w:r w:rsidR="00B4677C">
        <w:rPr>
          <w:rFonts w:ascii="Arial" w:hAnsi="Arial" w:cs="Arial"/>
          <w:color w:val="000000"/>
          <w:shd w:val="clear" w:color="auto" w:fill="FFFFFF"/>
        </w:rPr>
        <w:t>13</w:t>
      </w:r>
      <w:r w:rsidR="002C4BB9">
        <w:rPr>
          <w:rFonts w:ascii="Arial" w:hAnsi="Arial" w:cs="Arial"/>
          <w:color w:val="000000"/>
          <w:shd w:val="clear" w:color="auto" w:fill="FFFFFF"/>
        </w:rPr>
        <w:t>).</w:t>
      </w:r>
    </w:p>
    <w:p w14:paraId="5F383792" w14:textId="54FDBB59" w:rsidR="00C44CD5" w:rsidRPr="00B44519" w:rsidRDefault="00C44CD5" w:rsidP="00C44CD5">
      <w:pPr>
        <w:pStyle w:val="Legenda"/>
        <w:keepNext/>
        <w:jc w:val="center"/>
        <w:rPr>
          <w:rFonts w:ascii="Arial" w:hAnsi="Arial" w:cs="Arial"/>
          <w:i w:val="0"/>
          <w:color w:val="000000" w:themeColor="text1"/>
        </w:rPr>
      </w:pPr>
      <w:bookmarkStart w:id="0" w:name="_Ref116681071"/>
      <w:r w:rsidRPr="00B44519">
        <w:rPr>
          <w:rFonts w:ascii="Arial" w:hAnsi="Arial" w:cs="Arial"/>
          <w:i w:val="0"/>
          <w:color w:val="000000" w:themeColor="text1"/>
        </w:rPr>
        <w:t xml:space="preserve">Table </w:t>
      </w:r>
      <w:bookmarkEnd w:id="0"/>
      <w:r w:rsidR="00B4677C">
        <w:rPr>
          <w:rFonts w:ascii="Arial" w:hAnsi="Arial" w:cs="Arial"/>
          <w:i w:val="0"/>
          <w:color w:val="000000" w:themeColor="text1"/>
        </w:rPr>
        <w:t>13</w:t>
      </w:r>
      <w:r w:rsidRPr="00B44519">
        <w:rPr>
          <w:rFonts w:ascii="Arial" w:hAnsi="Arial" w:cs="Arial"/>
          <w:i w:val="0"/>
          <w:color w:val="000000" w:themeColor="text1"/>
        </w:rPr>
        <w:t xml:space="preserve"> </w:t>
      </w:r>
      <w:proofErr w:type="spellStart"/>
      <w:r w:rsidRPr="00B44519">
        <w:rPr>
          <w:rFonts w:ascii="Arial" w:hAnsi="Arial" w:cs="Arial"/>
          <w:i w:val="0"/>
          <w:color w:val="000000" w:themeColor="text1"/>
        </w:rPr>
        <w:t>LoD</w:t>
      </w:r>
      <w:proofErr w:type="spellEnd"/>
      <w:r w:rsidRPr="00B44519">
        <w:rPr>
          <w:rFonts w:ascii="Arial" w:hAnsi="Arial" w:cs="Arial"/>
          <w:i w:val="0"/>
          <w:color w:val="000000" w:themeColor="text1"/>
        </w:rPr>
        <w:t xml:space="preserve"> and </w:t>
      </w:r>
      <w:proofErr w:type="spellStart"/>
      <w:r w:rsidRPr="00B44519">
        <w:rPr>
          <w:rFonts w:ascii="Arial" w:hAnsi="Arial" w:cs="Arial"/>
          <w:i w:val="0"/>
          <w:color w:val="000000" w:themeColor="text1"/>
        </w:rPr>
        <w:t>LoQ</w:t>
      </w:r>
      <w:proofErr w:type="spellEnd"/>
      <w:r w:rsidRPr="00B44519">
        <w:rPr>
          <w:rFonts w:ascii="Arial" w:hAnsi="Arial" w:cs="Arial"/>
          <w:i w:val="0"/>
          <w:color w:val="000000" w:themeColor="text1"/>
        </w:rPr>
        <w:t xml:space="preserve"> from FAAS and ICP OES</w:t>
      </w:r>
    </w:p>
    <w:tbl>
      <w:tblPr>
        <w:tblStyle w:val="Tabelacomgrade"/>
        <w:tblW w:w="6804" w:type="dxa"/>
        <w:tblInd w:w="1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417"/>
        <w:gridCol w:w="1843"/>
        <w:gridCol w:w="1985"/>
      </w:tblGrid>
      <w:tr w:rsidR="00C44CD5" w:rsidRPr="00B44519" w14:paraId="4BEDB4F2" w14:textId="77777777" w:rsidTr="00B4677C">
        <w:trPr>
          <w:trHeight w:val="158"/>
          <w:tblHeader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B8C0F9" w14:textId="77777777" w:rsidR="00C44CD5" w:rsidRPr="00B44519" w:rsidRDefault="00C44CD5" w:rsidP="00B4677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B44519">
              <w:rPr>
                <w:rFonts w:ascii="Arial" w:hAnsi="Arial" w:cs="Arial"/>
                <w:b/>
                <w:sz w:val="18"/>
              </w:rPr>
              <w:t>Analytical methods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CFB74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</w:rPr>
            </w:pPr>
            <w:r w:rsidRPr="00B44519">
              <w:rPr>
                <w:rFonts w:ascii="Arial" w:hAnsi="Arial" w:cs="Arial"/>
                <w:b/>
                <w:sz w:val="18"/>
              </w:rPr>
              <w:t>Elements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B6AF59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</w:rPr>
            </w:pPr>
            <w:proofErr w:type="spellStart"/>
            <w:r w:rsidRPr="00B44519">
              <w:rPr>
                <w:rFonts w:ascii="Arial" w:hAnsi="Arial" w:cs="Arial"/>
                <w:b/>
                <w:sz w:val="18"/>
              </w:rPr>
              <w:t>LoD</w:t>
            </w:r>
            <w:proofErr w:type="spellEnd"/>
            <w:r w:rsidRPr="00B44519">
              <w:rPr>
                <w:rFonts w:ascii="Arial" w:hAnsi="Arial" w:cs="Arial"/>
                <w:b/>
                <w:sz w:val="18"/>
              </w:rPr>
              <w:t xml:space="preserve"> (</w:t>
            </w:r>
            <w:proofErr w:type="gramStart"/>
            <w:r w:rsidRPr="00B44519">
              <w:rPr>
                <w:rFonts w:ascii="Arial" w:hAnsi="Arial" w:cs="Arial"/>
                <w:b/>
                <w:sz w:val="18"/>
              </w:rPr>
              <w:t>mg.L</w:t>
            </w:r>
            <w:proofErr w:type="gramEnd"/>
            <w:r w:rsidRPr="00B44519">
              <w:rPr>
                <w:rFonts w:ascii="Arial" w:hAnsi="Arial" w:cs="Arial"/>
                <w:b/>
                <w:sz w:val="18"/>
                <w:vertAlign w:val="superscript"/>
              </w:rPr>
              <w:t>−1</w:t>
            </w:r>
            <w:r w:rsidRPr="00B44519">
              <w:rPr>
                <w:rFonts w:ascii="Arial" w:hAnsi="Arial" w:cs="Arial"/>
                <w:b/>
                <w:sz w:val="18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3671EF1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b/>
                <w:sz w:val="18"/>
              </w:rPr>
            </w:pPr>
            <w:proofErr w:type="spellStart"/>
            <w:r w:rsidRPr="00B44519">
              <w:rPr>
                <w:rFonts w:ascii="Arial" w:hAnsi="Arial" w:cs="Arial"/>
                <w:b/>
                <w:sz w:val="18"/>
              </w:rPr>
              <w:t>LoQ</w:t>
            </w:r>
            <w:proofErr w:type="spellEnd"/>
            <w:r w:rsidRPr="00B44519">
              <w:rPr>
                <w:rFonts w:ascii="Arial" w:hAnsi="Arial" w:cs="Arial"/>
                <w:b/>
                <w:sz w:val="18"/>
              </w:rPr>
              <w:t xml:space="preserve"> (</w:t>
            </w:r>
            <w:proofErr w:type="gramStart"/>
            <w:r w:rsidRPr="00B44519">
              <w:rPr>
                <w:rFonts w:ascii="Arial" w:hAnsi="Arial" w:cs="Arial"/>
                <w:b/>
                <w:sz w:val="18"/>
              </w:rPr>
              <w:t>mg.L</w:t>
            </w:r>
            <w:proofErr w:type="gramEnd"/>
            <w:r w:rsidRPr="00B44519">
              <w:rPr>
                <w:rFonts w:ascii="Arial" w:hAnsi="Arial" w:cs="Arial"/>
                <w:b/>
                <w:sz w:val="18"/>
                <w:vertAlign w:val="superscript"/>
              </w:rPr>
              <w:t>−1</w:t>
            </w:r>
            <w:r w:rsidRPr="00B44519">
              <w:rPr>
                <w:rFonts w:ascii="Arial" w:hAnsi="Arial" w:cs="Arial"/>
                <w:b/>
                <w:sz w:val="18"/>
              </w:rPr>
              <w:t>)</w:t>
            </w:r>
          </w:p>
        </w:tc>
      </w:tr>
      <w:tr w:rsidR="00C44CD5" w:rsidRPr="00B44519" w14:paraId="558B5EDA" w14:textId="77777777" w:rsidTr="00B4677C">
        <w:trPr>
          <w:trHeight w:val="76"/>
        </w:trPr>
        <w:tc>
          <w:tcPr>
            <w:tcW w:w="1559" w:type="dxa"/>
            <w:vMerge w:val="restart"/>
            <w:vAlign w:val="center"/>
          </w:tcPr>
          <w:p w14:paraId="79438A38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FAAS</w:t>
            </w:r>
          </w:p>
        </w:tc>
        <w:tc>
          <w:tcPr>
            <w:tcW w:w="1417" w:type="dxa"/>
            <w:vAlign w:val="center"/>
          </w:tcPr>
          <w:p w14:paraId="2F1A6C2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Cd</w:t>
            </w:r>
          </w:p>
        </w:tc>
        <w:tc>
          <w:tcPr>
            <w:tcW w:w="1843" w:type="dxa"/>
            <w:vAlign w:val="center"/>
          </w:tcPr>
          <w:p w14:paraId="23B4A822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0.0011</w:t>
            </w:r>
          </w:p>
        </w:tc>
        <w:tc>
          <w:tcPr>
            <w:tcW w:w="1985" w:type="dxa"/>
            <w:vAlign w:val="center"/>
          </w:tcPr>
          <w:p w14:paraId="64A2D32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0.0037</w:t>
            </w:r>
          </w:p>
        </w:tc>
      </w:tr>
      <w:tr w:rsidR="00C44CD5" w:rsidRPr="00B44519" w14:paraId="7544F64C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5EC2A94F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6CE62CE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Cu</w:t>
            </w:r>
          </w:p>
        </w:tc>
        <w:tc>
          <w:tcPr>
            <w:tcW w:w="1843" w:type="dxa"/>
            <w:vAlign w:val="center"/>
          </w:tcPr>
          <w:p w14:paraId="5555F87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0.0546</w:t>
            </w:r>
          </w:p>
        </w:tc>
        <w:tc>
          <w:tcPr>
            <w:tcW w:w="1985" w:type="dxa"/>
            <w:vAlign w:val="center"/>
          </w:tcPr>
          <w:p w14:paraId="5E296643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0.1818</w:t>
            </w:r>
          </w:p>
        </w:tc>
      </w:tr>
      <w:tr w:rsidR="00C44CD5" w:rsidRPr="00B44519" w14:paraId="58D90B89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71A9B94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1735690E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Fe</w:t>
            </w:r>
          </w:p>
        </w:tc>
        <w:tc>
          <w:tcPr>
            <w:tcW w:w="1843" w:type="dxa"/>
            <w:vAlign w:val="center"/>
          </w:tcPr>
          <w:p w14:paraId="770C0198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0.1537</w:t>
            </w:r>
          </w:p>
        </w:tc>
        <w:tc>
          <w:tcPr>
            <w:tcW w:w="1985" w:type="dxa"/>
            <w:vAlign w:val="center"/>
          </w:tcPr>
          <w:p w14:paraId="22A61750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0.5125</w:t>
            </w:r>
          </w:p>
        </w:tc>
      </w:tr>
      <w:tr w:rsidR="00C44CD5" w:rsidRPr="00B44519" w14:paraId="6490FBC3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199C7ECF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23B97E3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Pb</w:t>
            </w:r>
          </w:p>
        </w:tc>
        <w:tc>
          <w:tcPr>
            <w:tcW w:w="1843" w:type="dxa"/>
            <w:vAlign w:val="center"/>
          </w:tcPr>
          <w:p w14:paraId="1E2C454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0.0819</w:t>
            </w:r>
          </w:p>
        </w:tc>
        <w:tc>
          <w:tcPr>
            <w:tcW w:w="1985" w:type="dxa"/>
            <w:vAlign w:val="center"/>
          </w:tcPr>
          <w:p w14:paraId="236B405D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0.2729</w:t>
            </w:r>
          </w:p>
        </w:tc>
      </w:tr>
      <w:tr w:rsidR="00C44CD5" w:rsidRPr="00B44519" w14:paraId="538FE44F" w14:textId="77777777" w:rsidTr="00B4677C">
        <w:trPr>
          <w:trHeight w:val="76"/>
        </w:trPr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</w:tcPr>
          <w:p w14:paraId="291748B9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ICP OES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D4DB5B9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Al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14:paraId="2941763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0.0425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14:paraId="4F60E722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0.1415</w:t>
            </w:r>
          </w:p>
        </w:tc>
      </w:tr>
      <w:tr w:rsidR="00C44CD5" w:rsidRPr="00B44519" w14:paraId="063C8B7C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52368630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10C6B0F6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Ba</w:t>
            </w:r>
          </w:p>
        </w:tc>
        <w:tc>
          <w:tcPr>
            <w:tcW w:w="1843" w:type="dxa"/>
            <w:vAlign w:val="center"/>
          </w:tcPr>
          <w:p w14:paraId="317F98D2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0.0008</w:t>
            </w:r>
          </w:p>
        </w:tc>
        <w:tc>
          <w:tcPr>
            <w:tcW w:w="1985" w:type="dxa"/>
            <w:vAlign w:val="center"/>
          </w:tcPr>
          <w:p w14:paraId="071686C3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0.0028</w:t>
            </w:r>
          </w:p>
        </w:tc>
      </w:tr>
      <w:tr w:rsidR="00C44CD5" w:rsidRPr="00B44519" w14:paraId="19C08E85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5BBFC0B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66509D1E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Ca</w:t>
            </w:r>
          </w:p>
        </w:tc>
        <w:tc>
          <w:tcPr>
            <w:tcW w:w="1843" w:type="dxa"/>
            <w:vAlign w:val="center"/>
          </w:tcPr>
          <w:p w14:paraId="3DA87F09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0.4458</w:t>
            </w:r>
          </w:p>
        </w:tc>
        <w:tc>
          <w:tcPr>
            <w:tcW w:w="1985" w:type="dxa"/>
            <w:vAlign w:val="center"/>
          </w:tcPr>
          <w:p w14:paraId="041E4EC5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1.4859</w:t>
            </w:r>
          </w:p>
        </w:tc>
      </w:tr>
      <w:tr w:rsidR="00C44CD5" w:rsidRPr="00B44519" w14:paraId="275AA1D8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0B284B9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23E8164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Cd</w:t>
            </w:r>
          </w:p>
        </w:tc>
        <w:tc>
          <w:tcPr>
            <w:tcW w:w="1843" w:type="dxa"/>
            <w:vAlign w:val="center"/>
          </w:tcPr>
          <w:p w14:paraId="19AB6D66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0.0008</w:t>
            </w:r>
          </w:p>
        </w:tc>
        <w:tc>
          <w:tcPr>
            <w:tcW w:w="1985" w:type="dxa"/>
            <w:vAlign w:val="center"/>
          </w:tcPr>
          <w:p w14:paraId="6090A018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0.0026</w:t>
            </w:r>
          </w:p>
        </w:tc>
      </w:tr>
      <w:tr w:rsidR="00C44CD5" w:rsidRPr="00B44519" w14:paraId="6D85F861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5AFFAF3D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1DF293D9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Co</w:t>
            </w:r>
          </w:p>
        </w:tc>
        <w:tc>
          <w:tcPr>
            <w:tcW w:w="1843" w:type="dxa"/>
            <w:vAlign w:val="center"/>
          </w:tcPr>
          <w:p w14:paraId="7E1EB9C1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0.0026</w:t>
            </w:r>
          </w:p>
        </w:tc>
        <w:tc>
          <w:tcPr>
            <w:tcW w:w="1985" w:type="dxa"/>
            <w:vAlign w:val="center"/>
          </w:tcPr>
          <w:p w14:paraId="7BC91DB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0.0087</w:t>
            </w:r>
          </w:p>
        </w:tc>
      </w:tr>
      <w:tr w:rsidR="00C44CD5" w:rsidRPr="00B44519" w14:paraId="47133BF6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479687A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74DF6A48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Cu</w:t>
            </w:r>
          </w:p>
        </w:tc>
        <w:tc>
          <w:tcPr>
            <w:tcW w:w="1843" w:type="dxa"/>
            <w:vAlign w:val="center"/>
          </w:tcPr>
          <w:p w14:paraId="39FD511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0.0012</w:t>
            </w:r>
          </w:p>
        </w:tc>
        <w:tc>
          <w:tcPr>
            <w:tcW w:w="1985" w:type="dxa"/>
            <w:vAlign w:val="center"/>
          </w:tcPr>
          <w:p w14:paraId="461C4F19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0.0040</w:t>
            </w:r>
          </w:p>
        </w:tc>
      </w:tr>
      <w:tr w:rsidR="00C44CD5" w:rsidRPr="00B44519" w14:paraId="1F4CE36B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47F029F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63864A75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Cr</w:t>
            </w:r>
          </w:p>
        </w:tc>
        <w:tc>
          <w:tcPr>
            <w:tcW w:w="1843" w:type="dxa"/>
            <w:vAlign w:val="center"/>
          </w:tcPr>
          <w:p w14:paraId="31E35C05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0.0199</w:t>
            </w:r>
          </w:p>
        </w:tc>
        <w:tc>
          <w:tcPr>
            <w:tcW w:w="1985" w:type="dxa"/>
            <w:vAlign w:val="center"/>
          </w:tcPr>
          <w:p w14:paraId="7A4E0CC5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0.0663</w:t>
            </w:r>
          </w:p>
        </w:tc>
      </w:tr>
      <w:tr w:rsidR="00C44CD5" w:rsidRPr="00B44519" w14:paraId="05A91B92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63BD517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70EB3B03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Fe</w:t>
            </w:r>
          </w:p>
        </w:tc>
        <w:tc>
          <w:tcPr>
            <w:tcW w:w="1843" w:type="dxa"/>
            <w:vAlign w:val="center"/>
          </w:tcPr>
          <w:p w14:paraId="0B43DACE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0.1330</w:t>
            </w:r>
          </w:p>
        </w:tc>
        <w:tc>
          <w:tcPr>
            <w:tcW w:w="1985" w:type="dxa"/>
            <w:vAlign w:val="center"/>
          </w:tcPr>
          <w:p w14:paraId="452DB5ED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0.4435</w:t>
            </w:r>
          </w:p>
        </w:tc>
      </w:tr>
      <w:tr w:rsidR="00C44CD5" w:rsidRPr="00B44519" w14:paraId="0ACC1668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439354AE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06246A3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K</w:t>
            </w:r>
          </w:p>
        </w:tc>
        <w:tc>
          <w:tcPr>
            <w:tcW w:w="1843" w:type="dxa"/>
            <w:vAlign w:val="center"/>
          </w:tcPr>
          <w:p w14:paraId="3E0C3D2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0.0725</w:t>
            </w:r>
          </w:p>
        </w:tc>
        <w:tc>
          <w:tcPr>
            <w:tcW w:w="1985" w:type="dxa"/>
            <w:vAlign w:val="center"/>
          </w:tcPr>
          <w:p w14:paraId="7693450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0.2416</w:t>
            </w:r>
          </w:p>
        </w:tc>
      </w:tr>
      <w:tr w:rsidR="00C44CD5" w:rsidRPr="00B44519" w14:paraId="4878FD5E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528446CE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379D416D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Mg</w:t>
            </w:r>
          </w:p>
        </w:tc>
        <w:tc>
          <w:tcPr>
            <w:tcW w:w="1843" w:type="dxa"/>
            <w:vAlign w:val="center"/>
          </w:tcPr>
          <w:p w14:paraId="26E3BE5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0.0252</w:t>
            </w:r>
          </w:p>
        </w:tc>
        <w:tc>
          <w:tcPr>
            <w:tcW w:w="1985" w:type="dxa"/>
            <w:vAlign w:val="center"/>
          </w:tcPr>
          <w:p w14:paraId="0A0A4EAD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0.0841</w:t>
            </w:r>
          </w:p>
        </w:tc>
      </w:tr>
      <w:tr w:rsidR="00C44CD5" w:rsidRPr="00B44519" w14:paraId="5F3944CA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649CD3A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6F711CC3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Mn</w:t>
            </w:r>
          </w:p>
        </w:tc>
        <w:tc>
          <w:tcPr>
            <w:tcW w:w="1843" w:type="dxa"/>
            <w:vAlign w:val="center"/>
          </w:tcPr>
          <w:p w14:paraId="61695648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0.7427</w:t>
            </w:r>
          </w:p>
        </w:tc>
        <w:tc>
          <w:tcPr>
            <w:tcW w:w="1985" w:type="dxa"/>
            <w:vAlign w:val="center"/>
          </w:tcPr>
          <w:p w14:paraId="211FE24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2.4757</w:t>
            </w:r>
          </w:p>
        </w:tc>
      </w:tr>
      <w:tr w:rsidR="00C44CD5" w:rsidRPr="00B44519" w14:paraId="595D4AC4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3310E8A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2ABA1E65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Mo</w:t>
            </w:r>
          </w:p>
        </w:tc>
        <w:tc>
          <w:tcPr>
            <w:tcW w:w="1843" w:type="dxa"/>
            <w:vAlign w:val="center"/>
          </w:tcPr>
          <w:p w14:paraId="412CC65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0.0044</w:t>
            </w:r>
          </w:p>
        </w:tc>
        <w:tc>
          <w:tcPr>
            <w:tcW w:w="1985" w:type="dxa"/>
            <w:vAlign w:val="center"/>
          </w:tcPr>
          <w:p w14:paraId="6DC27DB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0.0146</w:t>
            </w:r>
          </w:p>
        </w:tc>
      </w:tr>
      <w:tr w:rsidR="00C44CD5" w:rsidRPr="00B44519" w14:paraId="602476B7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6B0A1C17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7DE484DB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Na</w:t>
            </w:r>
          </w:p>
        </w:tc>
        <w:tc>
          <w:tcPr>
            <w:tcW w:w="1843" w:type="dxa"/>
            <w:vAlign w:val="center"/>
          </w:tcPr>
          <w:p w14:paraId="42C9B1FB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0.0839</w:t>
            </w:r>
          </w:p>
        </w:tc>
        <w:tc>
          <w:tcPr>
            <w:tcW w:w="1985" w:type="dxa"/>
            <w:vAlign w:val="center"/>
          </w:tcPr>
          <w:p w14:paraId="4EBDBDB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0.2798</w:t>
            </w:r>
          </w:p>
        </w:tc>
      </w:tr>
      <w:tr w:rsidR="00C44CD5" w:rsidRPr="00B44519" w14:paraId="47EEFFDB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71EB24C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64EE6EAF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Ni</w:t>
            </w:r>
          </w:p>
        </w:tc>
        <w:tc>
          <w:tcPr>
            <w:tcW w:w="1843" w:type="dxa"/>
            <w:vAlign w:val="center"/>
          </w:tcPr>
          <w:p w14:paraId="2A19169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0.0057</w:t>
            </w:r>
          </w:p>
        </w:tc>
        <w:tc>
          <w:tcPr>
            <w:tcW w:w="1985" w:type="dxa"/>
            <w:vAlign w:val="center"/>
          </w:tcPr>
          <w:p w14:paraId="1F84E26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0.0191</w:t>
            </w:r>
          </w:p>
        </w:tc>
      </w:tr>
      <w:tr w:rsidR="00C44CD5" w:rsidRPr="00B44519" w14:paraId="51B24B4F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36DA5E5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7262B52D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P</w:t>
            </w:r>
          </w:p>
        </w:tc>
        <w:tc>
          <w:tcPr>
            <w:tcW w:w="1843" w:type="dxa"/>
            <w:vAlign w:val="center"/>
          </w:tcPr>
          <w:p w14:paraId="4FCD83AC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0.0144</w:t>
            </w:r>
          </w:p>
        </w:tc>
        <w:tc>
          <w:tcPr>
            <w:tcW w:w="1985" w:type="dxa"/>
            <w:vAlign w:val="center"/>
          </w:tcPr>
          <w:p w14:paraId="1A412EEF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0.0479</w:t>
            </w:r>
          </w:p>
        </w:tc>
      </w:tr>
      <w:tr w:rsidR="00C44CD5" w:rsidRPr="00B44519" w14:paraId="422FCE0D" w14:textId="77777777" w:rsidTr="00B4677C">
        <w:trPr>
          <w:trHeight w:val="76"/>
        </w:trPr>
        <w:tc>
          <w:tcPr>
            <w:tcW w:w="1559" w:type="dxa"/>
            <w:vMerge/>
            <w:vAlign w:val="center"/>
          </w:tcPr>
          <w:p w14:paraId="3FFFF04A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vAlign w:val="center"/>
          </w:tcPr>
          <w:p w14:paraId="58B21183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Pb</w:t>
            </w:r>
          </w:p>
        </w:tc>
        <w:tc>
          <w:tcPr>
            <w:tcW w:w="1843" w:type="dxa"/>
            <w:vAlign w:val="center"/>
          </w:tcPr>
          <w:p w14:paraId="4256A522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0.0115</w:t>
            </w:r>
          </w:p>
        </w:tc>
        <w:tc>
          <w:tcPr>
            <w:tcW w:w="1985" w:type="dxa"/>
            <w:vAlign w:val="center"/>
          </w:tcPr>
          <w:p w14:paraId="1109DB5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0.0385</w:t>
            </w:r>
          </w:p>
        </w:tc>
      </w:tr>
      <w:tr w:rsidR="00C44CD5" w:rsidRPr="00B44519" w14:paraId="775437CF" w14:textId="77777777" w:rsidTr="00B4677C">
        <w:trPr>
          <w:trHeight w:val="76"/>
        </w:trPr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</w:tcPr>
          <w:p w14:paraId="3F00ACD4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7F30E45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Zn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62772AF5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0.0409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14:paraId="10B7D432" w14:textId="77777777" w:rsidR="00C44CD5" w:rsidRPr="00B44519" w:rsidRDefault="00C44CD5" w:rsidP="00B4677C">
            <w:pPr>
              <w:spacing w:line="360" w:lineRule="auto"/>
              <w:jc w:val="center"/>
              <w:rPr>
                <w:rFonts w:ascii="Arial" w:hAnsi="Arial" w:cs="Arial"/>
                <w:sz w:val="18"/>
              </w:rPr>
            </w:pPr>
            <w:r w:rsidRPr="00B44519">
              <w:rPr>
                <w:rFonts w:ascii="Arial" w:hAnsi="Arial" w:cs="Arial"/>
                <w:sz w:val="18"/>
              </w:rPr>
              <w:t>0.1363</w:t>
            </w:r>
          </w:p>
        </w:tc>
      </w:tr>
    </w:tbl>
    <w:p w14:paraId="07ED16C5" w14:textId="77777777" w:rsidR="00606461" w:rsidRDefault="00606461" w:rsidP="002C4BB9"/>
    <w:sectPr w:rsidR="00606461" w:rsidSect="00C44CD5">
      <w:headerReference w:type="default" r:id="rId6"/>
      <w:footerReference w:type="default" r:id="rId7"/>
      <w:pgSz w:w="11906" w:h="16838"/>
      <w:pgMar w:top="1440" w:right="1440" w:bottom="1440" w:left="144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0A464D" w14:textId="77777777" w:rsidR="002C4BB9" w:rsidRDefault="002C4BB9">
      <w:pPr>
        <w:spacing w:after="0" w:line="240" w:lineRule="auto"/>
      </w:pPr>
      <w:r>
        <w:separator/>
      </w:r>
    </w:p>
  </w:endnote>
  <w:endnote w:type="continuationSeparator" w:id="0">
    <w:p w14:paraId="2CAC147F" w14:textId="77777777" w:rsidR="002C4BB9" w:rsidRDefault="002C4B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1C7150" w14:textId="77777777" w:rsidR="00C44CD5" w:rsidRDefault="00C44CD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D1B9F3" w14:textId="77777777" w:rsidR="002C4BB9" w:rsidRDefault="002C4BB9">
      <w:pPr>
        <w:spacing w:after="0" w:line="240" w:lineRule="auto"/>
      </w:pPr>
      <w:r>
        <w:separator/>
      </w:r>
    </w:p>
  </w:footnote>
  <w:footnote w:type="continuationSeparator" w:id="0">
    <w:p w14:paraId="6DC5C521" w14:textId="77777777" w:rsidR="002C4BB9" w:rsidRDefault="002C4B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4512263"/>
      <w:docPartObj>
        <w:docPartGallery w:val="Page Numbers (Top of Page)"/>
        <w:docPartUnique/>
      </w:docPartObj>
    </w:sdtPr>
    <w:sdtEndPr/>
    <w:sdtContent>
      <w:p w14:paraId="3A8E5DA1" w14:textId="77777777" w:rsidR="00C44CD5" w:rsidRDefault="00C44CD5">
        <w:pPr>
          <w:pStyle w:val="Cabealho"/>
          <w:jc w:val="right"/>
        </w:pPr>
        <w:r>
          <w:rPr>
            <w:lang w:bidi="en-US"/>
          </w:rPr>
          <w:fldChar w:fldCharType="begin"/>
        </w:r>
        <w:r>
          <w:rPr>
            <w:lang w:bidi="en-US"/>
          </w:rPr>
          <w:instrText>PAGE   \* MERGEFORMAT</w:instrText>
        </w:r>
        <w:r>
          <w:rPr>
            <w:lang w:bidi="en-US"/>
          </w:rPr>
          <w:fldChar w:fldCharType="separate"/>
        </w:r>
        <w:r>
          <w:rPr>
            <w:lang w:bidi="en-US"/>
          </w:rPr>
          <w:t>2</w:t>
        </w:r>
        <w:r>
          <w:rPr>
            <w:lang w:bidi="en-US"/>
          </w:rPr>
          <w:fldChar w:fldCharType="end"/>
        </w:r>
      </w:p>
    </w:sdtContent>
  </w:sdt>
  <w:p w14:paraId="02AAC50E" w14:textId="77777777" w:rsidR="00C44CD5" w:rsidRDefault="00C44CD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4CD5"/>
    <w:rsid w:val="002C4BB9"/>
    <w:rsid w:val="003F60DD"/>
    <w:rsid w:val="00606461"/>
    <w:rsid w:val="007D3F76"/>
    <w:rsid w:val="00B4677C"/>
    <w:rsid w:val="00B552AF"/>
    <w:rsid w:val="00C44CD5"/>
    <w:rsid w:val="00F0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113E4A"/>
  <w15:chartTrackingRefBased/>
  <w15:docId w15:val="{84648682-25ED-4B9B-A06C-7E6EC6286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4CD5"/>
    <w:rPr>
      <w:kern w:val="0"/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44C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4C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44C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4C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4C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4CD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4CD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4CD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4CD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4C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4C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C44C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4CD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4CD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4CD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4CD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4CD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4CD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4CD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4C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4CD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4C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4CD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4CD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4CD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4CD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4C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4CD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4CD5"/>
    <w:rPr>
      <w:b/>
      <w:bCs/>
      <w:smallCaps/>
      <w:color w:val="0F4761" w:themeColor="accent1" w:themeShade="BF"/>
      <w:spacing w:val="5"/>
    </w:rPr>
  </w:style>
  <w:style w:type="paragraph" w:styleId="Rodap">
    <w:name w:val="footer"/>
    <w:basedOn w:val="Normal"/>
    <w:link w:val="RodapChar"/>
    <w:uiPriority w:val="99"/>
    <w:unhideWhenUsed/>
    <w:rsid w:val="00C44CD5"/>
    <w:pPr>
      <w:tabs>
        <w:tab w:val="center" w:pos="4680"/>
        <w:tab w:val="right" w:pos="9360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C44CD5"/>
    <w:rPr>
      <w:kern w:val="0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C44CD5"/>
    <w:pPr>
      <w:tabs>
        <w:tab w:val="center" w:pos="4680"/>
        <w:tab w:val="right" w:pos="9360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C44CD5"/>
    <w:rPr>
      <w:kern w:val="0"/>
      <w:lang w:val="en-US"/>
    </w:rPr>
  </w:style>
  <w:style w:type="table" w:styleId="Tabelacomgrade">
    <w:name w:val="Table Grid"/>
    <w:basedOn w:val="Tabelanormal"/>
    <w:uiPriority w:val="39"/>
    <w:rsid w:val="00C44CD5"/>
    <w:pPr>
      <w:spacing w:after="0" w:line="240" w:lineRule="auto"/>
    </w:pPr>
    <w:rPr>
      <w:kern w:val="0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egenda">
    <w:name w:val="caption"/>
    <w:basedOn w:val="Normal"/>
    <w:next w:val="Normal"/>
    <w:link w:val="LegendaChar"/>
    <w:unhideWhenUsed/>
    <w:qFormat/>
    <w:rsid w:val="00C44CD5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customStyle="1" w:styleId="LegendaChar">
    <w:name w:val="Legenda Char"/>
    <w:link w:val="Legenda"/>
    <w:rsid w:val="00C44CD5"/>
    <w:rPr>
      <w:i/>
      <w:iCs/>
      <w:color w:val="0E2841" w:themeColor="text2"/>
      <w:kern w:val="0"/>
      <w:sz w:val="18"/>
      <w:szCs w:val="18"/>
      <w:lang w:val="en-US"/>
    </w:rPr>
  </w:style>
  <w:style w:type="character" w:styleId="Nmerodelinha">
    <w:name w:val="line number"/>
    <w:basedOn w:val="Fontepargpadro"/>
    <w:uiPriority w:val="99"/>
    <w:semiHidden/>
    <w:unhideWhenUsed/>
    <w:rsid w:val="00C44C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93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128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Bassi Penteado</dc:creator>
  <cp:keywords/>
  <dc:description/>
  <cp:lastModifiedBy>Priscila Bassi Penteado</cp:lastModifiedBy>
  <cp:revision>3</cp:revision>
  <dcterms:created xsi:type="dcterms:W3CDTF">2024-01-10T12:39:00Z</dcterms:created>
  <dcterms:modified xsi:type="dcterms:W3CDTF">2024-03-28T14:59:00Z</dcterms:modified>
</cp:coreProperties>
</file>