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sz w:val="24"/>
          <w:szCs w:val="24"/>
        </w:rPr>
      </w:pPr>
      <w:r>
        <w:rPr>
          <w:rFonts w:ascii="Times New Roman" w:hAnsi="Times New Roman" w:cs="Times New Roman"/>
          <w:sz w:val="24"/>
          <w:szCs w:val="24"/>
        </w:rPr>
        <w:t>Supporting Information</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Biomineralized bacterial outer membrane vesicles exert pleiotropic immunoferroptotic effects on immune-deserted liver cancer</w:t>
      </w:r>
    </w:p>
    <w:p>
      <w:pPr>
        <w:spacing w:line="360" w:lineRule="auto"/>
        <w:rPr>
          <w:rFonts w:ascii="Times New Roman" w:hAnsi="Times New Roman" w:cs="Times New Roman"/>
          <w:sz w:val="24"/>
          <w:szCs w:val="24"/>
        </w:rPr>
      </w:pPr>
    </w:p>
    <w:p>
      <w:pPr>
        <w:spacing w:line="360" w:lineRule="auto"/>
        <w:rPr>
          <w:rFonts w:ascii="Times New Roman" w:hAnsi="Times New Roman" w:cs="Times New Roman"/>
          <w:i w:val="0"/>
          <w:iCs w:val="0"/>
          <w:sz w:val="24"/>
          <w:szCs w:val="24"/>
        </w:rPr>
      </w:pPr>
      <w:r>
        <w:rPr>
          <w:rFonts w:ascii="Times New Roman" w:hAnsi="Times New Roman" w:cs="Times New Roman"/>
          <w:i w:val="0"/>
          <w:iCs w:val="0"/>
          <w:sz w:val="24"/>
          <w:szCs w:val="24"/>
        </w:rPr>
        <w:t xml:space="preserve">Ying Luo, Zhongsheng Xu, Qianying Du, Lian Xu, Yi Wang, Jie Xu, </w:t>
      </w:r>
      <w:r>
        <w:rPr>
          <w:rFonts w:hint="eastAsia" w:ascii="Times New Roman" w:hAnsi="Times New Roman" w:cs="Times New Roman"/>
          <w:i w:val="0"/>
          <w:iCs w:val="0"/>
          <w:sz w:val="24"/>
          <w:szCs w:val="24"/>
        </w:rPr>
        <w:t xml:space="preserve">Junrui Wang, </w:t>
      </w:r>
      <w:r>
        <w:rPr>
          <w:rFonts w:ascii="Times New Roman" w:hAnsi="Times New Roman" w:cs="Times New Roman"/>
          <w:i w:val="0"/>
          <w:iCs w:val="0"/>
          <w:sz w:val="24"/>
          <w:szCs w:val="24"/>
        </w:rPr>
        <w:t>Sijin Chen, Wenli Zhang, Bo Liu, Jia Liu</w:t>
      </w:r>
      <w:r>
        <w:rPr>
          <w:rFonts w:hint="eastAsia" w:ascii="Times New Roman" w:hAnsi="Times New Roman" w:cs="Times New Roman"/>
          <w:i w:val="0"/>
          <w:iCs w:val="0"/>
          <w:sz w:val="24"/>
          <w:szCs w:val="24"/>
        </w:rPr>
        <w:t xml:space="preserve">, </w:t>
      </w:r>
      <w:r>
        <w:rPr>
          <w:rFonts w:ascii="Times New Roman" w:hAnsi="Times New Roman" w:cs="Times New Roman"/>
          <w:i w:val="0"/>
          <w:iCs w:val="0"/>
          <w:sz w:val="24"/>
          <w:szCs w:val="24"/>
        </w:rPr>
        <w:t>Dajing Guo*, Yun Liu*</w:t>
      </w:r>
    </w:p>
    <w:p>
      <w:pPr>
        <w:spacing w:line="360" w:lineRule="auto"/>
        <w:rPr>
          <w:rFonts w:ascii="Times New Roman" w:hAnsi="Times New Roman" w:cs="Times New Roman"/>
          <w:sz w:val="24"/>
          <w:szCs w:val="24"/>
        </w:rPr>
      </w:pPr>
    </w:p>
    <w:p>
      <w:pPr>
        <w:spacing w:line="360" w:lineRule="auto"/>
        <w:rPr>
          <w:rFonts w:ascii="Times New Roman" w:hAnsi="Times New Roman" w:cs="Times New Roman"/>
          <w:i/>
          <w:iCs/>
          <w:sz w:val="24"/>
          <w:szCs w:val="24"/>
        </w:rPr>
      </w:pPr>
      <w:bookmarkStart w:id="0" w:name="_GoBack"/>
      <w:r>
        <w:rPr>
          <w:rFonts w:ascii="Times New Roman" w:hAnsi="Times New Roman" w:cs="Times New Roman"/>
          <w:i/>
          <w:iCs/>
          <w:sz w:val="24"/>
          <w:szCs w:val="24"/>
        </w:rPr>
        <w:t>Department of Radiology, Second Affiliated Hospital of Chongqing Medical University, Chongqing, 400010, P.R. China</w:t>
      </w:r>
    </w:p>
    <w:p>
      <w:pPr>
        <w:spacing w:line="360" w:lineRule="auto"/>
        <w:rPr>
          <w:rFonts w:ascii="Times New Roman" w:hAnsi="Times New Roman" w:cs="Times New Roman"/>
          <w:i/>
          <w:iCs/>
          <w:sz w:val="24"/>
          <w:szCs w:val="24"/>
        </w:rPr>
      </w:pPr>
    </w:p>
    <w:p>
      <w:pPr>
        <w:spacing w:line="360" w:lineRule="auto"/>
        <w:rPr>
          <w:rFonts w:ascii="Times New Roman" w:hAnsi="Times New Roman" w:cs="Times New Roman"/>
          <w:i/>
          <w:iCs/>
          <w:sz w:val="24"/>
          <w:szCs w:val="24"/>
        </w:rPr>
      </w:pPr>
      <w:r>
        <w:rPr>
          <w:rFonts w:ascii="Times New Roman" w:hAnsi="Times New Roman" w:cs="Times New Roman"/>
          <w:i/>
          <w:iCs/>
          <w:sz w:val="24"/>
          <w:szCs w:val="24"/>
        </w:rPr>
        <w:t>*Corresponding author</w:t>
      </w:r>
    </w:p>
    <w:p>
      <w:pPr>
        <w:spacing w:line="360" w:lineRule="auto"/>
        <w:rPr>
          <w:rFonts w:ascii="Times New Roman" w:hAnsi="Times New Roman" w:cs="Times New Roman"/>
          <w:i/>
          <w:iCs/>
          <w:sz w:val="24"/>
          <w:szCs w:val="24"/>
        </w:rPr>
      </w:pPr>
      <w:r>
        <w:rPr>
          <w:rFonts w:ascii="Times New Roman" w:hAnsi="Times New Roman" w:cs="Times New Roman"/>
          <w:i/>
          <w:iCs/>
          <w:sz w:val="24"/>
          <w:szCs w:val="24"/>
        </w:rPr>
        <w:t>E-mail address: yunliu@cqmu.edu.cn (Yun Liu); guodaj@hospital.cqmu.edu.cn (Dajing Guo).</w:t>
      </w:r>
    </w:p>
    <w:bookmarkEnd w:id="0"/>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724275" cy="2828290"/>
            <wp:effectExtent l="0" t="0" r="9525" b="0"/>
            <wp:docPr id="6375063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6339"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24656" cy="2828544"/>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S1. Loading capacity of OPCM in relation to different input of Cu and Mn.</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465195" cy="2804160"/>
            <wp:effectExtent l="0" t="0" r="1905" b="0"/>
            <wp:docPr id="2428596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59649" name="图片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5576" cy="280416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S2. The average diameter of OMV, OP, OCM, and OPCM.</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058160" cy="2440940"/>
            <wp:effectExtent l="0" t="0" r="8890" b="16510"/>
            <wp:docPr id="4845052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05288"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8160" cy="2440940"/>
                    </a:xfrm>
                    <a:prstGeom prst="rect">
                      <a:avLst/>
                    </a:prstGeom>
                  </pic:spPr>
                </pic:pic>
              </a:graphicData>
            </a:graphic>
          </wp:inline>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Figure S3. The XRD pattern of OPCM.</w:t>
      </w: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3662045" cy="2741930"/>
            <wp:effectExtent l="0" t="0" r="14605" b="1270"/>
            <wp:docPr id="1" name="图片 1" descr="电化学-回归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化学-回归曲线"/>
                    <pic:cNvPicPr>
                      <a:picLocks noChangeAspect="1"/>
                    </pic:cNvPicPr>
                  </pic:nvPicPr>
                  <pic:blipFill>
                    <a:blip r:embed="rId7"/>
                    <a:stretch>
                      <a:fillRect/>
                    </a:stretch>
                  </pic:blipFill>
                  <pic:spPr>
                    <a:xfrm>
                      <a:off x="0" y="0"/>
                      <a:ext cx="3662045" cy="274193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Figure S4. The plots of Δj recorded at 0.35 V as a function of the scan rate for OP@Cu, OP@Mn, and OPCM.</w:t>
      </w:r>
    </w:p>
    <w:p>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274310" cy="1447165"/>
            <wp:effectExtent l="0" t="0" r="2540" b="635"/>
            <wp:docPr id="7445018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0188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47165"/>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5</w:t>
      </w:r>
      <w:r>
        <w:rPr>
          <w:rFonts w:ascii="Times New Roman" w:hAnsi="Times New Roman" w:cs="Times New Roman"/>
          <w:sz w:val="24"/>
          <w:szCs w:val="24"/>
        </w:rPr>
        <w:t>. (a) The POD-like activity of different concentration of OPCM. (b) The CAT-like activity of different concentration of OPCM. (c) The GPX-like activity of OPCM.</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266055" cy="1776095"/>
            <wp:effectExtent l="0" t="0" r="10795" b="14605"/>
            <wp:docPr id="2" name="图片 2" descr="释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释药"/>
                    <pic:cNvPicPr>
                      <a:picLocks noChangeAspect="1"/>
                    </pic:cNvPicPr>
                  </pic:nvPicPr>
                  <pic:blipFill>
                    <a:blip r:embed="rId9"/>
                    <a:stretch>
                      <a:fillRect/>
                    </a:stretch>
                  </pic:blipFill>
                  <pic:spPr>
                    <a:xfrm>
                      <a:off x="0" y="0"/>
                      <a:ext cx="5266055" cy="1776095"/>
                    </a:xfrm>
                    <a:prstGeom prst="rect">
                      <a:avLst/>
                    </a:prstGeom>
                  </pic:spPr>
                </pic:pic>
              </a:graphicData>
            </a:graphic>
          </wp:inline>
        </w:drawing>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Figure S6. (a) The accumulative Cu and (b) Mn release rate in pH 7.4, pH 6.0, </w:t>
      </w:r>
      <w:r>
        <w:rPr>
          <w:rFonts w:hint="eastAsia" w:ascii="Times New Roman" w:hAnsi="Times New Roman" w:cs="Times New Roman"/>
          <w:sz w:val="24"/>
          <w:szCs w:val="24"/>
          <w:lang w:val="en-US" w:eastAsia="zh-CN"/>
        </w:rPr>
        <w:t xml:space="preserve">and </w:t>
      </w:r>
      <w:r>
        <w:rPr>
          <w:rFonts w:hint="eastAsia" w:ascii="Times New Roman" w:hAnsi="Times New Roman" w:cs="Times New Roman"/>
          <w:sz w:val="24"/>
          <w:szCs w:val="24"/>
        </w:rPr>
        <w:t xml:space="preserve">pH 5.0 buffer. </w:t>
      </w:r>
    </w:p>
    <w:p>
      <w:pPr>
        <w:spacing w:line="360" w:lineRule="auto"/>
        <w:rPr>
          <w:rFonts w:hint="eastAsia" w:ascii="Times New Roman" w:hAnsi="Times New Roman" w:cs="Times New Roman"/>
          <w:sz w:val="24"/>
          <w:szCs w:val="24"/>
        </w:rPr>
      </w:pPr>
    </w:p>
    <w:p>
      <w:pPr>
        <w:spacing w:line="360" w:lineRule="auto"/>
        <w:jc w:val="both"/>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1770" cy="4829175"/>
            <wp:effectExtent l="0" t="0" r="5080" b="9525"/>
            <wp:docPr id="12" name="图片 12" descr="JPG-吞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PG-吞噬"/>
                    <pic:cNvPicPr>
                      <a:picLocks noChangeAspect="1"/>
                    </pic:cNvPicPr>
                  </pic:nvPicPr>
                  <pic:blipFill>
                    <a:blip r:embed="rId10"/>
                    <a:stretch>
                      <a:fillRect/>
                    </a:stretch>
                  </pic:blipFill>
                  <pic:spPr>
                    <a:xfrm>
                      <a:off x="0" y="0"/>
                      <a:ext cx="5271770" cy="4829175"/>
                    </a:xfrm>
                    <a:prstGeom prst="rect">
                      <a:avLst/>
                    </a:prstGeom>
                  </pic:spPr>
                </pic:pic>
              </a:graphicData>
            </a:graphic>
          </wp:inline>
        </w:drawing>
      </w:r>
    </w:p>
    <w:p>
      <w:pPr>
        <w:spacing w:line="360" w:lineRule="auto"/>
        <w:jc w:val="both"/>
        <w:rPr>
          <w:rFonts w:hint="eastAsia" w:ascii="Times New Roman" w:hAnsi="Times New Roman" w:cs="Times New Roman"/>
          <w:sz w:val="24"/>
          <w:szCs w:val="24"/>
        </w:rPr>
      </w:pPr>
      <w:r>
        <w:rPr>
          <w:rFonts w:hint="default" w:ascii="Times New Roman" w:hAnsi="Times New Roman" w:cs="Times New Roman"/>
          <w:sz w:val="24"/>
          <w:szCs w:val="24"/>
        </w:rPr>
        <w:t>Figure S7. (a) CLSM images of intracellular uptake of DiI-labeled OPCM after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different incubation times with Hepa1-6 cells. Scale bar: 50 μm. (b, c) FCM analysis </w:t>
      </w:r>
      <w:r>
        <w:rPr>
          <w:rFonts w:hint="eastAsia" w:ascii="Times New Roman" w:hAnsi="Times New Roman" w:cs="Times New Roman"/>
          <w:sz w:val="24"/>
          <w:szCs w:val="24"/>
        </w:rPr>
        <w:t>of DiI-positive Hepa1-6 cells after different incubation times with DiI-labeled OPCM and the corresponding statistical analysis. Data are shown as the mean values ± SD (n = 3).  All the statistical significance was analyzed by ANOVA. ∗ p &lt; 0.05, ∗∗ p &lt; 0.01, ∗∗∗ p &lt; 0.001, ∗∗∗∗ p &lt; 0.0001, ns, not significant.</w:t>
      </w:r>
    </w:p>
    <w:p>
      <w:pPr>
        <w:spacing w:line="360" w:lineRule="auto"/>
        <w:jc w:val="both"/>
        <w:rPr>
          <w:rFonts w:hint="eastAsia" w:ascii="Times New Roman" w:hAnsi="Times New Roman" w:cs="Times New Roman"/>
          <w:sz w:val="24"/>
          <w:szCs w:val="24"/>
        </w:rPr>
      </w:pP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6690" cy="6512560"/>
            <wp:effectExtent l="0" t="0" r="10160" b="2540"/>
            <wp:docPr id="13" name="图片 13" descr="JPG-活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PG-活死"/>
                    <pic:cNvPicPr>
                      <a:picLocks noChangeAspect="1"/>
                    </pic:cNvPicPr>
                  </pic:nvPicPr>
                  <pic:blipFill>
                    <a:blip r:embed="rId11"/>
                    <a:stretch>
                      <a:fillRect/>
                    </a:stretch>
                  </pic:blipFill>
                  <pic:spPr>
                    <a:xfrm>
                      <a:off x="0" y="0"/>
                      <a:ext cx="5266690" cy="651256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Figure S8. Live/dead cells staining of Hepa1-6 cells after treatments with PBS, OMV, OP, OCM, and OPCM respectively under a FL microscope. Scale bar: 50 </w:t>
      </w:r>
      <w:r>
        <w:rPr>
          <w:rFonts w:ascii="Times New Roman" w:hAnsi="Times New Roman" w:cs="Times New Roman"/>
          <w:sz w:val="24"/>
          <w:szCs w:val="24"/>
        </w:rPr>
        <w:t>μ</w:t>
      </w:r>
      <w:r>
        <w:rPr>
          <w:rFonts w:hint="eastAsia" w:ascii="Times New Roman" w:hAnsi="Times New Roman" w:cs="Times New Roman"/>
          <w:sz w:val="24"/>
          <w:szCs w:val="24"/>
        </w:rPr>
        <w:t>m.</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266690" cy="1217930"/>
            <wp:effectExtent l="0" t="0" r="10160" b="1270"/>
            <wp:docPr id="5" name="图片 5" descr="ROS-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OS-流式"/>
                    <pic:cNvPicPr>
                      <a:picLocks noChangeAspect="1"/>
                    </pic:cNvPicPr>
                  </pic:nvPicPr>
                  <pic:blipFill>
                    <a:blip r:embed="rId12"/>
                    <a:stretch>
                      <a:fillRect/>
                    </a:stretch>
                  </pic:blipFill>
                  <pic:spPr>
                    <a:xfrm>
                      <a:off x="0" y="0"/>
                      <a:ext cx="5266690" cy="121793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Figure S9. FCM of ROS analysis induced by PBS, OMV, OCM, OPCM, and OPCM+Fer respectively.</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953260" cy="2362200"/>
            <wp:effectExtent l="0" t="0" r="8890" b="0"/>
            <wp:docPr id="21107303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0398"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768" cy="236220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10</w:t>
      </w:r>
      <w:r>
        <w:rPr>
          <w:rFonts w:ascii="Times New Roman" w:hAnsi="Times New Roman" w:cs="Times New Roman"/>
          <w:sz w:val="24"/>
          <w:szCs w:val="24"/>
        </w:rPr>
        <w:t xml:space="preserve">. The intracellular GSH assay in different treatment groups. Data are shown as the mean values ± SD (n = 3).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844040" cy="2346960"/>
            <wp:effectExtent l="0" t="0" r="3810" b="0"/>
            <wp:docPr id="1952084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4866"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4040" cy="234696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11</w:t>
      </w:r>
      <w:r>
        <w:rPr>
          <w:rFonts w:ascii="Times New Roman" w:hAnsi="Times New Roman" w:cs="Times New Roman"/>
          <w:sz w:val="24"/>
          <w:szCs w:val="24"/>
        </w:rPr>
        <w:t xml:space="preserve">. The quantitative analysis of intracellular GPX4 expression in different treatment groups. Data are shown as the mean values ± SD (n = 3).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spacing w:line="360" w:lineRule="auto"/>
        <w:rPr>
          <w:rFonts w:ascii="Times New Roman" w:hAnsi="Times New Roman" w:cs="Times New Roman"/>
          <w:sz w:val="24"/>
          <w:szCs w:val="24"/>
        </w:rPr>
      </w:pP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3040" cy="6836410"/>
            <wp:effectExtent l="0" t="0" r="3810" b="2540"/>
            <wp:docPr id="14" name="图片 14" descr="JPG-JC-1-C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PG-JC-1-CLSM"/>
                    <pic:cNvPicPr>
                      <a:picLocks noChangeAspect="1"/>
                    </pic:cNvPicPr>
                  </pic:nvPicPr>
                  <pic:blipFill>
                    <a:blip r:embed="rId15"/>
                    <a:stretch>
                      <a:fillRect/>
                    </a:stretch>
                  </pic:blipFill>
                  <pic:spPr>
                    <a:xfrm>
                      <a:off x="0" y="0"/>
                      <a:ext cx="5273040" cy="683641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Figure S12. CLSM of mitochondrial potential change after treatment with PBS, OMV, OCM, or OPCM respectively. Scale bar: 50 </w:t>
      </w:r>
      <w:r>
        <w:rPr>
          <w:rFonts w:ascii="Times New Roman" w:hAnsi="Times New Roman" w:cs="Times New Roman"/>
          <w:sz w:val="24"/>
          <w:szCs w:val="24"/>
        </w:rPr>
        <w:t>μ</w:t>
      </w:r>
      <w:r>
        <w:rPr>
          <w:rFonts w:hint="eastAsia" w:ascii="Times New Roman" w:hAnsi="Times New Roman" w:cs="Times New Roman"/>
          <w:sz w:val="24"/>
          <w:szCs w:val="24"/>
        </w:rPr>
        <w:t xml:space="preserve">m. </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388610" cy="1446530"/>
            <wp:effectExtent l="0" t="0" r="2540" b="1270"/>
            <wp:docPr id="13354913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91353"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52420" cy="1463623"/>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13</w:t>
      </w:r>
      <w:r>
        <w:rPr>
          <w:rFonts w:ascii="Times New Roman" w:hAnsi="Times New Roman" w:cs="Times New Roman"/>
          <w:sz w:val="24"/>
          <w:szCs w:val="24"/>
        </w:rPr>
        <w:t>. The FCM analysis of MMP in different treatment groups.</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1173480" cy="1353185"/>
            <wp:effectExtent l="0" t="0" r="7620" b="18415"/>
            <wp:docPr id="7" name="图片 7" descr="DNA定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NA定量"/>
                    <pic:cNvPicPr>
                      <a:picLocks noChangeAspect="1"/>
                    </pic:cNvPicPr>
                  </pic:nvPicPr>
                  <pic:blipFill>
                    <a:blip r:embed="rId17"/>
                    <a:stretch>
                      <a:fillRect/>
                    </a:stretch>
                  </pic:blipFill>
                  <pic:spPr>
                    <a:xfrm>
                      <a:off x="0" y="0"/>
                      <a:ext cx="1173480" cy="1353185"/>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Figure S14. The corresponding statistical analysis of </w:t>
      </w:r>
      <w:r>
        <w:rPr>
          <w:rFonts w:hint="default" w:ascii="Times New Roman" w:hAnsi="Times New Roman" w:cs="Times New Roman"/>
          <w:sz w:val="24"/>
          <w:szCs w:val="24"/>
        </w:rPr>
        <w:t>γ-H</w:t>
      </w:r>
      <w:r>
        <w:rPr>
          <w:rFonts w:hint="eastAsia" w:ascii="Times New Roman" w:hAnsi="Times New Roman" w:cs="Times New Roman"/>
          <w:sz w:val="24"/>
          <w:szCs w:val="24"/>
        </w:rPr>
        <w:t>2AX FL intensity. Data are shown as the mean values ± SD (n = 3).</w:t>
      </w: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9865" cy="2120900"/>
            <wp:effectExtent l="0" t="0" r="6985" b="12700"/>
            <wp:docPr id="15" name="图片 15" descr="JPG-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PG-CRT"/>
                    <pic:cNvPicPr>
                      <a:picLocks noChangeAspect="1"/>
                    </pic:cNvPicPr>
                  </pic:nvPicPr>
                  <pic:blipFill>
                    <a:blip r:embed="rId18"/>
                    <a:stretch>
                      <a:fillRect/>
                    </a:stretch>
                  </pic:blipFill>
                  <pic:spPr>
                    <a:xfrm>
                      <a:off x="0" y="0"/>
                      <a:ext cx="5269865" cy="212090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Figure S15. (a) CLSM images</w:t>
      </w:r>
      <w:r>
        <w:rPr>
          <w:rFonts w:hint="default" w:ascii="Times New Roman" w:hAnsi="Times New Roman" w:cs="Times New Roman"/>
          <w:sz w:val="24"/>
          <w:szCs w:val="24"/>
        </w:rPr>
        <w:t xml:space="preserve"> of γ-H2A</w:t>
      </w:r>
      <w:r>
        <w:rPr>
          <w:rFonts w:hint="eastAsia" w:ascii="Times New Roman" w:hAnsi="Times New Roman" w:cs="Times New Roman"/>
          <w:sz w:val="24"/>
          <w:szCs w:val="24"/>
        </w:rPr>
        <w:t xml:space="preserve">X expression in Hepa1-6 cells after treatment with PBS, OMV, OP, OCM, or OPCM. Scale bar: </w:t>
      </w:r>
      <w:r>
        <w:rPr>
          <w:rFonts w:ascii="Times New Roman" w:hAnsi="Times New Roman" w:cs="Times New Roman"/>
          <w:sz w:val="24"/>
          <w:szCs w:val="24"/>
        </w:rPr>
        <w:t>50 μ</w:t>
      </w:r>
      <w:r>
        <w:rPr>
          <w:rFonts w:hint="eastAsia" w:ascii="Times New Roman" w:hAnsi="Times New Roman" w:cs="Times New Roman"/>
          <w:sz w:val="24"/>
          <w:szCs w:val="24"/>
        </w:rPr>
        <w:t xml:space="preserve">m. (b) The corresponding statistical analysis of CRT FL intensity. Data are shown as the mean values ± SD (n = 3). </w:t>
      </w: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4962525" cy="8296275"/>
            <wp:effectExtent l="0" t="0" r="9525" b="9525"/>
            <wp:docPr id="16" name="图片 16" descr="JPG-C57-antitumor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JPG-C57-antitumor effect"/>
                    <pic:cNvPicPr>
                      <a:picLocks noChangeAspect="1"/>
                    </pic:cNvPicPr>
                  </pic:nvPicPr>
                  <pic:blipFill>
                    <a:blip r:embed="rId19"/>
                    <a:stretch>
                      <a:fillRect/>
                    </a:stretch>
                  </pic:blipFill>
                  <pic:spPr>
                    <a:xfrm>
                      <a:off x="0" y="0"/>
                      <a:ext cx="4962525" cy="8296275"/>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16</w:t>
      </w:r>
      <w:r>
        <w:rPr>
          <w:rFonts w:ascii="Times New Roman" w:hAnsi="Times New Roman" w:cs="Times New Roman"/>
          <w:sz w:val="24"/>
          <w:szCs w:val="24"/>
        </w:rPr>
        <w:t>. The representative digital photos of mice at different time points since first treatment.</w:t>
      </w: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3974465" cy="2143760"/>
            <wp:effectExtent l="0" t="0" r="6985" b="8890"/>
            <wp:docPr id="9" name="图片 9" descr="肿瘤抑制率及瘤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肿瘤抑制率及瘤重"/>
                    <pic:cNvPicPr>
                      <a:picLocks noChangeAspect="1"/>
                    </pic:cNvPicPr>
                  </pic:nvPicPr>
                  <pic:blipFill>
                    <a:blip r:embed="rId20"/>
                    <a:stretch>
                      <a:fillRect/>
                    </a:stretch>
                  </pic:blipFill>
                  <pic:spPr>
                    <a:xfrm>
                      <a:off x="0" y="0"/>
                      <a:ext cx="3974465" cy="2143760"/>
                    </a:xfrm>
                    <a:prstGeom prst="rect">
                      <a:avLst/>
                    </a:prstGeom>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Figure S17. (a) The average tumor weight and (b) tumor inhibition rate after various treatments. Data are shown as the mean values ± SD (n = 5). All the statistical significance was analyzed by ANOVA. ∗ p &lt; 0.05, ∗∗ p &lt; 0.01, ∗∗∗ p &lt; 0.001, ∗∗∗∗ p &lt; 0.0001, ns, not significant.</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849370" cy="2697480"/>
            <wp:effectExtent l="0" t="0" r="0" b="7620"/>
            <wp:docPr id="14026147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14761"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9624" cy="269748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18</w:t>
      </w:r>
      <w:r>
        <w:rPr>
          <w:rFonts w:ascii="Times New Roman" w:hAnsi="Times New Roman" w:cs="Times New Roman"/>
          <w:sz w:val="24"/>
          <w:szCs w:val="24"/>
        </w:rPr>
        <w:t>. The long-term survival observation in different treatment groups. Data are shown as the mean values ± SD (n = 5).</w:t>
      </w: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2405" cy="4662805"/>
            <wp:effectExtent l="0" t="0" r="4445" b="4445"/>
            <wp:docPr id="11" name="图片 11" descr="JPG-H22-antitumor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JPG-H22-antitumor effect"/>
                    <pic:cNvPicPr>
                      <a:picLocks noChangeAspect="1"/>
                    </pic:cNvPicPr>
                  </pic:nvPicPr>
                  <pic:blipFill>
                    <a:blip r:embed="rId22"/>
                    <a:stretch>
                      <a:fillRect/>
                    </a:stretch>
                  </pic:blipFill>
                  <pic:spPr>
                    <a:xfrm>
                      <a:off x="0" y="0"/>
                      <a:ext cx="5272405" cy="4662805"/>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S1</w:t>
      </w:r>
      <w:r>
        <w:rPr>
          <w:rFonts w:hint="eastAsia" w:ascii="Times New Roman" w:hAnsi="Times New Roman" w:cs="Times New Roman"/>
          <w:sz w:val="24"/>
          <w:szCs w:val="24"/>
        </w:rPr>
        <w:t>9</w:t>
      </w:r>
      <w:r>
        <w:rPr>
          <w:rFonts w:ascii="Times New Roman" w:hAnsi="Times New Roman" w:cs="Times New Roman"/>
          <w:sz w:val="24"/>
          <w:szCs w:val="24"/>
        </w:rPr>
        <w:t>. (a) The representative digital photos of mice at different time points since first treatment. (b) The average change of mice body weight in different treatment groups. Data are shown as the mean values ± SD (n = 3). (c) The relative tumor volume change in different treatment groups. Data are shown as the mean values ± SD (n = 3). (d) The individual mice tumor volume change in each group. Data are shown as the mean values ± SD (n = 3). (e) The photograph of extracted tumor tissues after different treatments in each group. (f). The average tumor weight in each group. Data are shown as the mean values ± SD (n = 3). (g) The corresponding tumor inhibition rate</w:t>
      </w:r>
      <w:r>
        <w:rPr>
          <w:rStyle w:val="10"/>
          <w:rFonts w:hint="default" w:ascii="Times New Roman" w:hAnsi="Times New Roman" w:cs="Times New Roman"/>
          <w:lang w:val="en-US" w:eastAsia="zh-CN"/>
        </w:rPr>
        <w:t xml:space="preserve"> </w:t>
      </w:r>
      <w:r>
        <w:rPr>
          <w:rStyle w:val="10"/>
          <w:rFonts w:hint="default" w:ascii="Times New Roman" w:hAnsi="Times New Roman" w:cs="Times New Roman"/>
          <w:sz w:val="24"/>
          <w:szCs w:val="24"/>
          <w:lang w:val="en-US" w:eastAsia="zh-CN"/>
        </w:rPr>
        <w:t>is</w:t>
      </w:r>
      <w:r>
        <w:rPr>
          <w:rFonts w:hint="default" w:ascii="Times New Roman" w:hAnsi="Times New Roman" w:cs="Times New Roman"/>
          <w:sz w:val="24"/>
          <w:szCs w:val="24"/>
        </w:rPr>
        <w:t xml:space="preserve"> </w:t>
      </w:r>
      <w:r>
        <w:rPr>
          <w:rFonts w:ascii="Times New Roman" w:hAnsi="Times New Roman" w:cs="Times New Roman"/>
          <w:sz w:val="24"/>
          <w:szCs w:val="24"/>
        </w:rPr>
        <w:t xml:space="preserve">calculated by the average tumor weight. Data are shown as the mean values ± SD (n = 3).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71135" cy="1920240"/>
            <wp:effectExtent l="0" t="0" r="5715" b="3810"/>
            <wp:docPr id="17" name="图片 17" descr="JPG-SI-体外磁共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PG-SI-体外磁共振"/>
                    <pic:cNvPicPr>
                      <a:picLocks noChangeAspect="1"/>
                    </pic:cNvPicPr>
                  </pic:nvPicPr>
                  <pic:blipFill>
                    <a:blip r:embed="rId23"/>
                    <a:stretch>
                      <a:fillRect/>
                    </a:stretch>
                  </pic:blipFill>
                  <pic:spPr>
                    <a:xfrm>
                      <a:off x="0" y="0"/>
                      <a:ext cx="5271135" cy="192024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20</w:t>
      </w:r>
      <w:r>
        <w:rPr>
          <w:rFonts w:ascii="Times New Roman" w:hAnsi="Times New Roman" w:cs="Times New Roman"/>
          <w:sz w:val="24"/>
          <w:szCs w:val="24"/>
        </w:rPr>
        <w:t>. (a) The T</w:t>
      </w:r>
      <w:r>
        <w:rPr>
          <w:rFonts w:ascii="Times New Roman" w:hAnsi="Times New Roman" w:cs="Times New Roman"/>
          <w:sz w:val="24"/>
          <w:szCs w:val="24"/>
          <w:vertAlign w:val="subscript"/>
        </w:rPr>
        <w:t>1</w:t>
      </w:r>
      <w:r>
        <w:rPr>
          <w:rFonts w:ascii="Times New Roman" w:hAnsi="Times New Roman" w:cs="Times New Roman"/>
          <w:sz w:val="24"/>
          <w:szCs w:val="24"/>
        </w:rPr>
        <w:t xml:space="preserve">-weighted MRI gray images of different concentrations of OPCM in pH 7.4, pH 6.0, pH 5.0,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pH 5.0 + 10 mM GSH buffer</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(b) the relative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relaxation rates calculated by T</w:t>
      </w:r>
      <w:r>
        <w:rPr>
          <w:rFonts w:ascii="Times New Roman" w:hAnsi="Times New Roman" w:cs="Times New Roman"/>
          <w:sz w:val="24"/>
          <w:szCs w:val="24"/>
          <w:vertAlign w:val="subscript"/>
        </w:rPr>
        <w:t>1</w:t>
      </w:r>
      <w:r>
        <w:rPr>
          <w:rFonts w:ascii="Times New Roman" w:hAnsi="Times New Roman" w:cs="Times New Roman"/>
          <w:sz w:val="24"/>
          <w:szCs w:val="24"/>
        </w:rPr>
        <w:t xml:space="preserve"> mapping.</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34970" cy="2697480"/>
            <wp:effectExtent l="0" t="0" r="17780" b="7620"/>
            <wp:docPr id="1041547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764"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5224" cy="269748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21</w:t>
      </w:r>
      <w:r>
        <w:rPr>
          <w:rFonts w:ascii="Times New Roman" w:hAnsi="Times New Roman" w:cs="Times New Roman"/>
          <w:sz w:val="24"/>
          <w:szCs w:val="24"/>
        </w:rPr>
        <w:t>. The change of average gray value of tumor tissue at different time intervals in T</w:t>
      </w:r>
      <w:r>
        <w:rPr>
          <w:rFonts w:ascii="Times New Roman" w:hAnsi="Times New Roman" w:cs="Times New Roman"/>
          <w:sz w:val="24"/>
          <w:szCs w:val="24"/>
          <w:vertAlign w:val="subscript"/>
        </w:rPr>
        <w:t>1</w:t>
      </w:r>
      <w:r>
        <w:rPr>
          <w:rFonts w:ascii="Times New Roman" w:hAnsi="Times New Roman" w:cs="Times New Roman"/>
          <w:sz w:val="24"/>
          <w:szCs w:val="24"/>
        </w:rPr>
        <w:t xml:space="preserve">-weighted MRI. Data are shown as the mean values ± SD (n = 3).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0340" cy="916940"/>
            <wp:effectExtent l="0" t="0" r="16510" b="16510"/>
            <wp:docPr id="18" name="图片 18" descr="JPG-IFN-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PG-IFN-γ"/>
                    <pic:cNvPicPr>
                      <a:picLocks noChangeAspect="1"/>
                    </pic:cNvPicPr>
                  </pic:nvPicPr>
                  <pic:blipFill>
                    <a:blip r:embed="rId25"/>
                    <a:stretch>
                      <a:fillRect/>
                    </a:stretch>
                  </pic:blipFill>
                  <pic:spPr>
                    <a:xfrm>
                      <a:off x="0" y="0"/>
                      <a:ext cx="5260340" cy="916940"/>
                    </a:xfrm>
                    <a:prstGeom prst="rect">
                      <a:avLst/>
                    </a:prstGeom>
                  </pic:spPr>
                </pic:pic>
              </a:graphicData>
            </a:graphic>
          </wp:inline>
        </w:drawing>
      </w:r>
    </w:p>
    <w:p>
      <w:pPr>
        <w:spacing w:line="360" w:lineRule="auto"/>
        <w:rPr>
          <w:rFonts w:ascii="Times New Roman" w:hAnsi="Times New Roman" w:cs="Times New Roman"/>
          <w:b/>
          <w:bCs/>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22</w:t>
      </w:r>
      <w:r>
        <w:rPr>
          <w:rFonts w:ascii="Times New Roman" w:hAnsi="Times New Roman" w:cs="Times New Roman"/>
          <w:sz w:val="24"/>
          <w:szCs w:val="24"/>
        </w:rPr>
        <w:t xml:space="preserve">. The IF staining of IFN-γ in tumor tissues from different treatment groups and the corresponding quantitative analysis. Scale bar: </w:t>
      </w:r>
      <w:r>
        <w:rPr>
          <w:rFonts w:ascii="Times New Roman" w:hAnsi="Times New Roman" w:cs="Times New Roman"/>
          <w:b w:val="0"/>
          <w:bCs w:val="0"/>
          <w:color w:val="000000" w:themeColor="text1"/>
          <w:sz w:val="24"/>
          <w:szCs w:val="24"/>
          <w:u w:val="none"/>
          <w14:textFill>
            <w14:solidFill>
              <w14:schemeClr w14:val="tx1"/>
            </w14:solidFill>
          </w14:textFill>
        </w:rPr>
        <w:t xml:space="preserve">20 </w:t>
      </w:r>
      <w:r>
        <w:rPr>
          <w:b w:val="0"/>
          <w:bCs w:val="0"/>
          <w:color w:val="000000" w:themeColor="text1"/>
          <w:u w:val="none"/>
          <w14:textFill>
            <w14:solidFill>
              <w14:schemeClr w14:val="tx1"/>
            </w14:solidFill>
          </w14:textFill>
        </w:rPr>
        <w:fldChar w:fldCharType="begin"/>
      </w:r>
      <w:r>
        <w:rPr>
          <w:b w:val="0"/>
          <w:bCs w:val="0"/>
          <w:color w:val="000000" w:themeColor="text1"/>
          <w:u w:val="none"/>
          <w14:textFill>
            <w14:solidFill>
              <w14:schemeClr w14:val="tx1"/>
            </w14:solidFill>
          </w14:textFill>
        </w:rPr>
        <w:instrText xml:space="preserve"> HYPERLINK "https://baike.baidu.com/item/%CE%BCm/4897741" \t "_blank" </w:instrText>
      </w:r>
      <w:r>
        <w:rPr>
          <w:b w:val="0"/>
          <w:bCs w:val="0"/>
          <w:color w:val="000000" w:themeColor="text1"/>
          <w:u w:val="none"/>
          <w14:textFill>
            <w14:solidFill>
              <w14:schemeClr w14:val="tx1"/>
            </w14:solidFill>
          </w14:textFill>
        </w:rPr>
        <w:fldChar w:fldCharType="separate"/>
      </w:r>
      <w:r>
        <w:rPr>
          <w:rStyle w:val="9"/>
          <w:rFonts w:ascii="Times New Roman" w:hAnsi="Times New Roman" w:cs="Times New Roman"/>
          <w:b w:val="0"/>
          <w:bCs w:val="0"/>
          <w:color w:val="000000" w:themeColor="text1"/>
          <w:sz w:val="24"/>
          <w:szCs w:val="24"/>
          <w:u w:val="none"/>
          <w14:textFill>
            <w14:solidFill>
              <w14:schemeClr w14:val="tx1"/>
            </w14:solidFill>
          </w14:textFill>
        </w:rPr>
        <w:t>μm</w:t>
      </w:r>
      <w:r>
        <w:rPr>
          <w:rStyle w:val="9"/>
          <w:rFonts w:ascii="Times New Roman" w:hAnsi="Times New Roman" w:cs="Times New Roman"/>
          <w:b w:val="0"/>
          <w:bCs w:val="0"/>
          <w:color w:val="000000" w:themeColor="text1"/>
          <w:sz w:val="24"/>
          <w:szCs w:val="24"/>
          <w:u w:val="none"/>
          <w14:textFill>
            <w14:solidFill>
              <w14:schemeClr w14:val="tx1"/>
            </w14:solidFill>
          </w14:textFill>
        </w:rPr>
        <w:fldChar w:fldCharType="end"/>
      </w:r>
      <w:r>
        <w:rPr>
          <w:rFonts w:ascii="Times New Roman" w:hAnsi="Times New Roman" w:cs="Times New Roman"/>
          <w:b w:val="0"/>
          <w:bCs w:val="0"/>
          <w:color w:val="000000" w:themeColor="text1"/>
          <w:sz w:val="24"/>
          <w:szCs w:val="24"/>
          <w:u w:val="none"/>
          <w14:textFill>
            <w14:solidFill>
              <w14:schemeClr w14:val="tx1"/>
            </w14:solidFill>
          </w14:textFill>
        </w:rPr>
        <w:t xml:space="preserve">. </w:t>
      </w:r>
      <w:r>
        <w:rPr>
          <w:rFonts w:ascii="Times New Roman" w:hAnsi="Times New Roman" w:cs="Times New Roman"/>
          <w:sz w:val="24"/>
          <w:szCs w:val="24"/>
        </w:rPr>
        <w:t xml:space="preserve">Data are shown as the mean values ± SD (n = 3).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spacing w:line="360" w:lineRule="auto"/>
        <w:rPr>
          <w:rFonts w:ascii="Times New Roman" w:hAnsi="Times New Roman" w:cs="Times New Roman"/>
          <w:sz w:val="24"/>
          <w:szCs w:val="24"/>
        </w:rPr>
      </w:pP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3430270" cy="6258560"/>
            <wp:effectExtent l="0" t="0" r="17780" b="8890"/>
            <wp:docPr id="19" name="图片 19" descr="JPG免疫记忆拍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PG免疫记忆拍照"/>
                    <pic:cNvPicPr>
                      <a:picLocks noChangeAspect="1"/>
                    </pic:cNvPicPr>
                  </pic:nvPicPr>
                  <pic:blipFill>
                    <a:blip r:embed="rId26"/>
                    <a:stretch>
                      <a:fillRect/>
                    </a:stretch>
                  </pic:blipFill>
                  <pic:spPr>
                    <a:xfrm>
                      <a:off x="0" y="0"/>
                      <a:ext cx="3430270" cy="6258560"/>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23</w:t>
      </w:r>
      <w:r>
        <w:rPr>
          <w:rFonts w:ascii="Times New Roman" w:hAnsi="Times New Roman" w:cs="Times New Roman"/>
          <w:sz w:val="24"/>
          <w:szCs w:val="24"/>
        </w:rPr>
        <w:t>. The representative digital photos of rechallenged mice models at different time points.</w:t>
      </w: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9230" cy="6740525"/>
            <wp:effectExtent l="0" t="0" r="7620" b="3175"/>
            <wp:docPr id="10" name="图片 10" descr="生物分布生物安全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物分布生物安全性jpg"/>
                    <pic:cNvPicPr>
                      <a:picLocks noChangeAspect="1"/>
                    </pic:cNvPicPr>
                  </pic:nvPicPr>
                  <pic:blipFill>
                    <a:blip r:embed="rId27"/>
                    <a:stretch>
                      <a:fillRect/>
                    </a:stretch>
                  </pic:blipFill>
                  <pic:spPr>
                    <a:xfrm>
                      <a:off x="0" y="0"/>
                      <a:ext cx="5269230" cy="6740525"/>
                    </a:xfrm>
                    <a:prstGeom prst="rect">
                      <a:avLst/>
                    </a:prstGeom>
                  </pic:spPr>
                </pic:pic>
              </a:graphicData>
            </a:graphic>
          </wp:inline>
        </w:drawing>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rPr>
        <w:t>S24</w:t>
      </w:r>
      <w:r>
        <w:rPr>
          <w:rFonts w:ascii="Times New Roman" w:hAnsi="Times New Roman" w:cs="Times New Roman"/>
          <w:sz w:val="24"/>
          <w:szCs w:val="24"/>
        </w:rPr>
        <w:t>. (a, b) In vivo FL images of mice captured at different time intervals after the injection of DiR-labeled OPCM and the corresponding quantitative FL analysis. Data are shown as the mean values ± SD (n = 3). (c, d) The ex vivo FL images of the extracted tumors and major organs (Spleen, heart, liver, lung, kidney) and the corresponding quantitative FL analysis. Data are shown as the mean values ± SD (n = 3).</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 xml:space="preserve">e, </w:t>
      </w:r>
      <w:r>
        <w:rPr>
          <w:rFonts w:ascii="Times New Roman" w:hAnsi="Times New Roman" w:cs="Times New Roman"/>
          <w:sz w:val="24"/>
          <w:szCs w:val="24"/>
        </w:rPr>
        <w:t>f, g, h, I, j) The in vivo Cu and Mn pharmaceutical kinetics in tumor and major organs (spleen, liver, heart, kidney, and lung). All the statistical significance was analyzed by ANOVA. ∗ p &lt; 0.05, ∗∗ p &lt; 0.01, ∗∗∗ p &lt; 0.001, ∗∗∗∗ p &lt; 0.0001, ns, not significant.</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k</w:t>
      </w:r>
      <w:r>
        <w:rPr>
          <w:rFonts w:ascii="Times New Roman" w:hAnsi="Times New Roman" w:cs="Times New Roman"/>
          <w:sz w:val="24"/>
          <w:szCs w:val="24"/>
        </w:rPr>
        <w:t xml:space="preserve">, </w:t>
      </w:r>
      <w:r>
        <w:rPr>
          <w:rFonts w:hint="eastAsia" w:ascii="Times New Roman" w:hAnsi="Times New Roman" w:cs="Times New Roman"/>
          <w:sz w:val="24"/>
          <w:szCs w:val="24"/>
        </w:rPr>
        <w:t>l</w:t>
      </w:r>
      <w:r>
        <w:rPr>
          <w:rFonts w:ascii="Times New Roman" w:hAnsi="Times New Roman" w:cs="Times New Roman"/>
          <w:sz w:val="24"/>
          <w:szCs w:val="24"/>
        </w:rPr>
        <w:t xml:space="preserve">) </w:t>
      </w:r>
      <w:r>
        <w:rPr>
          <w:rFonts w:hint="eastAsia" w:ascii="Times New Roman" w:hAnsi="Times New Roman" w:cs="Times New Roman"/>
          <w:sz w:val="24"/>
          <w:szCs w:val="24"/>
        </w:rPr>
        <w:t>B</w:t>
      </w:r>
      <w:r>
        <w:rPr>
          <w:rFonts w:ascii="Times New Roman" w:hAnsi="Times New Roman" w:cs="Times New Roman"/>
          <w:sz w:val="24"/>
          <w:szCs w:val="24"/>
        </w:rPr>
        <w:t>lood biochemical parameters</w:t>
      </w:r>
      <w:r>
        <w:rPr>
          <w:rFonts w:hint="eastAsia" w:ascii="Times New Roman" w:hAnsi="Times New Roman" w:cs="Times New Roman"/>
          <w:sz w:val="24"/>
          <w:szCs w:val="24"/>
        </w:rPr>
        <w:t xml:space="preserve"> and blood routine examination</w:t>
      </w:r>
      <w:r>
        <w:rPr>
          <w:rFonts w:ascii="Times New Roman" w:hAnsi="Times New Roman" w:cs="Times New Roman"/>
          <w:sz w:val="24"/>
          <w:szCs w:val="24"/>
        </w:rPr>
        <w:t xml:space="preserve"> of mice 21 days after intravenous injection of OPCM. Data are shown as the mean values ± SD (n = 3). (</w:t>
      </w:r>
      <w:r>
        <w:rPr>
          <w:rFonts w:hint="eastAsia" w:ascii="Times New Roman" w:hAnsi="Times New Roman" w:cs="Times New Roman"/>
          <w:sz w:val="24"/>
          <w:szCs w:val="24"/>
        </w:rPr>
        <w:t>m</w:t>
      </w:r>
      <w:r>
        <w:rPr>
          <w:rFonts w:ascii="Times New Roman" w:hAnsi="Times New Roman" w:cs="Times New Roman"/>
          <w:sz w:val="24"/>
          <w:szCs w:val="24"/>
        </w:rPr>
        <w:t xml:space="preserve">) HE staining of the major organs at corresponding time intervals (n=3). Scale bar: 50 μm. All the statistical significance was analyzed by ANOVA.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0.05,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 xml:space="preserve">0.001, </w:t>
      </w:r>
      <w:r>
        <w:rPr>
          <w:rFonts w:ascii="Times New Roman" w:hAnsi="Times New Roman" w:eastAsia="MS Gothic"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 &lt; </w:t>
      </w:r>
      <w:r>
        <w:rPr>
          <w:rFonts w:ascii="Times New Roman" w:hAnsi="Times New Roman" w:cs="Times New Roman"/>
          <w:sz w:val="24"/>
          <w:szCs w:val="24"/>
        </w:rPr>
        <w:t>0.0001, ns, not significant.</w:t>
      </w:r>
    </w:p>
    <w:p>
      <w:pPr>
        <w:rPr>
          <w:rFonts w:hint="default" w:ascii="Times New Roman" w:hAnsi="Times New Roman" w:cs="Times New Roman"/>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sz w:val="24"/>
          <w:szCs w:val="24"/>
        </w:rPr>
        <w:instrText xml:space="preserve"> ADDIN EN.REFLIST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sz w:val="24"/>
          <w:szCs w:val="24"/>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bKwNDA1NjewMDA0MrBQ0lEKTi0uzszPAykwqgUAgdc3eSwAAAA="/>
    <w:docVar w:name="commondata" w:val="eyJoZGlkIjoiNzc3ZTFhY2RiNzY3OTk3OTEzMWU1OTljNTZlYzI3OWYifQ=="/>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w9eddsres5p2exp5fxttfv2a9f92wxvwrs&quot;&gt;My EndNote Library&lt;record-ids&gt;&lt;item&gt;21&lt;/item&gt;&lt;/record-ids&gt;&lt;/item&gt;&lt;/Libraries&gt;"/>
    <w:docVar w:name="StyleGuidePreference" w:val="-1"/>
  </w:docVars>
  <w:rsids>
    <w:rsidRoot w:val="0026278D"/>
    <w:rsid w:val="00144864"/>
    <w:rsid w:val="00150AAC"/>
    <w:rsid w:val="0026278D"/>
    <w:rsid w:val="002E3F53"/>
    <w:rsid w:val="00393A82"/>
    <w:rsid w:val="003E6BCD"/>
    <w:rsid w:val="0042345F"/>
    <w:rsid w:val="00461E48"/>
    <w:rsid w:val="00634636"/>
    <w:rsid w:val="006502CE"/>
    <w:rsid w:val="00721892"/>
    <w:rsid w:val="00876F81"/>
    <w:rsid w:val="00924AD3"/>
    <w:rsid w:val="00954AF2"/>
    <w:rsid w:val="0099722E"/>
    <w:rsid w:val="00A35D35"/>
    <w:rsid w:val="00A72DAE"/>
    <w:rsid w:val="00AD4854"/>
    <w:rsid w:val="00BA5E67"/>
    <w:rsid w:val="00BB57E4"/>
    <w:rsid w:val="00BC5CC0"/>
    <w:rsid w:val="00C269CA"/>
    <w:rsid w:val="00CB22F4"/>
    <w:rsid w:val="00D84251"/>
    <w:rsid w:val="00D92ACF"/>
    <w:rsid w:val="00DC48A7"/>
    <w:rsid w:val="00E52744"/>
    <w:rsid w:val="00EA0A43"/>
    <w:rsid w:val="00F7328D"/>
    <w:rsid w:val="090675D2"/>
    <w:rsid w:val="16B8509E"/>
    <w:rsid w:val="20492329"/>
    <w:rsid w:val="2810309B"/>
    <w:rsid w:val="2B546ABF"/>
    <w:rsid w:val="2EBF3618"/>
    <w:rsid w:val="44054362"/>
    <w:rsid w:val="4591759A"/>
    <w:rsid w:val="472F166F"/>
    <w:rsid w:val="51A10125"/>
    <w:rsid w:val="606C4496"/>
    <w:rsid w:val="6C0220C8"/>
    <w:rsid w:val="6C0E6AD9"/>
    <w:rsid w:val="75DF4163"/>
    <w:rsid w:val="7A2C4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2"/>
    <w:basedOn w:val="1"/>
    <w:next w:val="1"/>
    <w:link w:val="14"/>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7"/>
    <w:autoRedefine/>
    <w:semiHidden/>
    <w:unhideWhenUsed/>
    <w:qFormat/>
    <w:uiPriority w:val="99"/>
    <w:pPr>
      <w:jc w:val="left"/>
    </w:pPr>
  </w:style>
  <w:style w:type="paragraph" w:styleId="4">
    <w:name w:val="footer"/>
    <w:basedOn w:val="1"/>
    <w:link w:val="12"/>
    <w:autoRedefine/>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tabs>
        <w:tab w:val="center" w:pos="4153"/>
        <w:tab w:val="right" w:pos="8306"/>
      </w:tabs>
      <w:snapToGrid w:val="0"/>
      <w:jc w:val="center"/>
    </w:pPr>
    <w:rPr>
      <w:sz w:val="18"/>
      <w:szCs w:val="18"/>
    </w:rPr>
  </w:style>
  <w:style w:type="paragraph" w:styleId="6">
    <w:name w:val="annotation subject"/>
    <w:basedOn w:val="3"/>
    <w:next w:val="3"/>
    <w:link w:val="18"/>
    <w:autoRedefine/>
    <w:semiHidden/>
    <w:unhideWhenUsed/>
    <w:qFormat/>
    <w:uiPriority w:val="99"/>
    <w:rPr>
      <w:b/>
      <w:bCs/>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styleId="10">
    <w:name w:val="annotation reference"/>
    <w:basedOn w:val="8"/>
    <w:autoRedefine/>
    <w:semiHidden/>
    <w:unhideWhenUsed/>
    <w:qFormat/>
    <w:uiPriority w:val="99"/>
    <w:rPr>
      <w:sz w:val="21"/>
      <w:szCs w:val="21"/>
    </w:rPr>
  </w:style>
  <w:style w:type="character" w:customStyle="1" w:styleId="11">
    <w:name w:val="页眉 字符"/>
    <w:basedOn w:val="8"/>
    <w:link w:val="5"/>
    <w:autoRedefine/>
    <w:qFormat/>
    <w:uiPriority w:val="99"/>
    <w:rPr>
      <w:sz w:val="18"/>
      <w:szCs w:val="18"/>
    </w:rPr>
  </w:style>
  <w:style w:type="character" w:customStyle="1" w:styleId="12">
    <w:name w:val="页脚 字符"/>
    <w:basedOn w:val="8"/>
    <w:link w:val="4"/>
    <w:autoRedefine/>
    <w:qFormat/>
    <w:uiPriority w:val="99"/>
    <w:rPr>
      <w:sz w:val="18"/>
      <w:szCs w:val="18"/>
    </w:rPr>
  </w:style>
  <w:style w:type="character" w:customStyle="1" w:styleId="13">
    <w:name w:val="未处理的提及1"/>
    <w:basedOn w:val="8"/>
    <w:autoRedefine/>
    <w:semiHidden/>
    <w:unhideWhenUsed/>
    <w:qFormat/>
    <w:uiPriority w:val="99"/>
    <w:rPr>
      <w:color w:val="605E5C"/>
      <w:shd w:val="clear" w:color="auto" w:fill="E1DFDD"/>
    </w:rPr>
  </w:style>
  <w:style w:type="character" w:customStyle="1" w:styleId="14">
    <w:name w:val="标题 2 字符"/>
    <w:basedOn w:val="8"/>
    <w:link w:val="2"/>
    <w:autoRedefine/>
    <w:semiHidden/>
    <w:qFormat/>
    <w:uiPriority w:val="9"/>
    <w:rPr>
      <w:rFonts w:asciiTheme="majorHAnsi" w:hAnsiTheme="majorHAnsi" w:eastAsiaTheme="majorEastAsia" w:cstheme="majorBidi"/>
      <w:b/>
      <w:bCs/>
      <w:sz w:val="32"/>
      <w:szCs w:val="32"/>
    </w:rPr>
  </w:style>
  <w:style w:type="paragraph" w:customStyle="1" w:styleId="15">
    <w:name w:val="EndNote Bibliography Title"/>
    <w:autoRedefine/>
    <w:qFormat/>
    <w:uiPriority w:val="0"/>
    <w:pPr>
      <w:jc w:val="center"/>
    </w:pPr>
    <w:rPr>
      <w:rFonts w:hint="eastAsia" w:ascii="等线" w:hAnsi="等线" w:eastAsia="等线" w:cs="等线"/>
      <w:kern w:val="2"/>
      <w:szCs w:val="22"/>
      <w:lang w:val="en-US" w:eastAsia="zh-CN" w:bidi="ar-SA"/>
      <w14:ligatures w14:val="standardContextual"/>
    </w:rPr>
  </w:style>
  <w:style w:type="paragraph" w:customStyle="1" w:styleId="16">
    <w:name w:val="EndNote Bibliography"/>
    <w:autoRedefine/>
    <w:qFormat/>
    <w:uiPriority w:val="0"/>
    <w:pPr>
      <w:jc w:val="both"/>
    </w:pPr>
    <w:rPr>
      <w:rFonts w:hint="eastAsia" w:ascii="等线" w:hAnsi="等线" w:eastAsia="等线" w:cs="等线"/>
      <w:kern w:val="2"/>
      <w:szCs w:val="22"/>
      <w:lang w:val="en-US" w:eastAsia="zh-CN" w:bidi="ar-SA"/>
      <w14:ligatures w14:val="standardContextual"/>
    </w:rPr>
  </w:style>
  <w:style w:type="character" w:customStyle="1" w:styleId="17">
    <w:name w:val="批注文字 字符"/>
    <w:basedOn w:val="8"/>
    <w:link w:val="3"/>
    <w:autoRedefine/>
    <w:semiHidden/>
    <w:qFormat/>
    <w:uiPriority w:val="99"/>
    <w:rPr>
      <w:kern w:val="2"/>
      <w:sz w:val="21"/>
      <w:szCs w:val="22"/>
      <w14:ligatures w14:val="standardContextual"/>
    </w:rPr>
  </w:style>
  <w:style w:type="character" w:customStyle="1" w:styleId="18">
    <w:name w:val="批注主题 字符"/>
    <w:basedOn w:val="17"/>
    <w:link w:val="6"/>
    <w:autoRedefine/>
    <w:semiHidden/>
    <w:qFormat/>
    <w:uiPriority w:val="99"/>
    <w:rPr>
      <w:b/>
      <w:bCs/>
      <w:kern w:val="2"/>
      <w:sz w:val="21"/>
      <w:szCs w:val="22"/>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jpeg"/><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Pages>
  <Words>4813</Words>
  <Characters>27435</Characters>
  <Lines>228</Lines>
  <Paragraphs>64</Paragraphs>
  <TotalTime>0</TotalTime>
  <ScaleCrop>false</ScaleCrop>
  <LinksUpToDate>false</LinksUpToDate>
  <CharactersWithSpaces>32184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2024-02-20T08:24:00Z</dcterms:created>
  <dc:creator>罗 颖</dc:creator>
  <cp:lastModifiedBy>鱼旦一</cp:lastModifiedBy>
  <dcterms:modified xsi:type="dcterms:W3CDTF">2024-03-28T14:48:53Z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137115318B6F49B78DEE07F128230FE1_13</vt:lpwstr>
  </property>
</Properties>
</file>