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default" w:ascii="Times New Roman Bold" w:hAnsi="Times New Roman Bold" w:cs="Times New Roman Bold"/>
          <w:b/>
          <w:bCs/>
          <w:color w:val="000000"/>
          <w:kern w:val="0"/>
          <w:sz w:val="30"/>
          <w:szCs w:val="30"/>
        </w:rPr>
      </w:pPr>
      <w:bookmarkStart w:id="0" w:name="_GoBack"/>
      <w:r>
        <w:rPr>
          <w:rStyle w:val="3"/>
          <w:rFonts w:hint="default" w:ascii="Times New Roman Bold" w:hAnsi="Times New Roman Bold" w:eastAsia="-apple-system" w:cs="Times New Roman Bold"/>
          <w:b/>
          <w:bCs/>
          <w:i w:val="0"/>
          <w:caps w:val="0"/>
          <w:color w:val="000000"/>
          <w:spacing w:val="0"/>
          <w:kern w:val="0"/>
          <w:sz w:val="30"/>
          <w:szCs w:val="30"/>
          <w:u w:val="none"/>
          <w:lang w:eastAsia="zh-CN" w:bidi="ar"/>
        </w:rPr>
        <w:t>S</w:t>
      </w:r>
      <w:r>
        <w:rPr>
          <w:rStyle w:val="3"/>
          <w:rFonts w:hint="default" w:ascii="Times New Roman Bold" w:hAnsi="Times New Roman Bold" w:eastAsia="-apple-system" w:cs="Times New Roman Bold"/>
          <w:b/>
          <w:bCs/>
          <w:i w:val="0"/>
          <w:caps w:val="0"/>
          <w:color w:val="000000"/>
          <w:spacing w:val="0"/>
          <w:kern w:val="0"/>
          <w:sz w:val="30"/>
          <w:szCs w:val="30"/>
          <w:u w:val="none"/>
          <w:lang w:val="en-US" w:eastAsia="zh-CN" w:bidi="ar"/>
        </w:rPr>
        <w:t xml:space="preserve">upplementary </w:t>
      </w:r>
      <w:r>
        <w:rPr>
          <w:rStyle w:val="3"/>
          <w:rFonts w:hint="default" w:ascii="Times New Roman Bold" w:hAnsi="Times New Roman Bold" w:eastAsia="-apple-system" w:cs="Times New Roman Bold"/>
          <w:b/>
          <w:bCs/>
          <w:i w:val="0"/>
          <w:caps w:val="0"/>
          <w:color w:val="000000"/>
          <w:spacing w:val="0"/>
          <w:kern w:val="0"/>
          <w:sz w:val="30"/>
          <w:szCs w:val="30"/>
          <w:u w:val="none"/>
          <w:lang w:eastAsia="zh-CN" w:bidi="ar"/>
        </w:rPr>
        <w:t>F</w:t>
      </w:r>
      <w:r>
        <w:rPr>
          <w:rStyle w:val="3"/>
          <w:rFonts w:hint="default" w:ascii="Times New Roman Bold" w:hAnsi="Times New Roman Bold" w:eastAsia="-apple-system" w:cs="Times New Roman Bold"/>
          <w:b/>
          <w:bCs/>
          <w:i w:val="0"/>
          <w:caps w:val="0"/>
          <w:color w:val="000000"/>
          <w:spacing w:val="0"/>
          <w:kern w:val="0"/>
          <w:sz w:val="30"/>
          <w:szCs w:val="30"/>
          <w:u w:val="none"/>
          <w:lang w:val="en-US" w:eastAsia="zh-CN" w:bidi="ar"/>
        </w:rPr>
        <w:t>ile</w:t>
      </w:r>
      <w:bookmarkEnd w:id="0"/>
    </w:p>
    <w:p>
      <w:pPr>
        <w:adjustRightInd w:val="0"/>
        <w:snapToGrid w:val="0"/>
        <w:jc w:val="center"/>
        <w:rPr>
          <w:rFonts w:hint="default" w:ascii="Times New Roman Regular" w:hAnsi="Times New Roman Regular" w:cs="Times New Roman Regular"/>
          <w:b/>
          <w:bCs/>
          <w:color w:val="000000"/>
          <w:kern w:val="0"/>
          <w:sz w:val="24"/>
        </w:rPr>
      </w:pPr>
      <w:r>
        <w:rPr>
          <w:rFonts w:hint="default" w:ascii="Times New Roman Regular" w:hAnsi="Times New Roman Regular" w:cs="Times New Roman Regular"/>
          <w:b/>
          <w:bCs/>
          <w:color w:val="000000"/>
          <w:kern w:val="0"/>
          <w:sz w:val="24"/>
        </w:rPr>
        <w:t>Appendix 1 Identification Indicators of IHDs in Chinese Tertiary Hospital</w:t>
      </w:r>
    </w:p>
    <w:p>
      <w:pPr>
        <w:adjustRightInd w:val="0"/>
        <w:snapToGrid w:val="0"/>
        <w:jc w:val="center"/>
        <w:rPr>
          <w:rFonts w:hint="default" w:ascii="Times New Roman Regular" w:hAnsi="Times New Roman Regular" w:cs="Times New Roman Regular"/>
          <w:b/>
          <w:bCs/>
          <w:color w:val="000000"/>
          <w:kern w:val="0"/>
          <w:sz w:val="24"/>
        </w:rPr>
      </w:pPr>
    </w:p>
    <w:tbl>
      <w:tblPr>
        <w:tblStyle w:val="4"/>
        <w:tblW w:w="8506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5"/>
        <w:gridCol w:w="2727"/>
        <w:gridCol w:w="3284"/>
      </w:tblGrid>
      <w:tr>
        <w:trPr>
          <w:trHeight w:val="351" w:hRule="atLeast"/>
        </w:trPr>
        <w:tc>
          <w:tcPr>
            <w:tcW w:w="24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Health services (A)</w:t>
            </w:r>
          </w:p>
        </w:tc>
        <w:tc>
          <w:tcPr>
            <w:tcW w:w="27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Care/life support services (B)</w:t>
            </w:r>
          </w:p>
        </w:tc>
        <w:tc>
          <w:tcPr>
            <w:tcW w:w="32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Patient status (C)</w:t>
            </w:r>
          </w:p>
        </w:tc>
      </w:tr>
      <w:tr>
        <w:trPr>
          <w:trHeight w:val="20" w:hRule="atLeast"/>
        </w:trPr>
        <w:tc>
          <w:tcPr>
            <w:tcW w:w="2495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A1 Surgical or invasive operation on the day</w:t>
            </w:r>
          </w:p>
        </w:tc>
        <w:tc>
          <w:tcPr>
            <w:tcW w:w="2727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B1 Intermittent or continuous use of ventilator and/or inhalation treatment on the day</w:t>
            </w:r>
          </w:p>
        </w:tc>
        <w:tc>
          <w:tcPr>
            <w:tcW w:w="328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C1 Non-neural disorders or intestinal peristalsis in the past 24 hours</w:t>
            </w:r>
          </w:p>
        </w:tc>
      </w:tr>
      <w:tr>
        <w:trPr>
          <w:trHeight w:val="20" w:hRule="atLeast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A2 Preoperative discussion and adequate preoperative preparation are needed on the day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B2 Intermittent or persistent intravenous nutritional support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C2 Ventricular fibrillation, acute ischemia, sinoatrial node dysfunction, atrioventricular block were recorded on the progress notes or electrocardiogram reports</w:t>
            </w:r>
          </w:p>
        </w:tc>
      </w:tr>
      <w:tr>
        <w:trPr>
          <w:trHeight w:val="20" w:hRule="atLeast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A3 When new or experimental treatment is performed, the dosage should be adjusted frequently in medical care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B3 Continuous monitoring of vital signs is required on the day (At least once every 30 minutes for at least 4 hours)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C3 The axillary temperature &gt;38℃</w:t>
            </w:r>
          </w:p>
        </w:tc>
      </w:tr>
      <w:tr>
        <w:trPr>
          <w:trHeight w:val="20" w:hRule="atLeast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A4 Patients had surgeries of level three or four in the last 24 hours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B4 Nursing of incision and drainage during major operation day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C4 Loss of consciousness(At least 1 hour) </w:t>
            </w:r>
          </w:p>
        </w:tc>
      </w:tr>
      <w:tr>
        <w:trPr>
          <w:trHeight w:val="778" w:hRule="atLeast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A5 Multidisciplinary consultations are required on the day to develop treatment plans</w:t>
            </w: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B5 Being treated in ICU/CCU on the day</w:t>
            </w: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C5 Acute hematopathy, severe neutropenia, anemia, thrombocytopenia, leukocytosis, erythrocytosis, or thrombocytopenia with signs or symptoms</w:t>
            </w:r>
          </w:p>
        </w:tc>
      </w:tr>
      <w:tr>
        <w:trPr>
          <w:trHeight w:val="847" w:hRule="atLeast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C6 The vital signs were abnormal &lt;50 beats/min or &gt;140 beats/min; systolic blood pressure &lt;90 mm Hg or &gt;200 diastolic blood pressure &lt;60 mm Hg or 120 mm Hg.</w:t>
            </w:r>
          </w:p>
        </w:tc>
      </w:tr>
      <w:tr>
        <w:trPr>
          <w:trHeight w:val="574" w:hRule="atLeast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C7 Severe electrolyte imbalance or abnormal blood gas or tested with the result of critical value</w:t>
            </w:r>
          </w:p>
        </w:tc>
      </w:tr>
      <w:tr>
        <w:trPr>
          <w:trHeight w:val="554" w:hRule="atLeast"/>
        </w:trPr>
        <w:tc>
          <w:tcPr>
            <w:tcW w:w="2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C8 Progressive or acute failure of organ or circulatory/dyspnea/ progressive acute nervous system lesions</w:t>
            </w:r>
          </w:p>
        </w:tc>
      </w:tr>
      <w:tr>
        <w:trPr>
          <w:trHeight w:val="20" w:hRule="atLeast"/>
        </w:trPr>
        <w:tc>
          <w:tcPr>
            <w:tcW w:w="2495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727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28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C9 Exhiscence or active bleeding of the wound or blood transfusion due to bleeding</w:t>
            </w:r>
          </w:p>
        </w:tc>
      </w:tr>
    </w:tbl>
    <w:p>
      <w:pPr>
        <w:adjustRightInd w:val="0"/>
        <w:snapToGrid w:val="0"/>
        <w:rPr>
          <w:rFonts w:hint="default" w:ascii="Times New Roman Regular" w:hAnsi="Times New Roman Regular" w:cs="Times New Roman Regular"/>
          <w:sz w:val="24"/>
        </w:rPr>
      </w:pPr>
    </w:p>
    <w:p>
      <w:pPr>
        <w:rPr>
          <w:rFonts w:hint="default" w:ascii="Times New Roman Regular" w:hAnsi="Times New Roman Regular" w:cs="Times New Roman Regular"/>
          <w:b/>
          <w:bCs/>
          <w:color w:val="000000"/>
          <w:kern w:val="0"/>
          <w:sz w:val="24"/>
        </w:rPr>
      </w:pPr>
      <w:r>
        <w:rPr>
          <w:rFonts w:hint="default" w:ascii="Times New Roman Regular" w:hAnsi="Times New Roman Regular" w:cs="Times New Roman Regular"/>
          <w:b/>
          <w:bCs/>
          <w:color w:val="000000"/>
          <w:kern w:val="0"/>
          <w:sz w:val="24"/>
        </w:rPr>
        <w:br w:type="page"/>
      </w:r>
    </w:p>
    <w:p>
      <w:pPr>
        <w:adjustRightInd w:val="0"/>
        <w:snapToGrid w:val="0"/>
        <w:ind w:firstLine="480" w:firstLineChars="200"/>
        <w:jc w:val="center"/>
        <w:rPr>
          <w:rFonts w:hint="default" w:ascii="Times New Roman Regular" w:hAnsi="Times New Roman Regular" w:cs="Times New Roman Regular"/>
          <w:b/>
          <w:sz w:val="24"/>
        </w:rPr>
      </w:pPr>
      <w:r>
        <w:rPr>
          <w:rFonts w:hint="default" w:ascii="Times New Roman Regular" w:hAnsi="Times New Roman Regular" w:cs="Times New Roman Regular"/>
          <w:b/>
          <w:bCs/>
          <w:color w:val="000000"/>
          <w:kern w:val="0"/>
          <w:sz w:val="24"/>
        </w:rPr>
        <w:t>Appendix 2</w:t>
      </w:r>
      <w:r>
        <w:rPr>
          <w:rFonts w:hint="default" w:ascii="Times New Roman Regular" w:hAnsi="Times New Roman Regular" w:cs="Times New Roman Regular"/>
          <w:b/>
          <w:sz w:val="24"/>
        </w:rPr>
        <w:t xml:space="preserve"> Causes System of IHDs in Chinese Tertiary Hospital</w:t>
      </w:r>
    </w:p>
    <w:tbl>
      <w:tblPr>
        <w:tblStyle w:val="4"/>
        <w:tblW w:w="4829" w:type="pc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38"/>
        <w:gridCol w:w="3893"/>
      </w:tblGrid>
      <w:tr>
        <w:trPr>
          <w:trHeight w:val="416" w:hRule="atLeast"/>
        </w:trPr>
        <w:tc>
          <w:tcPr>
            <w:tcW w:w="2635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Factors related to medical providers (A)</w:t>
            </w:r>
          </w:p>
        </w:tc>
        <w:tc>
          <w:tcPr>
            <w:tcW w:w="2364" w:type="pct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b/>
                <w:bCs/>
                <w:color w:val="000000"/>
                <w:kern w:val="0"/>
                <w:sz w:val="20"/>
                <w:szCs w:val="20"/>
              </w:rPr>
              <w:t>Factors related to patients(B)</w:t>
            </w: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A1 Inadequate of hospital medical staff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B1 Request by patient or family member for extended stay</w:t>
            </w: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A2 Delays in inspection, prescription, appointment or 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  <w:lang w:val="en-US" w:eastAsia="zh-Hans"/>
              </w:rPr>
              <w:t>result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 report.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B2 The patient refused to return home or transfer</w:t>
            </w: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A3 Delays in expert consultation (e.g. waiting for expert advice)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kern w:val="0"/>
                <w:sz w:val="20"/>
                <w:szCs w:val="20"/>
              </w:rPr>
              <w:t>B3 Patients with no identity, no responsible institutions/ personnel, or no treatment bugdet</w:t>
            </w: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A4 Delays in operation (including pre-operative waiting, inadequate surgical preparation, etc.)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 xml:space="preserve">B4 Inadequate out-of-hospital services or arrangements during transfers(e.g. insufficient beds in rehabilitation or care centres) </w:t>
            </w: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A5 Doctors suspend operations for personal reasons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B5 Communities can not provide skilled care services or home care services to patients</w:t>
            </w: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A6 Delays due to the evaluation of preoperative anesthesia which is not enough to determine the effective method of anesthesia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B6 Delays due to the waiting for referra</w:t>
            </w: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  <w:lang w:val="en-US" w:eastAsia="zh-Hans"/>
              </w:rPr>
              <w:t>l</w:t>
            </w: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A7 Delays due to lack of operating rooms or tables which hinders the punctuality of the operation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A8 Delays due to the poor communication between medical staff or department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A9 Doctor's conservative views of patient management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A10 Waiting for bed arrangement when patients are transferred to hospital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A11 Over-examination, over-treatment</w:t>
            </w:r>
          </w:p>
        </w:tc>
        <w:tc>
          <w:tcPr>
            <w:tcW w:w="23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  <w:tr>
        <w:trPr>
          <w:trHeight w:val="20" w:hRule="atLeast"/>
        </w:trPr>
        <w:tc>
          <w:tcPr>
            <w:tcW w:w="2635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000000" w:fill="FFFFFF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  <w:r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  <w:t>A12 Patients were not able to determine treatment options or sign informed consent</w:t>
            </w:r>
          </w:p>
        </w:tc>
        <w:tc>
          <w:tcPr>
            <w:tcW w:w="2364" w:type="pct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hint="default" w:ascii="Times New Roman Regular" w:hAnsi="Times New Roman Regular" w:cs="Times New Roman Regular"/>
                <w:color w:val="000000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times">
    <w:altName w:val="苹方-简"/>
    <w:panose1 w:val="02020603050405020304"/>
    <w:charset w:val="00"/>
    <w:family w:val="auto"/>
    <w:pitch w:val="default"/>
    <w:sig w:usb0="00000000" w:usb1="00000000" w:usb2="00000000" w:usb3="00000000" w:csb0="00040001" w:csb1="00000000"/>
  </w:font>
  <w:font w:name="Times New Roman Regular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Palatino Linotype">
    <w:altName w:val="苹方-简"/>
    <w:panose1 w:val="02040502050505030304"/>
    <w:charset w:val="00"/>
    <w:family w:val="roman"/>
    <w:pitch w:val="default"/>
    <w:sig w:usb0="00000000" w:usb1="00000000" w:usb2="00000000" w:usb3="00000000" w:csb0="0000019F" w:csb1="00000000"/>
  </w:font>
  <w:font w:name="Book Antiqua">
    <w:altName w:val="苹方-简"/>
    <w:panose1 w:val="02040602050305030304"/>
    <w:charset w:val="00"/>
    <w:family w:val="roman"/>
    <w:pitch w:val="default"/>
    <w:sig w:usb0="00000000" w:usb1="00000000" w:usb2="00000000" w:usb3="00000000" w:csb0="0000009F" w:csb1="00000000"/>
  </w:font>
  <w:font w:name="Times New Roman Bold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Times New Roman Bold Italic">
    <w:panose1 w:val="02020603050405020304"/>
    <w:charset w:val="00"/>
    <w:family w:val="auto"/>
    <w:pitch w:val="default"/>
    <w:sig w:usb0="E0002AEF" w:usb1="C0007841" w:usb2="00000009" w:usb3="00000000" w:csb0="400001FF" w:csb1="FFFF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Helvetica">
    <w:panose1 w:val="00000000000000000000"/>
    <w:charset w:val="00"/>
    <w:family w:val="auto"/>
    <w:pitch w:val="default"/>
    <w:sig w:usb0="E00002FF" w:usb1="5000785B" w:usb2="00000000" w:usb3="00000000" w:csb0="2000019F" w:csb1="4F010000"/>
  </w:font>
  <w:font w:name="Calibri Light">
    <w:altName w:val="Helvetica Neue"/>
    <w:panose1 w:val="020F0302020204030204"/>
    <w:charset w:val="00"/>
    <w:family w:val="swiss"/>
    <w:pitch w:val="default"/>
    <w:sig w:usb0="00000000" w:usb1="00000000" w:usb2="00000009" w:usb3="00000000" w:csb0="000001FF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Arial">
    <w:panose1 w:val="020B0604020202090204"/>
    <w:charset w:val="00"/>
    <w:family w:val="auto"/>
    <w:pitch w:val="default"/>
    <w:sig w:usb0="E0000AFF" w:usb1="00007843" w:usb2="00000001" w:usb3="00000000" w:csb0="400001BF" w:csb1="DFF7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BB5D743E"/>
    <w:rsid w:val="BB5D743E"/>
    <w:rsid w:val="FBFFAA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2021-04-17T11:35:00Z</dcterms:created>
  <dc:creator>haoli</dc:creator>
  <cp:lastModifiedBy>haoli</cp:lastModifiedBy>
  <dcterms:modified xsi:type="dcterms:W3CDTF">2021-04-17T12:27:18Z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