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1EA813" w14:textId="203AD2E3" w:rsidR="00DA3600" w:rsidRPr="00D54DDB" w:rsidRDefault="00FE6406" w:rsidP="00D54DDB">
      <w:pPr>
        <w:pStyle w:val="Title"/>
        <w:rPr>
          <w:sz w:val="44"/>
          <w:szCs w:val="44"/>
        </w:rPr>
      </w:pPr>
      <w:r w:rsidRPr="00D54DDB">
        <w:rPr>
          <w:sz w:val="44"/>
          <w:szCs w:val="44"/>
        </w:rPr>
        <w:t xml:space="preserve">Supplementary </w:t>
      </w:r>
      <w:r w:rsidR="00BD77E9" w:rsidRPr="00D54DDB">
        <w:rPr>
          <w:sz w:val="44"/>
          <w:szCs w:val="44"/>
        </w:rPr>
        <w:t xml:space="preserve">Information: </w:t>
      </w:r>
      <w:r w:rsidR="0017164D" w:rsidRPr="00D54DDB">
        <w:rPr>
          <w:sz w:val="44"/>
          <w:szCs w:val="44"/>
        </w:rPr>
        <w:t>Emissions leakage and e</w:t>
      </w:r>
      <w:r w:rsidR="008A21FE">
        <w:rPr>
          <w:sz w:val="44"/>
          <w:szCs w:val="44"/>
        </w:rPr>
        <w:t>conomic</w:t>
      </w:r>
      <w:r w:rsidR="0017164D" w:rsidRPr="00D54DDB">
        <w:rPr>
          <w:sz w:val="44"/>
          <w:szCs w:val="44"/>
        </w:rPr>
        <w:t xml:space="preserve"> losses could limit the effectiveness of deforestation-linked oil crop import </w:t>
      </w:r>
      <w:proofErr w:type="gramStart"/>
      <w:r w:rsidR="0017164D" w:rsidRPr="00D54DDB">
        <w:rPr>
          <w:sz w:val="44"/>
          <w:szCs w:val="44"/>
        </w:rPr>
        <w:t>restrictions</w:t>
      </w:r>
      <w:proofErr w:type="gramEnd"/>
    </w:p>
    <w:p w14:paraId="69CB891A" w14:textId="77777777" w:rsidR="00D54DDB" w:rsidRPr="00D54DDB" w:rsidRDefault="00D54DDB" w:rsidP="00D54DDB"/>
    <w:sdt>
      <w:sdtPr>
        <w:rPr>
          <w:rFonts w:asciiTheme="minorHAnsi" w:eastAsiaTheme="minorHAnsi" w:hAnsiTheme="minorHAnsi" w:cstheme="minorBidi"/>
          <w:color w:val="auto"/>
          <w:sz w:val="22"/>
          <w:szCs w:val="22"/>
        </w:rPr>
        <w:id w:val="34166331"/>
        <w:docPartObj>
          <w:docPartGallery w:val="Table of Contents"/>
          <w:docPartUnique/>
        </w:docPartObj>
      </w:sdtPr>
      <w:sdtEndPr>
        <w:rPr>
          <w:b/>
          <w:bCs/>
          <w:noProof/>
        </w:rPr>
      </w:sdtEndPr>
      <w:sdtContent>
        <w:p w14:paraId="4CC0CFE9" w14:textId="50CDC4D3" w:rsidR="003A7FD6" w:rsidRDefault="003A7FD6">
          <w:pPr>
            <w:pStyle w:val="TOCHeading"/>
          </w:pPr>
          <w:r>
            <w:t>Contents</w:t>
          </w:r>
        </w:p>
        <w:p w14:paraId="3A1A16C9" w14:textId="6B922AD0" w:rsidR="00356E9A" w:rsidRDefault="003A7FD6">
          <w:pPr>
            <w:pStyle w:val="TOC1"/>
            <w:rPr>
              <w:rFonts w:eastAsiaTheme="minorEastAsia"/>
              <w:noProof/>
              <w:kern w:val="2"/>
              <w14:ligatures w14:val="standardContextual"/>
            </w:rPr>
          </w:pPr>
          <w:r>
            <w:fldChar w:fldCharType="begin"/>
          </w:r>
          <w:r>
            <w:instrText xml:space="preserve"> TOC \o "1-3" \h \z \u </w:instrText>
          </w:r>
          <w:r>
            <w:fldChar w:fldCharType="separate"/>
          </w:r>
          <w:hyperlink w:anchor="_Toc175849298" w:history="1">
            <w:r w:rsidR="00356E9A" w:rsidRPr="00547AED">
              <w:rPr>
                <w:rStyle w:val="Hyperlink"/>
                <w:noProof/>
              </w:rPr>
              <w:t>S1 Literature review, gaps, and our modeling approach</w:t>
            </w:r>
            <w:r w:rsidR="00356E9A">
              <w:rPr>
                <w:noProof/>
                <w:webHidden/>
              </w:rPr>
              <w:tab/>
            </w:r>
            <w:r w:rsidR="00356E9A">
              <w:rPr>
                <w:noProof/>
                <w:webHidden/>
              </w:rPr>
              <w:fldChar w:fldCharType="begin"/>
            </w:r>
            <w:r w:rsidR="00356E9A">
              <w:rPr>
                <w:noProof/>
                <w:webHidden/>
              </w:rPr>
              <w:instrText xml:space="preserve"> PAGEREF _Toc175849298 \h </w:instrText>
            </w:r>
            <w:r w:rsidR="00356E9A">
              <w:rPr>
                <w:noProof/>
                <w:webHidden/>
              </w:rPr>
            </w:r>
            <w:r w:rsidR="00356E9A">
              <w:rPr>
                <w:noProof/>
                <w:webHidden/>
              </w:rPr>
              <w:fldChar w:fldCharType="separate"/>
            </w:r>
            <w:r w:rsidR="00356E9A">
              <w:rPr>
                <w:noProof/>
                <w:webHidden/>
              </w:rPr>
              <w:t>2</w:t>
            </w:r>
            <w:r w:rsidR="00356E9A">
              <w:rPr>
                <w:noProof/>
                <w:webHidden/>
              </w:rPr>
              <w:fldChar w:fldCharType="end"/>
            </w:r>
          </w:hyperlink>
        </w:p>
        <w:p w14:paraId="15E8E0FB" w14:textId="6CCBFEE7" w:rsidR="00356E9A" w:rsidRDefault="00356E9A">
          <w:pPr>
            <w:pStyle w:val="TOC1"/>
            <w:rPr>
              <w:rFonts w:eastAsiaTheme="minorEastAsia"/>
              <w:noProof/>
              <w:kern w:val="2"/>
              <w14:ligatures w14:val="standardContextual"/>
            </w:rPr>
          </w:pPr>
          <w:hyperlink w:anchor="_Toc175849299" w:history="1">
            <w:r w:rsidRPr="00547AED">
              <w:rPr>
                <w:rStyle w:val="Hyperlink"/>
                <w:noProof/>
              </w:rPr>
              <w:t>S2 Methodology and scenario design</w:t>
            </w:r>
            <w:r>
              <w:rPr>
                <w:noProof/>
                <w:webHidden/>
              </w:rPr>
              <w:tab/>
            </w:r>
            <w:r>
              <w:rPr>
                <w:noProof/>
                <w:webHidden/>
              </w:rPr>
              <w:fldChar w:fldCharType="begin"/>
            </w:r>
            <w:r>
              <w:rPr>
                <w:noProof/>
                <w:webHidden/>
              </w:rPr>
              <w:instrText xml:space="preserve"> PAGEREF _Toc175849299 \h </w:instrText>
            </w:r>
            <w:r>
              <w:rPr>
                <w:noProof/>
                <w:webHidden/>
              </w:rPr>
            </w:r>
            <w:r>
              <w:rPr>
                <w:noProof/>
                <w:webHidden/>
              </w:rPr>
              <w:fldChar w:fldCharType="separate"/>
            </w:r>
            <w:r>
              <w:rPr>
                <w:noProof/>
                <w:webHidden/>
              </w:rPr>
              <w:t>8</w:t>
            </w:r>
            <w:r>
              <w:rPr>
                <w:noProof/>
                <w:webHidden/>
              </w:rPr>
              <w:fldChar w:fldCharType="end"/>
            </w:r>
          </w:hyperlink>
        </w:p>
        <w:p w14:paraId="220BCD5C" w14:textId="433F1ABA" w:rsidR="00356E9A" w:rsidRDefault="00356E9A">
          <w:pPr>
            <w:pStyle w:val="TOC2"/>
            <w:tabs>
              <w:tab w:val="right" w:leader="dot" w:pos="9350"/>
            </w:tabs>
            <w:rPr>
              <w:rFonts w:eastAsiaTheme="minorEastAsia"/>
              <w:noProof/>
              <w:kern w:val="2"/>
              <w14:ligatures w14:val="standardContextual"/>
            </w:rPr>
          </w:pPr>
          <w:hyperlink w:anchor="_Toc175849300" w:history="1">
            <w:r w:rsidRPr="00547AED">
              <w:rPr>
                <w:rStyle w:val="Hyperlink"/>
                <w:noProof/>
              </w:rPr>
              <w:t>S2.1 Reference scenario</w:t>
            </w:r>
            <w:r>
              <w:rPr>
                <w:noProof/>
                <w:webHidden/>
              </w:rPr>
              <w:tab/>
            </w:r>
            <w:r>
              <w:rPr>
                <w:noProof/>
                <w:webHidden/>
              </w:rPr>
              <w:fldChar w:fldCharType="begin"/>
            </w:r>
            <w:r>
              <w:rPr>
                <w:noProof/>
                <w:webHidden/>
              </w:rPr>
              <w:instrText xml:space="preserve"> PAGEREF _Toc175849300 \h </w:instrText>
            </w:r>
            <w:r>
              <w:rPr>
                <w:noProof/>
                <w:webHidden/>
              </w:rPr>
            </w:r>
            <w:r>
              <w:rPr>
                <w:noProof/>
                <w:webHidden/>
              </w:rPr>
              <w:fldChar w:fldCharType="separate"/>
            </w:r>
            <w:r>
              <w:rPr>
                <w:noProof/>
                <w:webHidden/>
              </w:rPr>
              <w:t>12</w:t>
            </w:r>
            <w:r>
              <w:rPr>
                <w:noProof/>
                <w:webHidden/>
              </w:rPr>
              <w:fldChar w:fldCharType="end"/>
            </w:r>
          </w:hyperlink>
        </w:p>
        <w:p w14:paraId="39D20389" w14:textId="67C4D38F" w:rsidR="00356E9A" w:rsidRDefault="00356E9A">
          <w:pPr>
            <w:pStyle w:val="TOC2"/>
            <w:tabs>
              <w:tab w:val="right" w:leader="dot" w:pos="9350"/>
            </w:tabs>
            <w:rPr>
              <w:rFonts w:eastAsiaTheme="minorEastAsia"/>
              <w:noProof/>
              <w:kern w:val="2"/>
              <w14:ligatures w14:val="standardContextual"/>
            </w:rPr>
          </w:pPr>
          <w:hyperlink w:anchor="_Toc175849301" w:history="1">
            <w:r w:rsidRPr="00547AED">
              <w:rPr>
                <w:rStyle w:val="Hyperlink"/>
                <w:noProof/>
              </w:rPr>
              <w:t>S2.2 Import restriction scenarios</w:t>
            </w:r>
            <w:r>
              <w:rPr>
                <w:noProof/>
                <w:webHidden/>
              </w:rPr>
              <w:tab/>
            </w:r>
            <w:r>
              <w:rPr>
                <w:noProof/>
                <w:webHidden/>
              </w:rPr>
              <w:fldChar w:fldCharType="begin"/>
            </w:r>
            <w:r>
              <w:rPr>
                <w:noProof/>
                <w:webHidden/>
              </w:rPr>
              <w:instrText xml:space="preserve"> PAGEREF _Toc175849301 \h </w:instrText>
            </w:r>
            <w:r>
              <w:rPr>
                <w:noProof/>
                <w:webHidden/>
              </w:rPr>
            </w:r>
            <w:r>
              <w:rPr>
                <w:noProof/>
                <w:webHidden/>
              </w:rPr>
              <w:fldChar w:fldCharType="separate"/>
            </w:r>
            <w:r>
              <w:rPr>
                <w:noProof/>
                <w:webHidden/>
              </w:rPr>
              <w:t>13</w:t>
            </w:r>
            <w:r>
              <w:rPr>
                <w:noProof/>
                <w:webHidden/>
              </w:rPr>
              <w:fldChar w:fldCharType="end"/>
            </w:r>
          </w:hyperlink>
        </w:p>
        <w:p w14:paraId="48DE72B0" w14:textId="4422FBB1" w:rsidR="00356E9A" w:rsidRDefault="00356E9A">
          <w:pPr>
            <w:pStyle w:val="TOC2"/>
            <w:tabs>
              <w:tab w:val="right" w:leader="dot" w:pos="9350"/>
            </w:tabs>
            <w:rPr>
              <w:rFonts w:eastAsiaTheme="minorEastAsia"/>
              <w:noProof/>
              <w:kern w:val="2"/>
              <w14:ligatures w14:val="standardContextual"/>
            </w:rPr>
          </w:pPr>
          <w:hyperlink w:anchor="_Toc175849302" w:history="1">
            <w:r w:rsidRPr="00547AED">
              <w:rPr>
                <w:rStyle w:val="Hyperlink"/>
                <w:noProof/>
              </w:rPr>
              <w:t>S2.3 Land protect scenario</w:t>
            </w:r>
            <w:r>
              <w:rPr>
                <w:noProof/>
                <w:webHidden/>
              </w:rPr>
              <w:tab/>
            </w:r>
            <w:r>
              <w:rPr>
                <w:noProof/>
                <w:webHidden/>
              </w:rPr>
              <w:fldChar w:fldCharType="begin"/>
            </w:r>
            <w:r>
              <w:rPr>
                <w:noProof/>
                <w:webHidden/>
              </w:rPr>
              <w:instrText xml:space="preserve"> PAGEREF _Toc175849302 \h </w:instrText>
            </w:r>
            <w:r>
              <w:rPr>
                <w:noProof/>
                <w:webHidden/>
              </w:rPr>
            </w:r>
            <w:r>
              <w:rPr>
                <w:noProof/>
                <w:webHidden/>
              </w:rPr>
              <w:fldChar w:fldCharType="separate"/>
            </w:r>
            <w:r>
              <w:rPr>
                <w:noProof/>
                <w:webHidden/>
              </w:rPr>
              <w:t>14</w:t>
            </w:r>
            <w:r>
              <w:rPr>
                <w:noProof/>
                <w:webHidden/>
              </w:rPr>
              <w:fldChar w:fldCharType="end"/>
            </w:r>
          </w:hyperlink>
        </w:p>
        <w:p w14:paraId="18E2B490" w14:textId="4E34201A" w:rsidR="00356E9A" w:rsidRDefault="00356E9A">
          <w:pPr>
            <w:pStyle w:val="TOC2"/>
            <w:tabs>
              <w:tab w:val="right" w:leader="dot" w:pos="9350"/>
            </w:tabs>
            <w:rPr>
              <w:rFonts w:eastAsiaTheme="minorEastAsia"/>
              <w:noProof/>
              <w:kern w:val="2"/>
              <w14:ligatures w14:val="standardContextual"/>
            </w:rPr>
          </w:pPr>
          <w:hyperlink w:anchor="_Toc175849303" w:history="1">
            <w:r w:rsidRPr="00547AED">
              <w:rPr>
                <w:rStyle w:val="Hyperlink"/>
                <w:noProof/>
              </w:rPr>
              <w:t>S2.4 Uncertainty in our scenarios</w:t>
            </w:r>
            <w:r>
              <w:rPr>
                <w:noProof/>
                <w:webHidden/>
              </w:rPr>
              <w:tab/>
            </w:r>
            <w:r>
              <w:rPr>
                <w:noProof/>
                <w:webHidden/>
              </w:rPr>
              <w:fldChar w:fldCharType="begin"/>
            </w:r>
            <w:r>
              <w:rPr>
                <w:noProof/>
                <w:webHidden/>
              </w:rPr>
              <w:instrText xml:space="preserve"> PAGEREF _Toc175849303 \h </w:instrText>
            </w:r>
            <w:r>
              <w:rPr>
                <w:noProof/>
                <w:webHidden/>
              </w:rPr>
            </w:r>
            <w:r>
              <w:rPr>
                <w:noProof/>
                <w:webHidden/>
              </w:rPr>
              <w:fldChar w:fldCharType="separate"/>
            </w:r>
            <w:r>
              <w:rPr>
                <w:noProof/>
                <w:webHidden/>
              </w:rPr>
              <w:t>14</w:t>
            </w:r>
            <w:r>
              <w:rPr>
                <w:noProof/>
                <w:webHidden/>
              </w:rPr>
              <w:fldChar w:fldCharType="end"/>
            </w:r>
          </w:hyperlink>
        </w:p>
        <w:p w14:paraId="4C35BDFF" w14:textId="17EAC0FF" w:rsidR="00356E9A" w:rsidRDefault="00356E9A">
          <w:pPr>
            <w:pStyle w:val="TOC1"/>
            <w:rPr>
              <w:rFonts w:eastAsiaTheme="minorEastAsia"/>
              <w:noProof/>
              <w:kern w:val="2"/>
              <w14:ligatures w14:val="standardContextual"/>
            </w:rPr>
          </w:pPr>
          <w:hyperlink w:anchor="_Toc175849304" w:history="1">
            <w:r w:rsidRPr="00547AED">
              <w:rPr>
                <w:rStyle w:val="Hyperlink"/>
                <w:noProof/>
              </w:rPr>
              <w:t>S3 Additional results</w:t>
            </w:r>
            <w:r>
              <w:rPr>
                <w:noProof/>
                <w:webHidden/>
              </w:rPr>
              <w:tab/>
            </w:r>
            <w:r>
              <w:rPr>
                <w:noProof/>
                <w:webHidden/>
              </w:rPr>
              <w:fldChar w:fldCharType="begin"/>
            </w:r>
            <w:r>
              <w:rPr>
                <w:noProof/>
                <w:webHidden/>
              </w:rPr>
              <w:instrText xml:space="preserve"> PAGEREF _Toc175849304 \h </w:instrText>
            </w:r>
            <w:r>
              <w:rPr>
                <w:noProof/>
                <w:webHidden/>
              </w:rPr>
            </w:r>
            <w:r>
              <w:rPr>
                <w:noProof/>
                <w:webHidden/>
              </w:rPr>
              <w:fldChar w:fldCharType="separate"/>
            </w:r>
            <w:r>
              <w:rPr>
                <w:noProof/>
                <w:webHidden/>
              </w:rPr>
              <w:t>16</w:t>
            </w:r>
            <w:r>
              <w:rPr>
                <w:noProof/>
                <w:webHidden/>
              </w:rPr>
              <w:fldChar w:fldCharType="end"/>
            </w:r>
          </w:hyperlink>
        </w:p>
        <w:p w14:paraId="44C6B6A1" w14:textId="31921B95" w:rsidR="00356E9A" w:rsidRDefault="00356E9A">
          <w:pPr>
            <w:pStyle w:val="TOC1"/>
            <w:rPr>
              <w:rFonts w:eastAsiaTheme="minorEastAsia"/>
              <w:noProof/>
              <w:kern w:val="2"/>
              <w14:ligatures w14:val="standardContextual"/>
            </w:rPr>
          </w:pPr>
          <w:hyperlink w:anchor="_Toc175849305" w:history="1">
            <w:r w:rsidRPr="00547AED">
              <w:rPr>
                <w:rStyle w:val="Hyperlink"/>
                <w:noProof/>
              </w:rPr>
              <w:t>Supplementary Information References</w:t>
            </w:r>
            <w:r>
              <w:rPr>
                <w:noProof/>
                <w:webHidden/>
              </w:rPr>
              <w:tab/>
            </w:r>
            <w:r>
              <w:rPr>
                <w:noProof/>
                <w:webHidden/>
              </w:rPr>
              <w:fldChar w:fldCharType="begin"/>
            </w:r>
            <w:r>
              <w:rPr>
                <w:noProof/>
                <w:webHidden/>
              </w:rPr>
              <w:instrText xml:space="preserve"> PAGEREF _Toc175849305 \h </w:instrText>
            </w:r>
            <w:r>
              <w:rPr>
                <w:noProof/>
                <w:webHidden/>
              </w:rPr>
            </w:r>
            <w:r>
              <w:rPr>
                <w:noProof/>
                <w:webHidden/>
              </w:rPr>
              <w:fldChar w:fldCharType="separate"/>
            </w:r>
            <w:r>
              <w:rPr>
                <w:noProof/>
                <w:webHidden/>
              </w:rPr>
              <w:t>24</w:t>
            </w:r>
            <w:r>
              <w:rPr>
                <w:noProof/>
                <w:webHidden/>
              </w:rPr>
              <w:fldChar w:fldCharType="end"/>
            </w:r>
          </w:hyperlink>
        </w:p>
        <w:p w14:paraId="1BF50221" w14:textId="165913E9" w:rsidR="003A7FD6" w:rsidRDefault="003A7FD6">
          <w:r>
            <w:rPr>
              <w:b/>
              <w:bCs/>
              <w:noProof/>
            </w:rPr>
            <w:fldChar w:fldCharType="end"/>
          </w:r>
        </w:p>
      </w:sdtContent>
    </w:sdt>
    <w:p w14:paraId="4A0B62CE" w14:textId="77777777" w:rsidR="000D2B4E" w:rsidRDefault="000D2B4E">
      <w:pPr>
        <w:rPr>
          <w:b/>
          <w:bCs/>
          <w:i/>
          <w:iCs/>
        </w:rPr>
      </w:pPr>
      <w:r>
        <w:rPr>
          <w:b/>
          <w:bCs/>
          <w:i/>
          <w:iCs/>
        </w:rPr>
        <w:br w:type="page"/>
      </w:r>
    </w:p>
    <w:p w14:paraId="2DA0C420" w14:textId="421AD804" w:rsidR="00B3707A" w:rsidRPr="004B5139" w:rsidRDefault="000D2B4E" w:rsidP="008A3FD0">
      <w:pPr>
        <w:pStyle w:val="Heading1"/>
      </w:pPr>
      <w:bookmarkStart w:id="0" w:name="_Toc175849298"/>
      <w:r>
        <w:lastRenderedPageBreak/>
        <w:t xml:space="preserve">S1 </w:t>
      </w:r>
      <w:r w:rsidRPr="004B5139">
        <w:t>Literature review</w:t>
      </w:r>
      <w:r w:rsidR="004B5139">
        <w:t>, gaps, and our modeling approach</w:t>
      </w:r>
      <w:bookmarkEnd w:id="0"/>
    </w:p>
    <w:p w14:paraId="27D58057" w14:textId="1A66392B" w:rsidR="0065718D" w:rsidRDefault="0065718D" w:rsidP="00015B50">
      <w:pPr>
        <w:ind w:firstLine="720"/>
      </w:pPr>
      <w:r>
        <w:t xml:space="preserve">Several methods have been used to analyze the implications of import restrictions on deforestation and </w:t>
      </w:r>
      <w:r w:rsidR="00030EC9">
        <w:t>land</w:t>
      </w:r>
      <w:r w:rsidR="00C72123">
        <w:t>-</w:t>
      </w:r>
      <w:r w:rsidR="00030EC9">
        <w:t>use change (</w:t>
      </w:r>
      <w:r>
        <w:t>LUC</w:t>
      </w:r>
      <w:r w:rsidR="00030EC9">
        <w:t>)</w:t>
      </w:r>
      <w:r>
        <w:t xml:space="preserve"> emissions. Here, we distinguish between two main groups of methods: impact assessments on deforestation regulation policies </w:t>
      </w:r>
      <w:r>
        <w:rPr>
          <w:b/>
          <w:bCs/>
        </w:rPr>
        <w:t xml:space="preserve">(Table S1) </w:t>
      </w:r>
      <w:r>
        <w:t xml:space="preserve">and global economic modeling studies </w:t>
      </w:r>
      <w:r>
        <w:rPr>
          <w:b/>
          <w:bCs/>
        </w:rPr>
        <w:t>(Table S2).</w:t>
      </w:r>
      <w:r>
        <w:t xml:space="preserve"> </w:t>
      </w:r>
    </w:p>
    <w:p w14:paraId="44A949AC" w14:textId="1A7FBA82" w:rsidR="0065718D" w:rsidRDefault="0065718D" w:rsidP="00015B50">
      <w:pPr>
        <w:ind w:firstLine="720"/>
      </w:pPr>
      <w:r>
        <w:t xml:space="preserve">Several impact assessments </w:t>
      </w:r>
      <w:r>
        <w:rPr>
          <w:b/>
          <w:bCs/>
        </w:rPr>
        <w:t>(Table S1)</w:t>
      </w:r>
      <w:r>
        <w:t xml:space="preserve"> were conducted prior to the enactment of EU deforestation regulations, considering various policy mechanisms. These assessments provide baseline estimates of how much deforestation and LUC emissions could be reduced with EU import restrictions in place. However, they rely on simplified assumptions about how future imports and demand could grow (e.g. using a static annual growth rate based on historical trends</w:t>
      </w:r>
      <w:r>
        <w:fldChar w:fldCharType="begin"/>
      </w:r>
      <w:r>
        <w:instrText xml:space="preserve"> ADDIN ZOTERO_ITEM CSL_CITATION {"citationID":"i0cZoriI","properties":{"formattedCitation":"\\super 1,2\\nosupersub{}","plainCitation":"1,2","noteIndex":0},"citationItems":[{"id":321,"uris":["http://zotero.org/users/11039783/items/3TS2IIXU"],"itemData":{"id":321,"type":"report","publisher":"Wood E&amp;IS GmbH","title":"Service contract on EU policy on forest products and deforestation Task 3 - Impact assessment on demand-side measures to address deforestation","URL":"https://circabc.europa.eu/ui/group/34861680-e799-4d7c-bbad-da83c45da458/library/5d098237-8bab-48a6-a6c8-2a907d80c791/details?download=true","author":[{"family":"Bougas","given":"Kastalie"},{"family":"Cherrier","given":"Victoria"},{"family":"Constantine","given":"Leonie"},{"family":"Calasso","given":"Maria Paola"},{"family":"McAndrew","given":"Keir"},{"family":"Gilbert","given":"Jenny"},{"family":"Beznea","given":"Andreea"},{"family":"Whiteoak","given":"Kym"},{"family":"Williams","given":"Rob"},{"family":"Giannis","given":"Giannelos"},{"family":"Finney","given":"Helen"},{"family":"Dyson","given":"James"},{"family":"Arets","given":"Eric"},{"family":"Berg","given":"Jolanda","non-dropping-particle":"van den"},{"family":"Kanninen","given":"Markku"},{"family":"Womack","given":"Liz"}],"issued":{"date-parts":[["2023"]]}}},{"id":1059,"uris":["http://zotero.org/users/11039783/items/I5M7T9ZP"],"itemData":{"id":1059,"type":"report","title":"The urgency of action to tackle tropical deforestation: Protecting forests and fostering sustainable agriculture","URL":"https://www.idhsustainabletrade.com/uploaded/2020/02/IDH_The-UoA-to-Tackle-Tropical-Deforestation_2020-web.pdf","author":[{"family":"IDH","given":""}],"accessed":{"date-parts":[["2024",3,4]]},"issued":{"date-parts":[["2020"]]}}}],"schema":"https://github.com/citation-style-language/schema/raw/master/csl-citation.json"} </w:instrText>
      </w:r>
      <w:r>
        <w:fldChar w:fldCharType="separate"/>
      </w:r>
      <w:r w:rsidRPr="00AA6ED7">
        <w:rPr>
          <w:rFonts w:ascii="Calibri" w:hAnsi="Calibri" w:cs="Calibri"/>
          <w:szCs w:val="24"/>
          <w:vertAlign w:val="superscript"/>
        </w:rPr>
        <w:t>1,2</w:t>
      </w:r>
      <w:r>
        <w:fldChar w:fldCharType="end"/>
      </w:r>
      <w:r>
        <w:t>). These trends might not hold in the future, given changes in socioeconomics, prices, and interactions between different regions’ demands. For example, the most recent assessment of EU’s deforestation regulations projected an annual growth rate of 1.42% for oil palm imports in EU through 2030 based on historical trends</w:t>
      </w:r>
      <w:r>
        <w:fldChar w:fldCharType="begin"/>
      </w:r>
      <w:r>
        <w:instrText xml:space="preserve"> ADDIN ZOTERO_ITEM CSL_CITATION {"citationID":"Qd7Rwiid","properties":{"formattedCitation":"\\super 1\\nosupersub{}","plainCitation":"1","noteIndex":0},"citationItems":[{"id":321,"uris":["http://zotero.org/users/11039783/items/3TS2IIXU"],"itemData":{"id":321,"type":"report","publisher":"Wood E&amp;IS GmbH","title":"Service contract on EU policy on forest products and deforestation Task 3 - Impact assessment on demand-side measures to address deforestation","URL":"https://circabc.europa.eu/ui/group/34861680-e799-4d7c-bbad-da83c45da458/library/5d098237-8bab-48a6-a6c8-2a907d80c791/details?download=true","author":[{"family":"Bougas","given":"Kastalie"},{"family":"Cherrier","given":"Victoria"},{"family":"Constantine","given":"Leonie"},{"family":"Calasso","given":"Maria Paola"},{"family":"McAndrew","given":"Keir"},{"family":"Gilbert","given":"Jenny"},{"family":"Beznea","given":"Andreea"},{"family":"Whiteoak","given":"Kym"},{"family":"Williams","given":"Rob"},{"family":"Giannis","given":"Giannelos"},{"family":"Finney","given":"Helen"},{"family":"Dyson","given":"James"},{"family":"Arets","given":"Eric"},{"family":"Berg","given":"Jolanda","non-dropping-particle":"van den"},{"family":"Kanninen","given":"Markku"},{"family":"Womack","given":"Liz"}],"issued":{"date-parts":[["2023"]]}}}],"schema":"https://github.com/citation-style-language/schema/raw/master/csl-citation.json"} </w:instrText>
      </w:r>
      <w:r>
        <w:fldChar w:fldCharType="separate"/>
      </w:r>
      <w:r w:rsidRPr="001C3383">
        <w:rPr>
          <w:rFonts w:ascii="Calibri" w:hAnsi="Calibri" w:cs="Calibri"/>
          <w:szCs w:val="24"/>
          <w:vertAlign w:val="superscript"/>
        </w:rPr>
        <w:t>1</w:t>
      </w:r>
      <w:r>
        <w:fldChar w:fldCharType="end"/>
      </w:r>
      <w:r>
        <w:t xml:space="preserve">. However, our study finds that EU import demand for oil palm could decline in future years </w:t>
      </w:r>
      <w:r w:rsidR="005C5AF4">
        <w:t xml:space="preserve">in </w:t>
      </w:r>
      <w:r>
        <w:t>our Reference scenario (</w:t>
      </w:r>
      <w:r>
        <w:rPr>
          <w:b/>
          <w:bCs/>
        </w:rPr>
        <w:t>Table S3; see S2.1</w:t>
      </w:r>
      <w:r>
        <w:t xml:space="preserve">). Levels of future import demand could be a key factor in determining how effective import-side restrictions (enacted by specific importer regions) are in reducing deforestation and </w:t>
      </w:r>
      <w:r w:rsidR="00030EC9">
        <w:t>LUC</w:t>
      </w:r>
      <w:r>
        <w:t xml:space="preserve"> emissions. Other simplified assumptions included in these impact assessments, such as static or historical deforestation intensities, LUC emissions intensities, or yield improvements, could also </w:t>
      </w:r>
      <w:r w:rsidR="00FF55D8">
        <w:t>have significant implications for</w:t>
      </w:r>
      <w:r>
        <w:t xml:space="preserve"> representing future dynamics.</w:t>
      </w:r>
    </w:p>
    <w:p w14:paraId="2D7C2194" w14:textId="006DE54C" w:rsidR="0065718D" w:rsidRPr="001F64A2" w:rsidRDefault="0065718D" w:rsidP="00015B50">
      <w:r>
        <w:tab/>
        <w:t>Economic models that include land-use sector representation or are coupled to a detailed land model offer significant advantages in understanding the implications of changes in policy (e.g. import restrictions on deforestation-linked crops) on deforestation and LUC emissions</w:t>
      </w:r>
      <w:r>
        <w:fldChar w:fldCharType="begin"/>
      </w:r>
      <w:r>
        <w:instrText xml:space="preserve"> ADDIN ZOTERO_ITEM CSL_CITATION {"citationID":"r1bxDOGw","properties":{"formattedCitation":"\\super 3\\nosupersub{}","plainCitation":"3","noteIndex":0},"citationItems":[{"id":1022,"uris":["http://zotero.org/users/11039783/items/64LL4Q25"],"itemData":{"id":1022,"type":"report","number":"EPA-420-R-23-017","publisher":"U.S. Environmental Protection Agency","title":"Model Comparison Exercise Technical Document","URL":"https://nepis.epa.gov/Exe/ZyPDF.cgi?Dockey=P1017P9B.pdf","accessed":{"date-parts":[["2024",2,27]]},"issued":{"date-parts":[["2023",6]]}}}],"schema":"https://github.com/citation-style-language/schema/raw/master/csl-citation.json"} </w:instrText>
      </w:r>
      <w:r>
        <w:fldChar w:fldCharType="separate"/>
      </w:r>
      <w:r w:rsidRPr="001C3383">
        <w:rPr>
          <w:rFonts w:ascii="Calibri" w:hAnsi="Calibri" w:cs="Calibri"/>
          <w:szCs w:val="24"/>
          <w:vertAlign w:val="superscript"/>
        </w:rPr>
        <w:t>3</w:t>
      </w:r>
      <w:r>
        <w:fldChar w:fldCharType="end"/>
      </w:r>
      <w:r>
        <w:t xml:space="preserve">. Such models represent interactions between agricultural demands, trade, land-use allocation, and resulting LUC emissions. These models can endogenously consider international market switching, agricultural commodity substitution in consumption, factor substitution in production, and land-use reallocation. Several peer reviewed studies </w:t>
      </w:r>
      <w:r>
        <w:rPr>
          <w:b/>
          <w:bCs/>
        </w:rPr>
        <w:t xml:space="preserve">(Table S2) </w:t>
      </w:r>
      <w:r>
        <w:t xml:space="preserve">used </w:t>
      </w:r>
      <w:r w:rsidR="0027613F">
        <w:t xml:space="preserve">global </w:t>
      </w:r>
      <w:r>
        <w:t xml:space="preserve">economic models to project changes in trade flows, land-use </w:t>
      </w:r>
      <w:r w:rsidR="006E7D29">
        <w:t>changes,</w:t>
      </w:r>
      <w:r>
        <w:t xml:space="preserve"> and LUC emissions. We note that many of these studies used computable general equilibrium (CGE) models, mostly GTAP-based. CGE models offer significant benefits in tracing monetary-based trade flows in a way that is consistent with macroeconomic closures. </w:t>
      </w:r>
      <w:r w:rsidRPr="007A6352">
        <w:t xml:space="preserve">However, challenges may arise in tracing physical flows or in translating </w:t>
      </w:r>
      <w:r>
        <w:t xml:space="preserve">CGE </w:t>
      </w:r>
      <w:r w:rsidRPr="007A6352">
        <w:t>results into physical units, which is especially crucial for evaluating land</w:t>
      </w:r>
      <w:r w:rsidR="00F64EB9">
        <w:t>-</w:t>
      </w:r>
      <w:r w:rsidRPr="007A6352">
        <w:t>use change and its associated emissions</w:t>
      </w:r>
      <w:r w:rsidR="00435480">
        <w:fldChar w:fldCharType="begin"/>
      </w:r>
      <w:r w:rsidR="00435480">
        <w:instrText xml:space="preserve"> ADDIN ZOTERO_ITEM CSL_CITATION {"citationID":"mEQ9NODH","properties":{"formattedCitation":"\\super 4\\nosupersub{}","plainCitation":"4","noteIndex":0},"citationItems":[{"id":1080,"uris":["http://zotero.org/users/11039783/items/BWT4YA8P"],"itemData":{"id":1080,"type":"article-journal","abstract":"Sound economic modelling of land use in global economic models is critical for evaluating agricultural, biofuel, and climate policies. Current approaches do not preserve physical land area, do not account for the fact that land is of different qualities, or do not explicitly include the cost of converting land from one use to another. This study proposes a land use modelling framework building on the additive form of the constant elasticity of transformation (ACET) approach. We demonstrated that the framework could (1) directly provide traceable physical land use results, (2) flexibly handle land productivity differences based on biophysical information, (3) explicitly introduce land conversion cost, and (4) provide welfare decomposition in light of land heterogeneity and conversion cost. An experiment of mandating a 10 percent increase in grain consumption in the US food sector showed that ignoring land heterogeneity and conversion cost would underestimate the welfare loss by 28 percent.","container-title":"Economic Modelling","DOI":"10.1016/j.econmod.2019.03.003","ISSN":"0264-9993","journalAbbreviation":"Economic Modelling","page":"13-26","source":"ScienceDirect","title":"Improving the way land use change is handled in economic models","volume":"84","author":[{"family":"Zhao","given":"Xin"},{"family":"Mensbrugghe","given":"Dominique Y.","non-dropping-particle":"van der"},{"family":"Keeney","given":"Roman M."},{"family":"Tyner","given":"Wallace E."}],"issued":{"date-parts":[["2020",1,1]]}}}],"schema":"https://github.com/citation-style-language/schema/raw/master/csl-citation.json"} </w:instrText>
      </w:r>
      <w:r w:rsidR="00435480">
        <w:fldChar w:fldCharType="separate"/>
      </w:r>
      <w:r w:rsidR="00435480" w:rsidRPr="00435480">
        <w:rPr>
          <w:rFonts w:ascii="Calibri" w:hAnsi="Calibri" w:cs="Calibri"/>
          <w:szCs w:val="24"/>
          <w:vertAlign w:val="superscript"/>
        </w:rPr>
        <w:t>4</w:t>
      </w:r>
      <w:r w:rsidR="00435480">
        <w:fldChar w:fldCharType="end"/>
      </w:r>
      <w:r>
        <w:t xml:space="preserve">.     </w:t>
      </w:r>
    </w:p>
    <w:p w14:paraId="0E20F94B" w14:textId="5DF6D107" w:rsidR="0065718D" w:rsidRDefault="0065718D" w:rsidP="0065718D">
      <w:pPr>
        <w:sectPr w:rsidR="0065718D">
          <w:pgSz w:w="12240" w:h="15840"/>
          <w:pgMar w:top="1440" w:right="1440" w:bottom="1440" w:left="1440" w:header="720" w:footer="720" w:gutter="0"/>
          <w:cols w:space="720"/>
          <w:docGrid w:linePitch="360"/>
        </w:sectPr>
      </w:pPr>
      <w:r>
        <w:tab/>
        <w:t>In this study, we use a modified version of the Global Change Analysis Model (GCAM) v7, an integrated multi-sectoral model. Using GCAM offers another perspective in understanding the implications of import restrictions on land-use changes and LUC emissions and can be a useful point of comparison with previous studies using global economic models. In contrast to CGE models, GCAM represents commodity trade in terms of physical primary equivalent units, therefore providing a more direct connection of trade flows to land use. Furthermore, while many CGE models represent implications of import restrictions in a historical counterfactual context, GCAM simulates them in a forward-looking context. Thus, using GCAM can help fill an important gap in understanding future land and economic implications of import restriction policies.</w:t>
      </w:r>
      <w:r w:rsidR="0011537D">
        <w:t xml:space="preserve"> GCAM, like </w:t>
      </w:r>
      <w:r w:rsidR="00D277D8">
        <w:t>other global economic models</w:t>
      </w:r>
      <w:r w:rsidR="00113641">
        <w:t>,</w:t>
      </w:r>
      <w:r w:rsidR="00D277D8">
        <w:t xml:space="preserve"> uses </w:t>
      </w:r>
      <w:r w:rsidR="00D67C91">
        <w:t>a “consequential” (as opposed to “attributional”</w:t>
      </w:r>
      <w:r w:rsidR="00597A68">
        <w:t>) approach in comparing scenarios (e.g.</w:t>
      </w:r>
      <w:r w:rsidR="00113641">
        <w:t>,</w:t>
      </w:r>
      <w:r w:rsidR="00597A68">
        <w:t xml:space="preserve"> between a </w:t>
      </w:r>
      <w:r w:rsidR="00597A68">
        <w:lastRenderedPageBreak/>
        <w:t xml:space="preserve">reference scenario and a </w:t>
      </w:r>
      <w:r w:rsidR="00A33B31">
        <w:t>policy scenario</w:t>
      </w:r>
      <w:r w:rsidR="00597A68">
        <w:t>)</w:t>
      </w:r>
      <w:r w:rsidR="00C33F7D">
        <w:t>.</w:t>
      </w:r>
      <w:r w:rsidR="002D6F47">
        <w:t xml:space="preserve"> This approach allows us to understand policy-included land</w:t>
      </w:r>
      <w:r w:rsidR="00586348">
        <w:t>-</w:t>
      </w:r>
      <w:r w:rsidR="002D6F47">
        <w:t xml:space="preserve"> use changes and resulting LUC </w:t>
      </w:r>
      <w:r w:rsidR="00F04543">
        <w:t>emissions, which</w:t>
      </w:r>
      <w:r w:rsidR="00621661">
        <w:t xml:space="preserve"> account for both direct and indirect land</w:t>
      </w:r>
      <w:r w:rsidR="00F64EB9">
        <w:t>-</w:t>
      </w:r>
      <w:r w:rsidR="00621661">
        <w:t xml:space="preserve"> use change.</w:t>
      </w:r>
    </w:p>
    <w:p w14:paraId="77F3E27C" w14:textId="4A3B02F0" w:rsidR="00E25A06" w:rsidRDefault="00E25A06" w:rsidP="00E25A06">
      <w:r>
        <w:rPr>
          <w:b/>
          <w:bCs/>
        </w:rPr>
        <w:lastRenderedPageBreak/>
        <w:t xml:space="preserve">Table S1. Summary of previous EU deforestation impact assessments. </w:t>
      </w:r>
      <w:r w:rsidR="00AC0863">
        <w:t>A</w:t>
      </w:r>
      <w:r>
        <w:t>dapted from Table 7.15 in Bougas et al. (2023), with details added.</w:t>
      </w:r>
    </w:p>
    <w:tbl>
      <w:tblPr>
        <w:tblStyle w:val="GridTable1Light"/>
        <w:tblW w:w="5000" w:type="pct"/>
        <w:tblLook w:val="04A0" w:firstRow="1" w:lastRow="0" w:firstColumn="1" w:lastColumn="0" w:noHBand="0" w:noVBand="1"/>
      </w:tblPr>
      <w:tblGrid>
        <w:gridCol w:w="1347"/>
        <w:gridCol w:w="1866"/>
        <w:gridCol w:w="1705"/>
        <w:gridCol w:w="2015"/>
        <w:gridCol w:w="1701"/>
        <w:gridCol w:w="2796"/>
        <w:gridCol w:w="2096"/>
      </w:tblGrid>
      <w:tr w:rsidR="00E25A06" w:rsidRPr="000D6277" w14:paraId="48AAAC52" w14:textId="77777777" w:rsidTr="00835CA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pct"/>
            <w:noWrap/>
            <w:vAlign w:val="center"/>
            <w:hideMark/>
          </w:tcPr>
          <w:p w14:paraId="6244B3BE" w14:textId="77777777" w:rsidR="00E25A06" w:rsidRPr="000D6277" w:rsidRDefault="00E25A06" w:rsidP="00835CAE">
            <w:pPr>
              <w:jc w:val="center"/>
              <w:rPr>
                <w:rFonts w:ascii="Calibri" w:eastAsia="Times New Roman" w:hAnsi="Calibri" w:cs="Calibri"/>
                <w:color w:val="000000"/>
                <w:sz w:val="18"/>
                <w:szCs w:val="18"/>
              </w:rPr>
            </w:pPr>
            <w:r w:rsidRPr="000D6277">
              <w:rPr>
                <w:rFonts w:ascii="Calibri" w:eastAsia="Times New Roman" w:hAnsi="Calibri" w:cs="Calibri"/>
                <w:color w:val="000000"/>
                <w:sz w:val="18"/>
                <w:szCs w:val="18"/>
              </w:rPr>
              <w:t>Study</w:t>
            </w:r>
          </w:p>
        </w:tc>
        <w:tc>
          <w:tcPr>
            <w:tcW w:w="0" w:type="pct"/>
            <w:noWrap/>
            <w:vAlign w:val="center"/>
            <w:hideMark/>
          </w:tcPr>
          <w:p w14:paraId="00B0743E" w14:textId="4B45ECC6" w:rsidR="00E25A06" w:rsidRPr="000D6277" w:rsidRDefault="00E25A06" w:rsidP="00835CA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Commodity</w:t>
            </w:r>
          </w:p>
        </w:tc>
        <w:tc>
          <w:tcPr>
            <w:tcW w:w="0" w:type="pct"/>
            <w:noWrap/>
            <w:vAlign w:val="center"/>
            <w:hideMark/>
          </w:tcPr>
          <w:p w14:paraId="0C681770" w14:textId="77777777" w:rsidR="00E25A06" w:rsidRPr="000D6277" w:rsidRDefault="00E25A06" w:rsidP="00835CA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Policy region</w:t>
            </w:r>
          </w:p>
        </w:tc>
        <w:tc>
          <w:tcPr>
            <w:tcW w:w="0" w:type="pct"/>
            <w:noWrap/>
            <w:vAlign w:val="center"/>
            <w:hideMark/>
          </w:tcPr>
          <w:p w14:paraId="1057DDE9" w14:textId="77777777" w:rsidR="00E25A06" w:rsidRPr="000D6277" w:rsidRDefault="00E25A06" w:rsidP="00835CA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Producing region</w:t>
            </w:r>
          </w:p>
        </w:tc>
        <w:tc>
          <w:tcPr>
            <w:tcW w:w="0" w:type="pct"/>
            <w:noWrap/>
            <w:vAlign w:val="center"/>
            <w:hideMark/>
          </w:tcPr>
          <w:p w14:paraId="15E8F7CB" w14:textId="77777777" w:rsidR="00E25A06" w:rsidRPr="000D6277" w:rsidRDefault="00E25A06" w:rsidP="00835CA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Study period</w:t>
            </w:r>
          </w:p>
        </w:tc>
        <w:tc>
          <w:tcPr>
            <w:tcW w:w="0" w:type="pct"/>
            <w:noWrap/>
            <w:vAlign w:val="center"/>
            <w:hideMark/>
          </w:tcPr>
          <w:p w14:paraId="2576F529" w14:textId="77777777" w:rsidR="00E25A06" w:rsidRPr="000D6277" w:rsidRDefault="00E25A06" w:rsidP="00835CA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Methodology/Assumptions</w:t>
            </w:r>
          </w:p>
        </w:tc>
        <w:tc>
          <w:tcPr>
            <w:tcW w:w="0" w:type="pct"/>
            <w:noWrap/>
            <w:vAlign w:val="center"/>
            <w:hideMark/>
          </w:tcPr>
          <w:p w14:paraId="5FA7EFE2" w14:textId="77777777" w:rsidR="00E25A06" w:rsidRPr="000D6277" w:rsidRDefault="00E25A06" w:rsidP="00835CA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Metrics evaluated</w:t>
            </w:r>
          </w:p>
        </w:tc>
      </w:tr>
      <w:tr w:rsidR="00E25A06" w:rsidRPr="000D6277" w14:paraId="633453D1" w14:textId="77777777" w:rsidTr="00835CAE">
        <w:trPr>
          <w:trHeight w:val="1440"/>
        </w:trPr>
        <w:tc>
          <w:tcPr>
            <w:cnfStyle w:val="001000000000" w:firstRow="0" w:lastRow="0" w:firstColumn="1" w:lastColumn="0" w:oddVBand="0" w:evenVBand="0" w:oddHBand="0" w:evenHBand="0" w:firstRowFirstColumn="0" w:firstRowLastColumn="0" w:lastRowFirstColumn="0" w:lastRowLastColumn="0"/>
            <w:tcW w:w="0" w:type="pct"/>
            <w:vAlign w:val="center"/>
          </w:tcPr>
          <w:p w14:paraId="56A1A7A5" w14:textId="77777777" w:rsidR="00E25A06" w:rsidRPr="000D6277" w:rsidRDefault="00E25A06" w:rsidP="00015B50">
            <w:pPr>
              <w:rPr>
                <w:rFonts w:ascii="Calibri" w:eastAsia="Times New Roman" w:hAnsi="Calibri" w:cs="Calibri"/>
                <w:color w:val="000000"/>
                <w:sz w:val="18"/>
                <w:szCs w:val="18"/>
              </w:rPr>
            </w:pPr>
            <w:r>
              <w:rPr>
                <w:rFonts w:ascii="Calibri" w:eastAsia="Times New Roman" w:hAnsi="Calibri" w:cs="Calibri"/>
                <w:color w:val="000000"/>
                <w:sz w:val="18"/>
                <w:szCs w:val="18"/>
              </w:rPr>
              <w:t>Bougas et al. (2023)</w:t>
            </w:r>
            <w:r>
              <w:rPr>
                <w:rFonts w:ascii="Calibri" w:eastAsia="Times New Roman" w:hAnsi="Calibri" w:cs="Calibri"/>
                <w:color w:val="000000"/>
                <w:sz w:val="18"/>
                <w:szCs w:val="18"/>
              </w:rPr>
              <w:fldChar w:fldCharType="begin"/>
            </w:r>
            <w:r>
              <w:rPr>
                <w:rFonts w:ascii="Calibri" w:eastAsia="Times New Roman" w:hAnsi="Calibri" w:cs="Calibri"/>
                <w:color w:val="000000"/>
                <w:sz w:val="18"/>
                <w:szCs w:val="18"/>
              </w:rPr>
              <w:instrText xml:space="preserve"> ADDIN ZOTERO_ITEM CSL_CITATION {"citationID":"SdMUUee2","properties":{"formattedCitation":"\\super 1\\nosupersub{}","plainCitation":"1","noteIndex":0},"citationItems":[{"id":321,"uris":["http://zotero.org/users/11039783/items/3TS2IIXU"],"itemData":{"id":321,"type":"report","publisher":"Wood E&amp;IS GmbH","title":"Service contract on EU policy on forest products and deforestation Task 3 - Impact assessment on demand-side measures to address deforestation","URL":"https://circabc.europa.eu/ui/group/34861680-e799-4d7c-bbad-da83c45da458/library/5d098237-8bab-48a6-a6c8-2a907d80c791/details?download=true","author":[{"family":"Bougas","given":"Kastalie"},{"family":"Cherrier","given":"Victoria"},{"family":"Constantine","given":"Leonie"},{"family":"Calasso","given":"Maria Paola"},{"family":"McAndrew","given":"Keir"},{"family":"Gilbert","given":"Jenny"},{"family":"Beznea","given":"Andreea"},{"family":"Whiteoak","given":"Kym"},{"family":"Williams","given":"Rob"},{"family":"Giannis","given":"Giannelos"},{"family":"Finney","given":"Helen"},{"family":"Dyson","given":"James"},{"family":"Arets","given":"Eric"},{"family":"Berg","given":"Jolanda","non-dropping-particle":"van den"},{"family":"Kanninen","given":"Markku"},{"family":"Womack","given":"Liz"}],"issued":{"date-parts":[["2023"]]}}}],"schema":"https://github.com/citation-style-language/schema/raw/master/csl-citation.json"} </w:instrText>
            </w:r>
            <w:r>
              <w:rPr>
                <w:rFonts w:ascii="Calibri" w:eastAsia="Times New Roman" w:hAnsi="Calibri" w:cs="Calibri"/>
                <w:color w:val="000000"/>
                <w:sz w:val="18"/>
                <w:szCs w:val="18"/>
              </w:rPr>
              <w:fldChar w:fldCharType="separate"/>
            </w:r>
            <w:r w:rsidRPr="001B7B91">
              <w:rPr>
                <w:rFonts w:ascii="Calibri" w:hAnsi="Calibri" w:cs="Calibri"/>
                <w:sz w:val="18"/>
                <w:szCs w:val="24"/>
                <w:vertAlign w:val="superscript"/>
              </w:rPr>
              <w:t>1</w:t>
            </w:r>
            <w:r>
              <w:rPr>
                <w:rFonts w:ascii="Calibri" w:eastAsia="Times New Roman" w:hAnsi="Calibri" w:cs="Calibri"/>
                <w:color w:val="000000"/>
                <w:sz w:val="18"/>
                <w:szCs w:val="18"/>
              </w:rPr>
              <w:fldChar w:fldCharType="end"/>
            </w:r>
          </w:p>
        </w:tc>
        <w:tc>
          <w:tcPr>
            <w:tcW w:w="0" w:type="pct"/>
          </w:tcPr>
          <w:p w14:paraId="12A94753"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All commodities covered in EU’s deforestation regulation: Palm oil, cattle (beef), cocoa, coffee, soy, and wood products</w:t>
            </w:r>
          </w:p>
        </w:tc>
        <w:tc>
          <w:tcPr>
            <w:tcW w:w="0" w:type="pct"/>
          </w:tcPr>
          <w:p w14:paraId="03220197"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EU</w:t>
            </w:r>
          </w:p>
        </w:tc>
        <w:tc>
          <w:tcPr>
            <w:tcW w:w="0" w:type="pct"/>
          </w:tcPr>
          <w:p w14:paraId="4AA3A771"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Global</w:t>
            </w:r>
          </w:p>
        </w:tc>
        <w:tc>
          <w:tcPr>
            <w:tcW w:w="0" w:type="pct"/>
          </w:tcPr>
          <w:p w14:paraId="035B6CA1"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2009-2019 (historical analysis) and projections to 2030</w:t>
            </w:r>
          </w:p>
        </w:tc>
        <w:tc>
          <w:tcPr>
            <w:tcW w:w="0" w:type="pct"/>
          </w:tcPr>
          <w:p w14:paraId="6563070C" w14:textId="77777777" w:rsidR="00E25A06" w:rsidRPr="00010225"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 xml:space="preserve">1. </w:t>
            </w:r>
            <w:r w:rsidRPr="00010225">
              <w:rPr>
                <w:rFonts w:ascii="Calibri" w:eastAsia="Times New Roman" w:hAnsi="Calibri" w:cs="Calibri"/>
                <w:color w:val="000000"/>
                <w:sz w:val="18"/>
                <w:szCs w:val="18"/>
              </w:rPr>
              <w:t xml:space="preserve">Uses import data as </w:t>
            </w:r>
            <w:r>
              <w:rPr>
                <w:rFonts w:ascii="Calibri" w:eastAsia="Times New Roman" w:hAnsi="Calibri" w:cs="Calibri"/>
                <w:color w:val="000000"/>
                <w:sz w:val="18"/>
                <w:szCs w:val="18"/>
              </w:rPr>
              <w:t xml:space="preserve">a </w:t>
            </w:r>
            <w:r w:rsidRPr="00010225">
              <w:rPr>
                <w:rFonts w:ascii="Calibri" w:eastAsia="Times New Roman" w:hAnsi="Calibri" w:cs="Calibri"/>
                <w:color w:val="000000"/>
                <w:sz w:val="18"/>
                <w:szCs w:val="18"/>
              </w:rPr>
              <w:t>proxy for consumption</w:t>
            </w:r>
          </w:p>
          <w:p w14:paraId="231237CB" w14:textId="77777777" w:rsidR="00E25A06" w:rsidRPr="00010225"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2. Uses static annual growth rate for EU commodity demand</w:t>
            </w:r>
          </w:p>
          <w:p w14:paraId="0CF337D2"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3. Uses static deforestation (ha/tonne) and emissions (tCO</w:t>
            </w:r>
            <w:r w:rsidRPr="00835CAE">
              <w:rPr>
                <w:rFonts w:ascii="Calibri" w:eastAsia="Times New Roman" w:hAnsi="Calibri" w:cs="Calibri"/>
                <w:color w:val="000000"/>
                <w:sz w:val="18"/>
                <w:szCs w:val="18"/>
                <w:vertAlign w:val="subscript"/>
              </w:rPr>
              <w:t>2</w:t>
            </w:r>
            <w:r>
              <w:rPr>
                <w:rFonts w:ascii="Calibri" w:eastAsia="Times New Roman" w:hAnsi="Calibri" w:cs="Calibri"/>
                <w:color w:val="000000"/>
                <w:sz w:val="18"/>
                <w:szCs w:val="18"/>
              </w:rPr>
              <w:t>/tonne) intensity of imports</w:t>
            </w:r>
          </w:p>
          <w:p w14:paraId="69B13B4B"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4. Leakage not considered</w:t>
            </w:r>
          </w:p>
          <w:p w14:paraId="4F3C9B70"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p>
        </w:tc>
        <w:tc>
          <w:tcPr>
            <w:tcW w:w="0" w:type="pct"/>
          </w:tcPr>
          <w:p w14:paraId="632406CE" w14:textId="5219F37E"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1. Land</w:t>
            </w:r>
            <w:r w:rsidR="00586348">
              <w:rPr>
                <w:rFonts w:ascii="Calibri" w:eastAsia="Times New Roman" w:hAnsi="Calibri" w:cs="Calibri"/>
                <w:color w:val="000000"/>
                <w:sz w:val="18"/>
                <w:szCs w:val="18"/>
              </w:rPr>
              <w:t>-</w:t>
            </w:r>
            <w:r>
              <w:rPr>
                <w:rFonts w:ascii="Calibri" w:eastAsia="Times New Roman" w:hAnsi="Calibri" w:cs="Calibri"/>
                <w:color w:val="000000"/>
                <w:sz w:val="18"/>
                <w:szCs w:val="18"/>
              </w:rPr>
              <w:t>use changes</w:t>
            </w:r>
          </w:p>
          <w:p w14:paraId="7825F4FC"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2. LUC emissions</w:t>
            </w:r>
          </w:p>
        </w:tc>
      </w:tr>
      <w:tr w:rsidR="00E25A06" w:rsidRPr="000D6277" w14:paraId="08EE59DE" w14:textId="77777777" w:rsidTr="00835CAE">
        <w:trPr>
          <w:trHeight w:val="1728"/>
        </w:trPr>
        <w:tc>
          <w:tcPr>
            <w:cnfStyle w:val="001000000000" w:firstRow="0" w:lastRow="0" w:firstColumn="1" w:lastColumn="0" w:oddVBand="0" w:evenVBand="0" w:oddHBand="0" w:evenHBand="0" w:firstRowFirstColumn="0" w:firstRowLastColumn="0" w:lastRowFirstColumn="0" w:lastRowLastColumn="0"/>
            <w:tcW w:w="0" w:type="pct"/>
            <w:vAlign w:val="center"/>
          </w:tcPr>
          <w:p w14:paraId="698064E5" w14:textId="77777777" w:rsidR="00E25A06" w:rsidRDefault="00E25A06" w:rsidP="00015B50">
            <w:pPr>
              <w:rPr>
                <w:rFonts w:ascii="Calibri" w:eastAsia="Times New Roman" w:hAnsi="Calibri" w:cs="Calibri"/>
                <w:color w:val="000000"/>
                <w:sz w:val="18"/>
                <w:szCs w:val="18"/>
              </w:rPr>
            </w:pPr>
            <w:r>
              <w:rPr>
                <w:rFonts w:ascii="Calibri" w:eastAsia="Times New Roman" w:hAnsi="Calibri" w:cs="Calibri"/>
                <w:color w:val="000000"/>
                <w:sz w:val="18"/>
                <w:szCs w:val="18"/>
              </w:rPr>
              <w:t>IDH (2020)</w:t>
            </w:r>
            <w:r>
              <w:rPr>
                <w:rFonts w:ascii="Calibri" w:eastAsia="Times New Roman" w:hAnsi="Calibri" w:cs="Calibri"/>
                <w:color w:val="000000"/>
                <w:sz w:val="18"/>
                <w:szCs w:val="18"/>
              </w:rPr>
              <w:fldChar w:fldCharType="begin"/>
            </w:r>
            <w:r>
              <w:rPr>
                <w:rFonts w:ascii="Calibri" w:eastAsia="Times New Roman" w:hAnsi="Calibri" w:cs="Calibri"/>
                <w:color w:val="000000"/>
                <w:sz w:val="18"/>
                <w:szCs w:val="18"/>
              </w:rPr>
              <w:instrText xml:space="preserve"> ADDIN ZOTERO_ITEM CSL_CITATION {"citationID":"3jNS0iqS","properties":{"formattedCitation":"\\super 2\\nosupersub{}","plainCitation":"2","noteIndex":0},"citationItems":[{"id":1059,"uris":["http://zotero.org/users/11039783/items/I5M7T9ZP"],"itemData":{"id":1059,"type":"report","title":"The urgency of action to tackle tropical deforestation: Protecting forests and fostering sustainable agriculture","URL":"https://www.idhsustainabletrade.com/uploaded/2020/02/IDH_The-UoA-to-Tackle-Tropical-Deforestation_2020-web.pdf","author":[{"family":"IDH","given":""}],"accessed":{"date-parts":[["2024",3,4]]},"issued":{"date-parts":[["2020"]]}}}],"schema":"https://github.com/citation-style-language/schema/raw/master/csl-citation.json"} </w:instrText>
            </w:r>
            <w:r>
              <w:rPr>
                <w:rFonts w:ascii="Calibri" w:eastAsia="Times New Roman" w:hAnsi="Calibri" w:cs="Calibri"/>
                <w:color w:val="000000"/>
                <w:sz w:val="18"/>
                <w:szCs w:val="18"/>
              </w:rPr>
              <w:fldChar w:fldCharType="separate"/>
            </w:r>
            <w:r w:rsidRPr="001B7B91">
              <w:rPr>
                <w:rFonts w:ascii="Calibri" w:hAnsi="Calibri" w:cs="Calibri"/>
                <w:sz w:val="18"/>
                <w:szCs w:val="24"/>
                <w:vertAlign w:val="superscript"/>
              </w:rPr>
              <w:t>2</w:t>
            </w:r>
            <w:r>
              <w:rPr>
                <w:rFonts w:ascii="Calibri" w:eastAsia="Times New Roman" w:hAnsi="Calibri" w:cs="Calibri"/>
                <w:color w:val="000000"/>
                <w:sz w:val="18"/>
                <w:szCs w:val="18"/>
              </w:rPr>
              <w:fldChar w:fldCharType="end"/>
            </w:r>
          </w:p>
        </w:tc>
        <w:tc>
          <w:tcPr>
            <w:tcW w:w="0" w:type="pct"/>
          </w:tcPr>
          <w:p w14:paraId="7DAB9B93"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Palm oil and soy</w:t>
            </w:r>
          </w:p>
        </w:tc>
        <w:tc>
          <w:tcPr>
            <w:tcW w:w="0" w:type="pct"/>
          </w:tcPr>
          <w:p w14:paraId="3B7C564E"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12 countries in EU</w:t>
            </w:r>
          </w:p>
        </w:tc>
        <w:tc>
          <w:tcPr>
            <w:tcW w:w="0" w:type="pct"/>
          </w:tcPr>
          <w:p w14:paraId="2C07CA93"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Global</w:t>
            </w:r>
          </w:p>
        </w:tc>
        <w:tc>
          <w:tcPr>
            <w:tcW w:w="0" w:type="pct"/>
          </w:tcPr>
          <w:p w14:paraId="41F333E2"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2018-2030</w:t>
            </w:r>
          </w:p>
        </w:tc>
        <w:tc>
          <w:tcPr>
            <w:tcW w:w="0" w:type="pct"/>
          </w:tcPr>
          <w:p w14:paraId="2A1A2DB5"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1. Uses static annual growth rates for EU commodity demand and sustainably sourced share</w:t>
            </w:r>
          </w:p>
          <w:p w14:paraId="495852F8"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 xml:space="preserve">2. Estimates land needed to satisfy future demand, with country-specific (historical trend) yield improvements </w:t>
            </w:r>
          </w:p>
          <w:p w14:paraId="5C73C23E"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3. Uses static emissions intensity of imports</w:t>
            </w:r>
          </w:p>
          <w:p w14:paraId="5FEFAFAB"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4. Leakage not considered</w:t>
            </w:r>
          </w:p>
          <w:p w14:paraId="09332996"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p>
        </w:tc>
        <w:tc>
          <w:tcPr>
            <w:tcW w:w="0" w:type="pct"/>
          </w:tcPr>
          <w:p w14:paraId="0ACF19A4" w14:textId="782E6954"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1. Land</w:t>
            </w:r>
            <w:r w:rsidR="00586348">
              <w:rPr>
                <w:rFonts w:ascii="Calibri" w:eastAsia="Times New Roman" w:hAnsi="Calibri" w:cs="Calibri"/>
                <w:color w:val="000000"/>
                <w:sz w:val="18"/>
                <w:szCs w:val="18"/>
              </w:rPr>
              <w:t>-</w:t>
            </w:r>
            <w:r>
              <w:rPr>
                <w:rFonts w:ascii="Calibri" w:eastAsia="Times New Roman" w:hAnsi="Calibri" w:cs="Calibri"/>
                <w:color w:val="000000"/>
                <w:sz w:val="18"/>
                <w:szCs w:val="18"/>
              </w:rPr>
              <w:t>use changes</w:t>
            </w:r>
          </w:p>
          <w:p w14:paraId="46175A41"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2. LUC emissions</w:t>
            </w:r>
          </w:p>
        </w:tc>
      </w:tr>
      <w:tr w:rsidR="00E25A06" w:rsidRPr="000D6277" w14:paraId="301046A7" w14:textId="77777777" w:rsidTr="00835CAE">
        <w:trPr>
          <w:trHeight w:val="1584"/>
        </w:trPr>
        <w:tc>
          <w:tcPr>
            <w:cnfStyle w:val="001000000000" w:firstRow="0" w:lastRow="0" w:firstColumn="1" w:lastColumn="0" w:oddVBand="0" w:evenVBand="0" w:oddHBand="0" w:evenHBand="0" w:firstRowFirstColumn="0" w:firstRowLastColumn="0" w:lastRowFirstColumn="0" w:lastRowLastColumn="0"/>
            <w:tcW w:w="0" w:type="pct"/>
            <w:vAlign w:val="center"/>
          </w:tcPr>
          <w:p w14:paraId="3AFA3C7E" w14:textId="5D909EC2" w:rsidR="00E25A06" w:rsidRDefault="00E25A06" w:rsidP="00015B50">
            <w:pPr>
              <w:rPr>
                <w:rFonts w:ascii="Calibri" w:eastAsia="Times New Roman" w:hAnsi="Calibri" w:cs="Calibri"/>
                <w:color w:val="000000"/>
                <w:sz w:val="18"/>
                <w:szCs w:val="18"/>
              </w:rPr>
            </w:pPr>
            <w:r>
              <w:rPr>
                <w:rFonts w:ascii="Calibri" w:eastAsia="Times New Roman" w:hAnsi="Calibri" w:cs="Calibri"/>
                <w:color w:val="000000"/>
                <w:sz w:val="18"/>
                <w:szCs w:val="18"/>
              </w:rPr>
              <w:t>Heflich (2018)</w:t>
            </w:r>
            <w:r>
              <w:rPr>
                <w:rFonts w:ascii="Calibri" w:eastAsia="Times New Roman" w:hAnsi="Calibri" w:cs="Calibri"/>
                <w:color w:val="000000"/>
                <w:sz w:val="18"/>
                <w:szCs w:val="18"/>
              </w:rPr>
              <w:fldChar w:fldCharType="begin"/>
            </w:r>
            <w:r w:rsidR="00435480">
              <w:rPr>
                <w:rFonts w:ascii="Calibri" w:eastAsia="Times New Roman" w:hAnsi="Calibri" w:cs="Calibri"/>
                <w:color w:val="000000"/>
                <w:sz w:val="18"/>
                <w:szCs w:val="18"/>
              </w:rPr>
              <w:instrText xml:space="preserve"> ADDIN ZOTERO_ITEM CSL_CITATION {"citationID":"DLcL70hs","properties":{"formattedCitation":"\\super 5\\nosupersub{}","plainCitation":"5","noteIndex":0},"citationItems":[{"id":1047,"uris":["http://zotero.org/users/11039783/items/HTRGQ6UT"],"itemData":{"id":1047,"type":"book","event-place":"LU","language":"en","publisher":"Publications Office","publisher-place":"LU","source":"DOI.org (CSL JSON)","title":"An EU legal framework to halt and reverse EU-driven global deforestation: European added value assessment.","title-short":"An EU legal framework to halt and reverse EU-driven global deforestation","URL":"https://data.europa.eu/doi/10.2861/30417","author":[{"family":"Heflich","given":"Alexandra"}],"accessed":{"date-parts":[["2024",3,4]]},"issued":{"date-parts":[["2020"]]}}}],"schema":"https://github.com/citation-style-language/schema/raw/master/csl-citation.json"} </w:instrText>
            </w:r>
            <w:r>
              <w:rPr>
                <w:rFonts w:ascii="Calibri" w:eastAsia="Times New Roman" w:hAnsi="Calibri" w:cs="Calibri"/>
                <w:color w:val="000000"/>
                <w:sz w:val="18"/>
                <w:szCs w:val="18"/>
              </w:rPr>
              <w:fldChar w:fldCharType="separate"/>
            </w:r>
            <w:r w:rsidR="00435480" w:rsidRPr="00435480">
              <w:rPr>
                <w:rFonts w:ascii="Calibri" w:hAnsi="Calibri" w:cs="Calibri"/>
                <w:sz w:val="18"/>
                <w:szCs w:val="24"/>
                <w:vertAlign w:val="superscript"/>
              </w:rPr>
              <w:t>5</w:t>
            </w:r>
            <w:r>
              <w:rPr>
                <w:rFonts w:ascii="Calibri" w:eastAsia="Times New Roman" w:hAnsi="Calibri" w:cs="Calibri"/>
                <w:color w:val="000000"/>
                <w:sz w:val="18"/>
                <w:szCs w:val="18"/>
              </w:rPr>
              <w:fldChar w:fldCharType="end"/>
            </w:r>
          </w:p>
        </w:tc>
        <w:tc>
          <w:tcPr>
            <w:tcW w:w="0" w:type="pct"/>
          </w:tcPr>
          <w:p w14:paraId="2CEF7302"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Beef, soy, palm oil, maize, sugar, rapeseed</w:t>
            </w:r>
          </w:p>
        </w:tc>
        <w:tc>
          <w:tcPr>
            <w:tcW w:w="0" w:type="pct"/>
          </w:tcPr>
          <w:p w14:paraId="791BE745"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EU</w:t>
            </w:r>
          </w:p>
        </w:tc>
        <w:tc>
          <w:tcPr>
            <w:tcW w:w="0" w:type="pct"/>
          </w:tcPr>
          <w:p w14:paraId="3E843036"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Global</w:t>
            </w:r>
          </w:p>
        </w:tc>
        <w:tc>
          <w:tcPr>
            <w:tcW w:w="0" w:type="pct"/>
          </w:tcPr>
          <w:p w14:paraId="703A620E"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1970-2016 (historical analysis) and projections to 2030</w:t>
            </w:r>
          </w:p>
        </w:tc>
        <w:tc>
          <w:tcPr>
            <w:tcW w:w="0" w:type="pct"/>
          </w:tcPr>
          <w:p w14:paraId="0AD09625"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1. Estimates import price increases due to regulations and use the E3ME model to project annual growth rates for each commodity through 2030</w:t>
            </w:r>
          </w:p>
          <w:p w14:paraId="7F1CC202"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2. Uses static share of EU imports in total consumption</w:t>
            </w:r>
          </w:p>
          <w:p w14:paraId="0D4BCC41" w14:textId="3FCC8C98"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3. Uses static deforestation and emissions intensity</w:t>
            </w:r>
          </w:p>
          <w:p w14:paraId="2FE7811A"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4. Leakage not considered</w:t>
            </w:r>
          </w:p>
          <w:p w14:paraId="5F5091B8"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p>
        </w:tc>
        <w:tc>
          <w:tcPr>
            <w:tcW w:w="0" w:type="pct"/>
          </w:tcPr>
          <w:p w14:paraId="30F3206D" w14:textId="39EFF61C"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1. Land</w:t>
            </w:r>
            <w:r w:rsidR="00586348">
              <w:rPr>
                <w:rFonts w:ascii="Calibri" w:eastAsia="Times New Roman" w:hAnsi="Calibri" w:cs="Calibri"/>
                <w:color w:val="000000"/>
                <w:sz w:val="18"/>
                <w:szCs w:val="18"/>
              </w:rPr>
              <w:t>-</w:t>
            </w:r>
            <w:r>
              <w:rPr>
                <w:rFonts w:ascii="Calibri" w:eastAsia="Times New Roman" w:hAnsi="Calibri" w:cs="Calibri"/>
                <w:color w:val="000000"/>
                <w:sz w:val="18"/>
                <w:szCs w:val="18"/>
              </w:rPr>
              <w:t>use changes</w:t>
            </w:r>
          </w:p>
          <w:p w14:paraId="7A2FD49A"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2. LUC emissions</w:t>
            </w:r>
          </w:p>
          <w:p w14:paraId="17FC2470"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3. EU GDP and employment</w:t>
            </w:r>
          </w:p>
          <w:p w14:paraId="3F0EA658"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p>
        </w:tc>
      </w:tr>
      <w:tr w:rsidR="00E25A06" w:rsidRPr="000D6277" w14:paraId="21AA2D56" w14:textId="77777777" w:rsidTr="00835CAE">
        <w:trPr>
          <w:trHeight w:val="1296"/>
        </w:trPr>
        <w:tc>
          <w:tcPr>
            <w:cnfStyle w:val="001000000000" w:firstRow="0" w:lastRow="0" w:firstColumn="1" w:lastColumn="0" w:oddVBand="0" w:evenVBand="0" w:oddHBand="0" w:evenHBand="0" w:firstRowFirstColumn="0" w:firstRowLastColumn="0" w:lastRowFirstColumn="0" w:lastRowLastColumn="0"/>
            <w:tcW w:w="0" w:type="pct"/>
            <w:vAlign w:val="center"/>
          </w:tcPr>
          <w:p w14:paraId="7B732F7C" w14:textId="6BAB1B58" w:rsidR="00E25A06" w:rsidRDefault="00E25A06" w:rsidP="00015B50">
            <w:pPr>
              <w:rPr>
                <w:rFonts w:ascii="Calibri" w:eastAsia="Times New Roman" w:hAnsi="Calibri" w:cs="Calibri"/>
                <w:color w:val="000000"/>
                <w:sz w:val="18"/>
                <w:szCs w:val="18"/>
              </w:rPr>
            </w:pPr>
            <w:r>
              <w:rPr>
                <w:rFonts w:ascii="Calibri" w:eastAsia="Times New Roman" w:hAnsi="Calibri" w:cs="Calibri"/>
                <w:color w:val="000000"/>
                <w:sz w:val="18"/>
                <w:szCs w:val="18"/>
              </w:rPr>
              <w:t>COWI (2018)</w:t>
            </w:r>
            <w:r>
              <w:rPr>
                <w:rFonts w:ascii="Calibri" w:eastAsia="Times New Roman" w:hAnsi="Calibri" w:cs="Calibri"/>
                <w:color w:val="000000"/>
                <w:sz w:val="18"/>
                <w:szCs w:val="18"/>
              </w:rPr>
              <w:fldChar w:fldCharType="begin"/>
            </w:r>
            <w:r w:rsidR="00435480">
              <w:rPr>
                <w:rFonts w:ascii="Calibri" w:eastAsia="Times New Roman" w:hAnsi="Calibri" w:cs="Calibri"/>
                <w:color w:val="000000"/>
                <w:sz w:val="18"/>
                <w:szCs w:val="18"/>
              </w:rPr>
              <w:instrText xml:space="preserve"> ADDIN ZOTERO_ITEM CSL_CITATION {"citationID":"wlr5Y27z","properties":{"formattedCitation":"\\super 6\\nosupersub{}","plainCitation":"6","noteIndex":0},"citationItems":[{"id":1044,"uris":["http://zotero.org/users/11039783/items/BQE7DPBT"],"itemData":{"id":1044,"type":"report","abstract":"This study explores the feasibility of options to step up EU action against deforestation. Its results are presented in two reports: 'Part I: Background analysis and setting the scene: scale and trends of global deforestation and assessment of EU contribution' and 'Part II: A potential EU initiative on deforestation: possible interventions'. Part I analyses recent global and regional trends in deforestation and the linkages with the production and consumption of twelve key Forest Risk Commodities, with a focus on the role of the EU and its impacts. Further, the study reviews relevant EU policies, legislation and initiatives and ongoing international and regional efforts by private sector, governments and civil society. Building on the analytical insights gained in Part I, the Part II report makes suggestions on the framing of a possible EU initiative to tackle deforestation and its root causes and drivers. This includes specific objectives and a range of potential EU interventions tackling different dimension of the problem (supply and demand side drivers, as well as the role of finance &amp; investments). All identified interventions are assessed against a shared set of assessment criteria: feasibility and effectiveness; political acceptance, technical complexity; and administrative costs. Given the complexity of the problem, any potential EU initiative should consider a package of interventions which addresses the supply, demand and finance dimensions, building on and reinforcing existing EU action as well as government and private sector commitments on zero deforestation and other relevant international initiatives.","language":"en","publisher":"Publications Office","source":"DOI.org (CSL JSON)","title":"Feasibility study on options to step up EU action against deforestation: PART I, background analysis, scale and trends of global deforestation and assessment of EU contribution and PART II, a potential EU initiative on deforestation, possible interventions.","title-short":"Feasibility study on options to step up EU action against deforestation","URL":"https://data.europa.eu/doi/10.2779/97793","author":[{"literal":"COWI."}],"accessed":{"date-parts":[["2024",3,4]]},"issued":{"date-parts":[["2018"]]}}}],"schema":"https://github.com/citation-style-language/schema/raw/master/csl-citation.json"} </w:instrText>
            </w:r>
            <w:r>
              <w:rPr>
                <w:rFonts w:ascii="Calibri" w:eastAsia="Times New Roman" w:hAnsi="Calibri" w:cs="Calibri"/>
                <w:color w:val="000000"/>
                <w:sz w:val="18"/>
                <w:szCs w:val="18"/>
              </w:rPr>
              <w:fldChar w:fldCharType="separate"/>
            </w:r>
            <w:r w:rsidR="00435480" w:rsidRPr="00435480">
              <w:rPr>
                <w:rFonts w:ascii="Calibri" w:hAnsi="Calibri" w:cs="Calibri"/>
                <w:sz w:val="18"/>
                <w:szCs w:val="24"/>
                <w:vertAlign w:val="superscript"/>
              </w:rPr>
              <w:t>6</w:t>
            </w:r>
            <w:r>
              <w:rPr>
                <w:rFonts w:ascii="Calibri" w:eastAsia="Times New Roman" w:hAnsi="Calibri" w:cs="Calibri"/>
                <w:color w:val="000000"/>
                <w:sz w:val="18"/>
                <w:szCs w:val="18"/>
              </w:rPr>
              <w:fldChar w:fldCharType="end"/>
            </w:r>
          </w:p>
        </w:tc>
        <w:tc>
          <w:tcPr>
            <w:tcW w:w="0" w:type="pct"/>
          </w:tcPr>
          <w:p w14:paraId="0CF19871" w14:textId="1F95B9C9"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Meat/beef</w:t>
            </w:r>
            <w:r w:rsidR="00F04F36">
              <w:rPr>
                <w:rFonts w:ascii="Calibri" w:eastAsia="Times New Roman" w:hAnsi="Calibri" w:cs="Calibri"/>
                <w:color w:val="000000"/>
                <w:sz w:val="18"/>
                <w:szCs w:val="18"/>
              </w:rPr>
              <w:t xml:space="preserve">, </w:t>
            </w:r>
            <w:r>
              <w:rPr>
                <w:rFonts w:ascii="Calibri" w:eastAsia="Times New Roman" w:hAnsi="Calibri" w:cs="Calibri"/>
                <w:color w:val="000000"/>
                <w:sz w:val="18"/>
                <w:szCs w:val="18"/>
              </w:rPr>
              <w:t>maize/corn</w:t>
            </w:r>
            <w:r w:rsidR="00F04F36">
              <w:rPr>
                <w:rFonts w:ascii="Calibri" w:eastAsia="Times New Roman" w:hAnsi="Calibri" w:cs="Calibri"/>
                <w:color w:val="000000"/>
                <w:sz w:val="18"/>
                <w:szCs w:val="18"/>
              </w:rPr>
              <w:t>, cocoa, coffee, palm oil, rubber, t</w:t>
            </w:r>
            <w:r w:rsidR="00256C89">
              <w:rPr>
                <w:rFonts w:ascii="Calibri" w:eastAsia="Times New Roman" w:hAnsi="Calibri" w:cs="Calibri"/>
                <w:color w:val="000000"/>
                <w:sz w:val="18"/>
                <w:szCs w:val="18"/>
              </w:rPr>
              <w:t xml:space="preserve">imber and wood products, </w:t>
            </w:r>
            <w:r w:rsidR="006E7D29">
              <w:rPr>
                <w:rFonts w:ascii="Calibri" w:eastAsia="Times New Roman" w:hAnsi="Calibri" w:cs="Calibri"/>
                <w:color w:val="000000"/>
                <w:sz w:val="18"/>
                <w:szCs w:val="18"/>
              </w:rPr>
              <w:t>bioethanol,</w:t>
            </w:r>
            <w:r w:rsidR="00256C89">
              <w:rPr>
                <w:rFonts w:ascii="Calibri" w:eastAsia="Times New Roman" w:hAnsi="Calibri" w:cs="Calibri"/>
                <w:color w:val="000000"/>
                <w:sz w:val="18"/>
                <w:szCs w:val="18"/>
              </w:rPr>
              <w:t xml:space="preserve"> and biodiesel</w:t>
            </w:r>
            <w:r>
              <w:rPr>
                <w:rFonts w:ascii="Calibri" w:eastAsia="Times New Roman" w:hAnsi="Calibri" w:cs="Calibri"/>
                <w:color w:val="000000"/>
                <w:sz w:val="18"/>
                <w:szCs w:val="18"/>
              </w:rPr>
              <w:t xml:space="preserve">  </w:t>
            </w:r>
          </w:p>
        </w:tc>
        <w:tc>
          <w:tcPr>
            <w:tcW w:w="0" w:type="pct"/>
          </w:tcPr>
          <w:p w14:paraId="2B71EC36"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EU, UK</w:t>
            </w:r>
          </w:p>
        </w:tc>
        <w:tc>
          <w:tcPr>
            <w:tcW w:w="0" w:type="pct"/>
          </w:tcPr>
          <w:p w14:paraId="4C7FA032"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Global</w:t>
            </w:r>
          </w:p>
        </w:tc>
        <w:tc>
          <w:tcPr>
            <w:tcW w:w="0" w:type="pct"/>
          </w:tcPr>
          <w:p w14:paraId="57316A11"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2015-2030</w:t>
            </w:r>
          </w:p>
        </w:tc>
        <w:tc>
          <w:tcPr>
            <w:tcW w:w="0" w:type="pct"/>
          </w:tcPr>
          <w:p w14:paraId="1DBEE818"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1. Uses simple demand growth rate projections and land use assumptions for commodities and regions to estimate additional land use requirements and deforestation</w:t>
            </w:r>
          </w:p>
          <w:p w14:paraId="3FDA92FF"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2. Leakage not considered</w:t>
            </w:r>
          </w:p>
          <w:p w14:paraId="3F4615E8"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p>
        </w:tc>
        <w:tc>
          <w:tcPr>
            <w:tcW w:w="0" w:type="pct"/>
          </w:tcPr>
          <w:p w14:paraId="7EC333E1" w14:textId="4A4F3BC3"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1. Land</w:t>
            </w:r>
            <w:r w:rsidR="00586348">
              <w:rPr>
                <w:rFonts w:ascii="Calibri" w:eastAsia="Times New Roman" w:hAnsi="Calibri" w:cs="Calibri"/>
                <w:color w:val="000000"/>
                <w:sz w:val="18"/>
                <w:szCs w:val="18"/>
              </w:rPr>
              <w:t>-</w:t>
            </w:r>
            <w:r>
              <w:rPr>
                <w:rFonts w:ascii="Calibri" w:eastAsia="Times New Roman" w:hAnsi="Calibri" w:cs="Calibri"/>
                <w:color w:val="000000"/>
                <w:sz w:val="18"/>
                <w:szCs w:val="18"/>
              </w:rPr>
              <w:t>use changes</w:t>
            </w:r>
          </w:p>
        </w:tc>
      </w:tr>
      <w:tr w:rsidR="00E25A06" w:rsidRPr="000D6277" w14:paraId="318FE5BF" w14:textId="77777777" w:rsidTr="00835CAE">
        <w:trPr>
          <w:trHeight w:val="1584"/>
        </w:trPr>
        <w:tc>
          <w:tcPr>
            <w:cnfStyle w:val="001000000000" w:firstRow="0" w:lastRow="0" w:firstColumn="1" w:lastColumn="0" w:oddVBand="0" w:evenVBand="0" w:oddHBand="0" w:evenHBand="0" w:firstRowFirstColumn="0" w:firstRowLastColumn="0" w:lastRowFirstColumn="0" w:lastRowLastColumn="0"/>
            <w:tcW w:w="0" w:type="pct"/>
            <w:vAlign w:val="center"/>
          </w:tcPr>
          <w:p w14:paraId="1899F39E" w14:textId="7361F934" w:rsidR="00E25A06" w:rsidRPr="000D6277" w:rsidRDefault="00E25A06" w:rsidP="00015B50">
            <w:pPr>
              <w:rPr>
                <w:rFonts w:ascii="Calibri" w:eastAsia="Times New Roman" w:hAnsi="Calibri" w:cs="Calibri"/>
                <w:color w:val="000000"/>
                <w:sz w:val="18"/>
                <w:szCs w:val="18"/>
              </w:rPr>
            </w:pPr>
            <w:r>
              <w:rPr>
                <w:rFonts w:ascii="Calibri" w:eastAsia="Times New Roman" w:hAnsi="Calibri" w:cs="Calibri"/>
                <w:color w:val="000000"/>
                <w:sz w:val="18"/>
                <w:szCs w:val="18"/>
              </w:rPr>
              <w:lastRenderedPageBreak/>
              <w:t>Cuypers et al. (2013)</w:t>
            </w:r>
            <w:r>
              <w:rPr>
                <w:rFonts w:ascii="Calibri" w:eastAsia="Times New Roman" w:hAnsi="Calibri" w:cs="Calibri"/>
                <w:color w:val="000000"/>
                <w:sz w:val="18"/>
                <w:szCs w:val="18"/>
              </w:rPr>
              <w:fldChar w:fldCharType="begin"/>
            </w:r>
            <w:r w:rsidR="00435480">
              <w:rPr>
                <w:rFonts w:ascii="Calibri" w:eastAsia="Times New Roman" w:hAnsi="Calibri" w:cs="Calibri"/>
                <w:color w:val="000000"/>
                <w:sz w:val="18"/>
                <w:szCs w:val="18"/>
              </w:rPr>
              <w:instrText xml:space="preserve"> ADDIN ZOTERO_ITEM CSL_CITATION {"citationID":"B4RkXnzR","properties":{"formattedCitation":"\\super 7\\nosupersub{}","plainCitation":"7","noteIndex":0},"citationItems":[{"id":1039,"uris":["http://zotero.org/users/11039783/items/MIYSC5YB"],"itemData":{"id":1039,"type":"report","language":"en","source":"Zotero","title":"The impact of EU consumption on deforestation:","author":[{"family":"Cuypers","given":"Dieter"},{"family":"Geerken","given":"Theo"},{"family":"Gorissen","given":"Leen"},{"family":"Lust","given":"Arnoud"},{"family":"Peters","given":"Glen"},{"family":"Karstensen","given":"Jonas"},{"family":"Prieler","given":"Sylvia"},{"family":"Fisher","given":"Gunther"},{"family":"Hizsnyik","given":"Eva"},{"family":"Van Velthuizen","given":"Harrij"}],"issued":{"date-parts":[["2013"]]}}}],"schema":"https://github.com/citation-style-language/schema/raw/master/csl-citation.json"} </w:instrText>
            </w:r>
            <w:r>
              <w:rPr>
                <w:rFonts w:ascii="Calibri" w:eastAsia="Times New Roman" w:hAnsi="Calibri" w:cs="Calibri"/>
                <w:color w:val="000000"/>
                <w:sz w:val="18"/>
                <w:szCs w:val="18"/>
              </w:rPr>
              <w:fldChar w:fldCharType="separate"/>
            </w:r>
            <w:r w:rsidR="00435480" w:rsidRPr="00435480">
              <w:rPr>
                <w:rFonts w:ascii="Calibri" w:hAnsi="Calibri" w:cs="Calibri"/>
                <w:sz w:val="18"/>
                <w:szCs w:val="24"/>
                <w:vertAlign w:val="superscript"/>
              </w:rPr>
              <w:t>7</w:t>
            </w:r>
            <w:r>
              <w:rPr>
                <w:rFonts w:ascii="Calibri" w:eastAsia="Times New Roman" w:hAnsi="Calibri" w:cs="Calibri"/>
                <w:color w:val="000000"/>
                <w:sz w:val="18"/>
                <w:szCs w:val="18"/>
              </w:rPr>
              <w:fldChar w:fldCharType="end"/>
            </w:r>
          </w:p>
        </w:tc>
        <w:tc>
          <w:tcPr>
            <w:tcW w:w="0" w:type="pct"/>
          </w:tcPr>
          <w:p w14:paraId="6523B0CA" w14:textId="5A82BAA6"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 xml:space="preserve">Several </w:t>
            </w:r>
            <w:r w:rsidR="00E64A28">
              <w:rPr>
                <w:rFonts w:ascii="Calibri" w:eastAsia="Times New Roman" w:hAnsi="Calibri" w:cs="Calibri"/>
                <w:color w:val="000000"/>
                <w:sz w:val="18"/>
                <w:szCs w:val="18"/>
              </w:rPr>
              <w:t>ag products</w:t>
            </w:r>
            <w:r>
              <w:rPr>
                <w:rFonts w:ascii="Calibri" w:eastAsia="Times New Roman" w:hAnsi="Calibri" w:cs="Calibri"/>
                <w:color w:val="000000"/>
                <w:sz w:val="18"/>
                <w:szCs w:val="18"/>
              </w:rPr>
              <w:t xml:space="preserve">, services, textiles, wood products, manufacturing, energy, chemicals, </w:t>
            </w:r>
            <w:r w:rsidR="006E7D29">
              <w:rPr>
                <w:rFonts w:ascii="Calibri" w:eastAsia="Times New Roman" w:hAnsi="Calibri" w:cs="Calibri"/>
                <w:color w:val="000000"/>
                <w:sz w:val="18"/>
                <w:szCs w:val="18"/>
              </w:rPr>
              <w:t>mining,</w:t>
            </w:r>
            <w:r>
              <w:rPr>
                <w:rFonts w:ascii="Calibri" w:eastAsia="Times New Roman" w:hAnsi="Calibri" w:cs="Calibri"/>
                <w:color w:val="000000"/>
                <w:sz w:val="18"/>
                <w:szCs w:val="18"/>
              </w:rPr>
              <w:t xml:space="preserve"> and transport</w:t>
            </w:r>
          </w:p>
        </w:tc>
        <w:tc>
          <w:tcPr>
            <w:tcW w:w="0" w:type="pct"/>
          </w:tcPr>
          <w:p w14:paraId="25421EA9" w14:textId="1D8B81FE"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EU, UK</w:t>
            </w:r>
          </w:p>
        </w:tc>
        <w:tc>
          <w:tcPr>
            <w:tcW w:w="0" w:type="pct"/>
          </w:tcPr>
          <w:p w14:paraId="749EF4BC"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Global</w:t>
            </w:r>
          </w:p>
        </w:tc>
        <w:tc>
          <w:tcPr>
            <w:tcW w:w="0" w:type="pct"/>
          </w:tcPr>
          <w:p w14:paraId="111FCB1C"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 xml:space="preserve">1990-2008 (historical analysis) and projections to 2030 </w:t>
            </w:r>
          </w:p>
        </w:tc>
        <w:tc>
          <w:tcPr>
            <w:tcW w:w="0" w:type="pct"/>
          </w:tcPr>
          <w:p w14:paraId="0BBF9990"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1. Uses LANDFLOW (a physical-units trade model) and GTAP-MRIO (a monetary value trade model) to assess global trade flows of agricultural and forest commodities with embodied deforestation historically</w:t>
            </w:r>
          </w:p>
          <w:p w14:paraId="5072D91E" w14:textId="55E7F106"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2. Makes demand projection assumptions for 2020 and 2030 (</w:t>
            </w:r>
            <w:r w:rsidR="00E91AFC">
              <w:rPr>
                <w:rFonts w:ascii="Calibri" w:eastAsia="Times New Roman" w:hAnsi="Calibri" w:cs="Calibri"/>
                <w:color w:val="000000"/>
                <w:sz w:val="18"/>
                <w:szCs w:val="18"/>
              </w:rPr>
              <w:t>e.g.,</w:t>
            </w:r>
            <w:r>
              <w:rPr>
                <w:rFonts w:ascii="Calibri" w:eastAsia="Times New Roman" w:hAnsi="Calibri" w:cs="Calibri"/>
                <w:color w:val="000000"/>
                <w:sz w:val="18"/>
                <w:szCs w:val="18"/>
              </w:rPr>
              <w:t xml:space="preserve"> based on diet changes and bioenergy plans)</w:t>
            </w:r>
          </w:p>
          <w:p w14:paraId="61002964"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3. Leakage not considered</w:t>
            </w:r>
          </w:p>
          <w:p w14:paraId="5E40C4D5"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p>
        </w:tc>
        <w:tc>
          <w:tcPr>
            <w:tcW w:w="0" w:type="pct"/>
          </w:tcPr>
          <w:p w14:paraId="75CC019B"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1. Trade flows [physical] and [$]</w:t>
            </w:r>
          </w:p>
          <w:p w14:paraId="2E669C88" w14:textId="4D061F5D"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2. Land</w:t>
            </w:r>
            <w:r w:rsidR="00586348">
              <w:rPr>
                <w:rFonts w:ascii="Calibri" w:eastAsia="Times New Roman" w:hAnsi="Calibri" w:cs="Calibri"/>
                <w:color w:val="000000"/>
                <w:sz w:val="18"/>
                <w:szCs w:val="18"/>
              </w:rPr>
              <w:t>-</w:t>
            </w:r>
            <w:r>
              <w:rPr>
                <w:rFonts w:ascii="Calibri" w:eastAsia="Times New Roman" w:hAnsi="Calibri" w:cs="Calibri"/>
                <w:color w:val="000000"/>
                <w:sz w:val="18"/>
                <w:szCs w:val="18"/>
              </w:rPr>
              <w:t>use changes</w:t>
            </w:r>
          </w:p>
        </w:tc>
      </w:tr>
    </w:tbl>
    <w:p w14:paraId="786DB024" w14:textId="77777777" w:rsidR="00E25A06" w:rsidRDefault="00E25A06" w:rsidP="00E25A06">
      <w:pPr>
        <w:sectPr w:rsidR="00E25A06" w:rsidSect="003F4D31">
          <w:pgSz w:w="15840" w:h="12240" w:orient="landscape"/>
          <w:pgMar w:top="1152" w:right="1152" w:bottom="1152" w:left="1152" w:header="720" w:footer="720" w:gutter="0"/>
          <w:cols w:space="720"/>
          <w:docGrid w:linePitch="360"/>
        </w:sectPr>
      </w:pPr>
    </w:p>
    <w:p w14:paraId="230B5A87" w14:textId="5D3C2E54" w:rsidR="00E25A06" w:rsidRDefault="00E25A06" w:rsidP="00E25A06">
      <w:pPr>
        <w:rPr>
          <w:b/>
          <w:bCs/>
        </w:rPr>
      </w:pPr>
      <w:r w:rsidRPr="00B3707A">
        <w:rPr>
          <w:b/>
          <w:bCs/>
        </w:rPr>
        <w:lastRenderedPageBreak/>
        <w:t>Table S</w:t>
      </w:r>
      <w:r>
        <w:rPr>
          <w:b/>
          <w:bCs/>
        </w:rPr>
        <w:t>2</w:t>
      </w:r>
      <w:r w:rsidRPr="00B3707A">
        <w:rPr>
          <w:b/>
          <w:bCs/>
        </w:rPr>
        <w:t xml:space="preserve">. Summary of previous </w:t>
      </w:r>
      <w:r w:rsidR="00BD2483">
        <w:rPr>
          <w:b/>
          <w:bCs/>
        </w:rPr>
        <w:t xml:space="preserve">global </w:t>
      </w:r>
      <w:r>
        <w:rPr>
          <w:b/>
          <w:bCs/>
        </w:rPr>
        <w:t>economic modeling studies</w:t>
      </w:r>
      <w:r w:rsidRPr="00B3707A">
        <w:rPr>
          <w:b/>
          <w:bCs/>
        </w:rPr>
        <w:t xml:space="preserve"> on deforestation-linked oil crop trade restrictions.</w:t>
      </w:r>
    </w:p>
    <w:tbl>
      <w:tblPr>
        <w:tblStyle w:val="GridTable1Light"/>
        <w:tblW w:w="5000" w:type="pct"/>
        <w:tblLook w:val="04A0" w:firstRow="1" w:lastRow="0" w:firstColumn="1" w:lastColumn="0" w:noHBand="0" w:noVBand="1"/>
      </w:tblPr>
      <w:tblGrid>
        <w:gridCol w:w="1122"/>
        <w:gridCol w:w="1000"/>
        <w:gridCol w:w="1087"/>
        <w:gridCol w:w="1387"/>
        <w:gridCol w:w="2283"/>
        <w:gridCol w:w="1405"/>
        <w:gridCol w:w="2662"/>
        <w:gridCol w:w="2004"/>
      </w:tblGrid>
      <w:tr w:rsidR="00E25A06" w:rsidRPr="000D6277" w14:paraId="13DB67C8" w14:textId="77777777" w:rsidTr="00015B50">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34" w:type="pct"/>
            <w:noWrap/>
            <w:vAlign w:val="center"/>
            <w:hideMark/>
          </w:tcPr>
          <w:p w14:paraId="059CB3DB" w14:textId="77777777" w:rsidR="00E25A06" w:rsidRPr="000D6277" w:rsidRDefault="00E25A06" w:rsidP="00835CAE">
            <w:pPr>
              <w:jc w:val="center"/>
              <w:rPr>
                <w:rFonts w:ascii="Calibri" w:eastAsia="Times New Roman" w:hAnsi="Calibri" w:cs="Calibri"/>
                <w:color w:val="000000"/>
                <w:sz w:val="18"/>
                <w:szCs w:val="18"/>
              </w:rPr>
            </w:pPr>
            <w:r w:rsidRPr="000D6277">
              <w:rPr>
                <w:rFonts w:ascii="Calibri" w:eastAsia="Times New Roman" w:hAnsi="Calibri" w:cs="Calibri"/>
                <w:color w:val="000000"/>
                <w:sz w:val="18"/>
                <w:szCs w:val="18"/>
              </w:rPr>
              <w:t>Study</w:t>
            </w:r>
          </w:p>
        </w:tc>
        <w:tc>
          <w:tcPr>
            <w:tcW w:w="387" w:type="pct"/>
            <w:noWrap/>
            <w:vAlign w:val="center"/>
            <w:hideMark/>
          </w:tcPr>
          <w:p w14:paraId="67AC7E9F" w14:textId="77777777" w:rsidR="00E25A06" w:rsidRPr="000D6277" w:rsidRDefault="00E25A06" w:rsidP="00835CA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Model</w:t>
            </w:r>
          </w:p>
        </w:tc>
        <w:tc>
          <w:tcPr>
            <w:tcW w:w="414" w:type="pct"/>
            <w:noWrap/>
            <w:vAlign w:val="center"/>
            <w:hideMark/>
          </w:tcPr>
          <w:p w14:paraId="5F827E17" w14:textId="77777777" w:rsidR="00E25A06" w:rsidRPr="000D6277" w:rsidRDefault="00E25A06" w:rsidP="00835CA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Commodity</w:t>
            </w:r>
          </w:p>
        </w:tc>
        <w:tc>
          <w:tcPr>
            <w:tcW w:w="536" w:type="pct"/>
            <w:noWrap/>
            <w:vAlign w:val="center"/>
            <w:hideMark/>
          </w:tcPr>
          <w:p w14:paraId="2C2C1A83" w14:textId="77777777" w:rsidR="00E25A06" w:rsidRPr="000D6277" w:rsidRDefault="00E25A06" w:rsidP="00835CA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Policy region</w:t>
            </w:r>
          </w:p>
        </w:tc>
        <w:tc>
          <w:tcPr>
            <w:tcW w:w="882" w:type="pct"/>
            <w:noWrap/>
            <w:vAlign w:val="center"/>
            <w:hideMark/>
          </w:tcPr>
          <w:p w14:paraId="3301EB7B" w14:textId="77777777" w:rsidR="00E25A06" w:rsidRPr="000D6277" w:rsidRDefault="00E25A06" w:rsidP="00835CA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Producing region</w:t>
            </w:r>
          </w:p>
        </w:tc>
        <w:tc>
          <w:tcPr>
            <w:tcW w:w="543" w:type="pct"/>
            <w:noWrap/>
            <w:vAlign w:val="center"/>
            <w:hideMark/>
          </w:tcPr>
          <w:p w14:paraId="6BB3A9FE" w14:textId="77777777" w:rsidR="00E25A06" w:rsidRPr="000D6277" w:rsidRDefault="00E25A06" w:rsidP="00835CA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Study period</w:t>
            </w:r>
          </w:p>
        </w:tc>
        <w:tc>
          <w:tcPr>
            <w:tcW w:w="1028" w:type="pct"/>
            <w:noWrap/>
            <w:vAlign w:val="center"/>
            <w:hideMark/>
          </w:tcPr>
          <w:p w14:paraId="668D6D15" w14:textId="77777777" w:rsidR="00E25A06" w:rsidRPr="000D6277" w:rsidRDefault="00E25A06" w:rsidP="00835CA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Scenarios</w:t>
            </w:r>
          </w:p>
        </w:tc>
        <w:tc>
          <w:tcPr>
            <w:tcW w:w="774" w:type="pct"/>
            <w:noWrap/>
            <w:vAlign w:val="center"/>
            <w:hideMark/>
          </w:tcPr>
          <w:p w14:paraId="5A9EA98D" w14:textId="77777777" w:rsidR="00E25A06" w:rsidRPr="000D6277" w:rsidRDefault="00E25A06" w:rsidP="00835CA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Metrics evaluated</w:t>
            </w:r>
          </w:p>
        </w:tc>
      </w:tr>
      <w:tr w:rsidR="00E25A06" w:rsidRPr="000D6277" w14:paraId="5522311F" w14:textId="77777777" w:rsidTr="00835CAE">
        <w:trPr>
          <w:trHeight w:val="2880"/>
        </w:trPr>
        <w:tc>
          <w:tcPr>
            <w:cnfStyle w:val="001000000000" w:firstRow="0" w:lastRow="0" w:firstColumn="1" w:lastColumn="0" w:oddVBand="0" w:evenVBand="0" w:oddHBand="0" w:evenHBand="0" w:firstRowFirstColumn="0" w:firstRowLastColumn="0" w:lastRowFirstColumn="0" w:lastRowLastColumn="0"/>
            <w:tcW w:w="0" w:type="pct"/>
            <w:vAlign w:val="center"/>
            <w:hideMark/>
          </w:tcPr>
          <w:p w14:paraId="63292A29" w14:textId="38AEA4DF" w:rsidR="00E25A06" w:rsidRPr="000D6277" w:rsidRDefault="00E25A06" w:rsidP="00015B50">
            <w:pPr>
              <w:rPr>
                <w:rFonts w:ascii="Calibri" w:eastAsia="Times New Roman" w:hAnsi="Calibri" w:cs="Calibri"/>
                <w:color w:val="000000"/>
                <w:sz w:val="18"/>
                <w:szCs w:val="18"/>
              </w:rPr>
            </w:pPr>
            <w:r w:rsidRPr="000D6277">
              <w:rPr>
                <w:rFonts w:ascii="Calibri" w:eastAsia="Times New Roman" w:hAnsi="Calibri" w:cs="Calibri"/>
                <w:color w:val="000000"/>
                <w:sz w:val="18"/>
                <w:szCs w:val="18"/>
              </w:rPr>
              <w:t>Villoria et al. (2022)</w:t>
            </w:r>
            <w:r>
              <w:rPr>
                <w:rFonts w:ascii="Calibri" w:eastAsia="Times New Roman" w:hAnsi="Calibri" w:cs="Calibri"/>
                <w:color w:val="000000"/>
                <w:sz w:val="18"/>
                <w:szCs w:val="18"/>
              </w:rPr>
              <w:fldChar w:fldCharType="begin"/>
            </w:r>
            <w:r w:rsidR="00435480">
              <w:rPr>
                <w:rFonts w:ascii="Calibri" w:eastAsia="Times New Roman" w:hAnsi="Calibri" w:cs="Calibri"/>
                <w:color w:val="000000"/>
                <w:sz w:val="18"/>
                <w:szCs w:val="18"/>
              </w:rPr>
              <w:instrText xml:space="preserve"> ADDIN ZOTERO_ITEM CSL_CITATION {"citationID":"1P9BqO4q","properties":{"formattedCitation":"\\super 8\\nosupersub{}","plainCitation":"8","noteIndex":0},"citationItems":[{"id":166,"uris":["http://zotero.org/users/11039783/items/HV3FQU23"],"itemData":{"id":166,"type":"article-journal","abstract":"Zero-deforestation supply chain policies that leverage the market power of commodity buyers to change agricultural producer behavior can reduce forest clearing in regions with rapid commodity expansion and weak forest governance. Yet leakage—when deforestation is pushed to other regions—may dilute the global effectiveness of regionally successful policies. Here we show that domestic leakage offsets 43-50% of the avoided deforestation induced by existing and proposed zero-deforestation supply chain policies in Brazil’s soy sector. However, cross-border leakage is insignificant (&lt;3%) because soybean production is displaced to existing U.S. farmland. Eliminating deforestation from the supply chains of all firms exporting Brazilian soy to the EU or China from 2011-2016 could have reduced net global deforestation by 2% and Brazilian deforestation by 9%. Thus, if major tropical commodity importers (e.g., the EU) require traders to eliminate deforestation from their supply chains, it could help bend the curve on global forest loss.","container-title":"Nature Communications","DOI":"10.1038/s41467-022-33213-z","ISSN":"2041-1723","issue":"1","journalAbbreviation":"Nat Commun","language":"en","license":"2022 The Author(s)","note":"number: 1\npublisher: Nature Publishing Group","page":"5476","source":"www.nature.com","title":"Leakage does not fully offset soy supply-chain efforts to reduce deforestation in Brazil","volume":"13","author":[{"family":"Villoria","given":"Nelson"},{"family":"Garrett","given":"Rachael"},{"family":"Gollnow","given":"Florian"},{"family":"Carlson","given":"Kimberly"}],"issued":{"date-parts":[["2022",9,17]]}}}],"schema":"https://github.com/citation-style-language/schema/raw/master/csl-citation.json"} </w:instrText>
            </w:r>
            <w:r>
              <w:rPr>
                <w:rFonts w:ascii="Calibri" w:eastAsia="Times New Roman" w:hAnsi="Calibri" w:cs="Calibri"/>
                <w:color w:val="000000"/>
                <w:sz w:val="18"/>
                <w:szCs w:val="18"/>
              </w:rPr>
              <w:fldChar w:fldCharType="separate"/>
            </w:r>
            <w:r w:rsidR="00435480" w:rsidRPr="00435480">
              <w:rPr>
                <w:rFonts w:ascii="Calibri" w:hAnsi="Calibri" w:cs="Calibri"/>
                <w:sz w:val="18"/>
                <w:szCs w:val="24"/>
                <w:vertAlign w:val="superscript"/>
              </w:rPr>
              <w:t>8</w:t>
            </w:r>
            <w:r>
              <w:rPr>
                <w:rFonts w:ascii="Calibri" w:eastAsia="Times New Roman" w:hAnsi="Calibri" w:cs="Calibri"/>
                <w:color w:val="000000"/>
                <w:sz w:val="18"/>
                <w:szCs w:val="18"/>
              </w:rPr>
              <w:fldChar w:fldCharType="end"/>
            </w:r>
          </w:p>
        </w:tc>
        <w:tc>
          <w:tcPr>
            <w:tcW w:w="0" w:type="pct"/>
            <w:hideMark/>
          </w:tcPr>
          <w:p w14:paraId="3D43642D"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GTAP-AEZ</w:t>
            </w:r>
          </w:p>
        </w:tc>
        <w:tc>
          <w:tcPr>
            <w:tcW w:w="0" w:type="pct"/>
            <w:hideMark/>
          </w:tcPr>
          <w:p w14:paraId="5D66E0CC"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Soybean</w:t>
            </w:r>
          </w:p>
        </w:tc>
        <w:tc>
          <w:tcPr>
            <w:tcW w:w="0" w:type="pct"/>
            <w:hideMark/>
          </w:tcPr>
          <w:p w14:paraId="4ECAD2C4"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EU, China</w:t>
            </w:r>
          </w:p>
        </w:tc>
        <w:tc>
          <w:tcPr>
            <w:tcW w:w="0" w:type="pct"/>
            <w:hideMark/>
          </w:tcPr>
          <w:p w14:paraId="56048F2E"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Brazil (spatially explicit, and with market shares of each company), displacement to Bolivia, Argentina, Paraguay</w:t>
            </w:r>
          </w:p>
        </w:tc>
        <w:tc>
          <w:tcPr>
            <w:tcW w:w="0" w:type="pct"/>
            <w:hideMark/>
          </w:tcPr>
          <w:p w14:paraId="07F5B9B9"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2011-2016</w:t>
            </w:r>
          </w:p>
          <w:p w14:paraId="78E291CB" w14:textId="7CEDF870"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w:t>
            </w:r>
            <w:r w:rsidR="00E91AFC" w:rsidRPr="009A0087">
              <w:rPr>
                <w:rFonts w:ascii="Calibri" w:eastAsia="Times New Roman" w:hAnsi="Calibri" w:cs="Calibri"/>
                <w:b/>
                <w:bCs/>
                <w:color w:val="000000"/>
                <w:sz w:val="18"/>
                <w:szCs w:val="18"/>
              </w:rPr>
              <w:t>Historical</w:t>
            </w:r>
            <w:r w:rsidRPr="009A0087">
              <w:rPr>
                <w:rFonts w:ascii="Calibri" w:eastAsia="Times New Roman" w:hAnsi="Calibri" w:cs="Calibri"/>
                <w:b/>
                <w:bCs/>
                <w:color w:val="000000"/>
                <w:sz w:val="18"/>
                <w:szCs w:val="18"/>
              </w:rPr>
              <w:t xml:space="preserve"> counterfactual</w:t>
            </w:r>
            <w:r>
              <w:rPr>
                <w:rFonts w:ascii="Calibri" w:eastAsia="Times New Roman" w:hAnsi="Calibri" w:cs="Calibri"/>
                <w:color w:val="000000"/>
                <w:sz w:val="18"/>
                <w:szCs w:val="18"/>
              </w:rPr>
              <w:t>)</w:t>
            </w:r>
          </w:p>
        </w:tc>
        <w:tc>
          <w:tcPr>
            <w:tcW w:w="0" w:type="pct"/>
            <w:hideMark/>
          </w:tcPr>
          <w:p w14:paraId="270023AA"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1. Amazon Soy Moratorium (voluntary zero-deforestation commitment by companies)</w:t>
            </w:r>
            <w:r w:rsidRPr="000D6277">
              <w:rPr>
                <w:rFonts w:ascii="Calibri" w:eastAsia="Times New Roman" w:hAnsi="Calibri" w:cs="Calibri"/>
                <w:color w:val="000000"/>
                <w:sz w:val="18"/>
                <w:szCs w:val="18"/>
              </w:rPr>
              <w:br/>
              <w:t>2. ASM + pledged, yet to be implemented, global voluntary zero deforestation commitments in Brazil’s soy supply chain</w:t>
            </w:r>
            <w:r w:rsidRPr="000D6277">
              <w:rPr>
                <w:rFonts w:ascii="Calibri" w:eastAsia="Times New Roman" w:hAnsi="Calibri" w:cs="Calibri"/>
                <w:color w:val="000000"/>
                <w:sz w:val="18"/>
                <w:szCs w:val="18"/>
              </w:rPr>
              <w:br/>
              <w:t>3. Adoption of zero-deforestation by all companies export</w:t>
            </w:r>
            <w:r>
              <w:rPr>
                <w:rFonts w:ascii="Calibri" w:eastAsia="Times New Roman" w:hAnsi="Calibri" w:cs="Calibri"/>
                <w:color w:val="000000"/>
                <w:sz w:val="18"/>
                <w:szCs w:val="18"/>
              </w:rPr>
              <w:t>ing</w:t>
            </w:r>
            <w:r w:rsidRPr="000D6277">
              <w:rPr>
                <w:rFonts w:ascii="Calibri" w:eastAsia="Times New Roman" w:hAnsi="Calibri" w:cs="Calibri"/>
                <w:color w:val="000000"/>
                <w:sz w:val="18"/>
                <w:szCs w:val="18"/>
              </w:rPr>
              <w:t xml:space="preserve"> to EU</w:t>
            </w:r>
            <w:r w:rsidRPr="000D6277">
              <w:rPr>
                <w:rFonts w:ascii="Calibri" w:eastAsia="Times New Roman" w:hAnsi="Calibri" w:cs="Calibri"/>
                <w:color w:val="000000"/>
                <w:sz w:val="18"/>
                <w:szCs w:val="18"/>
              </w:rPr>
              <w:br/>
              <w:t>4. Zero-deforestation by all companies export</w:t>
            </w:r>
            <w:r>
              <w:rPr>
                <w:rFonts w:ascii="Calibri" w:eastAsia="Times New Roman" w:hAnsi="Calibri" w:cs="Calibri"/>
                <w:color w:val="000000"/>
                <w:sz w:val="18"/>
                <w:szCs w:val="18"/>
              </w:rPr>
              <w:t>ing</w:t>
            </w:r>
            <w:r w:rsidRPr="000D6277">
              <w:rPr>
                <w:rFonts w:ascii="Calibri" w:eastAsia="Times New Roman" w:hAnsi="Calibri" w:cs="Calibri"/>
                <w:color w:val="000000"/>
                <w:sz w:val="18"/>
                <w:szCs w:val="18"/>
              </w:rPr>
              <w:t xml:space="preserve"> to China</w:t>
            </w:r>
            <w:r w:rsidRPr="000D6277">
              <w:rPr>
                <w:rFonts w:ascii="Calibri" w:eastAsia="Times New Roman" w:hAnsi="Calibri" w:cs="Calibri"/>
                <w:color w:val="000000"/>
                <w:sz w:val="18"/>
                <w:szCs w:val="18"/>
              </w:rPr>
              <w:br/>
              <w:t>5. (3) + (4)</w:t>
            </w:r>
          </w:p>
          <w:p w14:paraId="4B65019B"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p>
        </w:tc>
        <w:tc>
          <w:tcPr>
            <w:tcW w:w="0" w:type="pct"/>
            <w:hideMark/>
          </w:tcPr>
          <w:p w14:paraId="7CFB70C5" w14:textId="73DF5E8B"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1. Trade flows [$]</w:t>
            </w:r>
            <w:r w:rsidRPr="000D6277">
              <w:rPr>
                <w:rFonts w:ascii="Calibri" w:eastAsia="Times New Roman" w:hAnsi="Calibri" w:cs="Calibri"/>
                <w:color w:val="000000"/>
                <w:sz w:val="18"/>
                <w:szCs w:val="18"/>
              </w:rPr>
              <w:br/>
              <w:t>2. Land</w:t>
            </w:r>
            <w:r w:rsidR="00586348">
              <w:rPr>
                <w:rFonts w:ascii="Calibri" w:eastAsia="Times New Roman" w:hAnsi="Calibri" w:cs="Calibri"/>
                <w:color w:val="000000"/>
                <w:sz w:val="18"/>
                <w:szCs w:val="18"/>
              </w:rPr>
              <w:t>-</w:t>
            </w:r>
            <w:r w:rsidRPr="000D6277">
              <w:rPr>
                <w:rFonts w:ascii="Calibri" w:eastAsia="Times New Roman" w:hAnsi="Calibri" w:cs="Calibri"/>
                <w:color w:val="000000"/>
                <w:sz w:val="18"/>
                <w:szCs w:val="18"/>
              </w:rPr>
              <w:t xml:space="preserve">use change </w:t>
            </w:r>
            <w:r w:rsidRPr="000D6277">
              <w:rPr>
                <w:rFonts w:ascii="Calibri" w:eastAsia="Times New Roman" w:hAnsi="Calibri" w:cs="Calibri"/>
                <w:color w:val="000000"/>
                <w:sz w:val="18"/>
                <w:szCs w:val="18"/>
              </w:rPr>
              <w:br/>
              <w:t>3. LUC GHG emissions</w:t>
            </w:r>
          </w:p>
        </w:tc>
      </w:tr>
      <w:tr w:rsidR="00E25A06" w:rsidRPr="000D6277" w14:paraId="261995BC" w14:textId="77777777" w:rsidTr="00835CAE">
        <w:trPr>
          <w:trHeight w:val="2592"/>
        </w:trPr>
        <w:tc>
          <w:tcPr>
            <w:cnfStyle w:val="001000000000" w:firstRow="0" w:lastRow="0" w:firstColumn="1" w:lastColumn="0" w:oddVBand="0" w:evenVBand="0" w:oddHBand="0" w:evenHBand="0" w:firstRowFirstColumn="0" w:firstRowLastColumn="0" w:lastRowFirstColumn="0" w:lastRowLastColumn="0"/>
            <w:tcW w:w="0" w:type="pct"/>
            <w:vAlign w:val="center"/>
            <w:hideMark/>
          </w:tcPr>
          <w:p w14:paraId="1BC36055" w14:textId="7ED17FBF" w:rsidR="00E25A06" w:rsidRPr="000D6277" w:rsidRDefault="00E25A06" w:rsidP="00015B50">
            <w:pPr>
              <w:rPr>
                <w:rFonts w:ascii="Calibri" w:eastAsia="Times New Roman" w:hAnsi="Calibri" w:cs="Calibri"/>
                <w:color w:val="000000"/>
                <w:sz w:val="18"/>
                <w:szCs w:val="18"/>
              </w:rPr>
            </w:pPr>
            <w:r w:rsidRPr="000D6277">
              <w:rPr>
                <w:rFonts w:ascii="Calibri" w:eastAsia="Times New Roman" w:hAnsi="Calibri" w:cs="Calibri"/>
                <w:color w:val="000000"/>
                <w:sz w:val="18"/>
                <w:szCs w:val="18"/>
              </w:rPr>
              <w:t>Busch et al. (2022)</w:t>
            </w:r>
            <w:r>
              <w:rPr>
                <w:rFonts w:ascii="Calibri" w:eastAsia="Times New Roman" w:hAnsi="Calibri" w:cs="Calibri"/>
                <w:color w:val="000000"/>
                <w:sz w:val="18"/>
                <w:szCs w:val="18"/>
              </w:rPr>
              <w:fldChar w:fldCharType="begin"/>
            </w:r>
            <w:r w:rsidR="00435480">
              <w:rPr>
                <w:rFonts w:ascii="Calibri" w:eastAsia="Times New Roman" w:hAnsi="Calibri" w:cs="Calibri"/>
                <w:color w:val="000000"/>
                <w:sz w:val="18"/>
                <w:szCs w:val="18"/>
              </w:rPr>
              <w:instrText xml:space="preserve"> ADDIN ZOTERO_ITEM CSL_CITATION {"citationID":"UPvDgQfF","properties":{"formattedCitation":"\\super 9\\nosupersub{}","plainCitation":"9","noteIndex":0},"citationItems":[{"id":158,"uris":["http://zotero.org/users/11039783/items/VNTFLPN7"],"itemData":{"id":158,"type":"article-journal","abstract":"Abstract\n            \n              Demand-side restrictions on high-deforestation commodities are expanding as a climate policy, but their impact on reducing tropical deforestation and emissions has yet to be quantified. Here we model the effects of demand-side restrictions on high-deforestation palm oil in Europe on deforestation and emissions in Indonesia. We do so by integrating a model of global trade with a spatially explicit model of land-use change in Indonesia. We estimate a European ban on high-deforestation palm oil from 2000 to 2015 would have led to a 8.9% global price premium on low-deforestation palm oil, resulting in 21 374 ha yr\n              −1\n              (1.60%) less deforestation and 21.1 million tCO\n              2\n              yr\n              −1\n              (1.91%) less emissions from deforestation in Indonesia relative to what occurred. A hypothetical Indonesia-wide carbon price would have achieved equivalent emission reductions at $0.81/tCO\n              2\n              . Impacts of a ban are small because: 52% of Europe’s imports of high-deforestation palm oil would have shifted to non-participating countries; the price elasticity of supply of high-deforestation oil palm cropland is small (0.13); and conversion to oil palm was responsible for only 32% of deforestation in Indonesia. If demand-side restrictions succeed in substantially reducing deforestation, it is likely to be through non-price pathways.","container-title":"Environmental Research Letters","DOI":"10.1088/1748-9326/ac435e","ISSN":"1748-9326","issue":"1","journalAbbreviation":"Environ. Res. Lett.","language":"en","page":"014035","source":"DOI.org (Crossref)","title":"Effects of demand-side restrictions on high-deforestation palm oil in Europe on deforestation and emissions in Indonesia","volume":"17","author":[{"family":"Busch","given":"Jonah"},{"family":"Amarjargal","given":"Oyut"},{"family":"Taheripour","given":"Farzad"},{"family":"Austin","given":"Kemen G"},{"family":"Siregar","given":"Rizki Nauli"},{"family":"Koenig","given":"Kellee"},{"family":"Hertel","given":"Thomas W"}],"issued":{"date-parts":[["2022",1,1]]}}}],"schema":"https://github.com/citation-style-language/schema/raw/master/csl-citation.json"} </w:instrText>
            </w:r>
            <w:r>
              <w:rPr>
                <w:rFonts w:ascii="Calibri" w:eastAsia="Times New Roman" w:hAnsi="Calibri" w:cs="Calibri"/>
                <w:color w:val="000000"/>
                <w:sz w:val="18"/>
                <w:szCs w:val="18"/>
              </w:rPr>
              <w:fldChar w:fldCharType="separate"/>
            </w:r>
            <w:r w:rsidR="00435480" w:rsidRPr="00435480">
              <w:rPr>
                <w:rFonts w:ascii="Calibri" w:hAnsi="Calibri" w:cs="Calibri"/>
                <w:sz w:val="18"/>
                <w:szCs w:val="24"/>
                <w:vertAlign w:val="superscript"/>
              </w:rPr>
              <w:t>9</w:t>
            </w:r>
            <w:r>
              <w:rPr>
                <w:rFonts w:ascii="Calibri" w:eastAsia="Times New Roman" w:hAnsi="Calibri" w:cs="Calibri"/>
                <w:color w:val="000000"/>
                <w:sz w:val="18"/>
                <w:szCs w:val="18"/>
              </w:rPr>
              <w:fldChar w:fldCharType="end"/>
            </w:r>
          </w:p>
        </w:tc>
        <w:tc>
          <w:tcPr>
            <w:tcW w:w="0" w:type="pct"/>
            <w:hideMark/>
          </w:tcPr>
          <w:p w14:paraId="31537033"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GTAP-BIO and OSIRIS</w:t>
            </w:r>
          </w:p>
        </w:tc>
        <w:tc>
          <w:tcPr>
            <w:tcW w:w="0" w:type="pct"/>
            <w:hideMark/>
          </w:tcPr>
          <w:p w14:paraId="69042DC4"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Palm</w:t>
            </w:r>
          </w:p>
        </w:tc>
        <w:tc>
          <w:tcPr>
            <w:tcW w:w="0" w:type="pct"/>
            <w:hideMark/>
          </w:tcPr>
          <w:p w14:paraId="605C9EDA"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EU, China, US, global</w:t>
            </w:r>
          </w:p>
        </w:tc>
        <w:tc>
          <w:tcPr>
            <w:tcW w:w="0" w:type="pct"/>
            <w:hideMark/>
          </w:tcPr>
          <w:p w14:paraId="5C470B8D"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Indonesia (spatially explicit: high vs. low deforestation)</w:t>
            </w:r>
          </w:p>
        </w:tc>
        <w:tc>
          <w:tcPr>
            <w:tcW w:w="0" w:type="pct"/>
            <w:hideMark/>
          </w:tcPr>
          <w:p w14:paraId="2C9311D1"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2000-2015</w:t>
            </w:r>
          </w:p>
          <w:p w14:paraId="211F407E" w14:textId="2C44E32C"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w:t>
            </w:r>
            <w:r w:rsidR="00E91AFC" w:rsidRPr="009A0087">
              <w:rPr>
                <w:rFonts w:ascii="Calibri" w:eastAsia="Times New Roman" w:hAnsi="Calibri" w:cs="Calibri"/>
                <w:b/>
                <w:bCs/>
                <w:color w:val="000000"/>
                <w:sz w:val="18"/>
                <w:szCs w:val="18"/>
              </w:rPr>
              <w:t>Historical</w:t>
            </w:r>
            <w:r w:rsidRPr="009A0087">
              <w:rPr>
                <w:rFonts w:ascii="Calibri" w:eastAsia="Times New Roman" w:hAnsi="Calibri" w:cs="Calibri"/>
                <w:b/>
                <w:bCs/>
                <w:color w:val="000000"/>
                <w:sz w:val="18"/>
                <w:szCs w:val="18"/>
              </w:rPr>
              <w:t xml:space="preserve"> counterfactual</w:t>
            </w:r>
            <w:r>
              <w:rPr>
                <w:rFonts w:ascii="Calibri" w:eastAsia="Times New Roman" w:hAnsi="Calibri" w:cs="Calibri"/>
                <w:color w:val="000000"/>
                <w:sz w:val="18"/>
                <w:szCs w:val="18"/>
              </w:rPr>
              <w:t>)</w:t>
            </w:r>
          </w:p>
        </w:tc>
        <w:tc>
          <w:tcPr>
            <w:tcW w:w="0" w:type="pct"/>
            <w:hideMark/>
          </w:tcPr>
          <w:p w14:paraId="46F9D2C7"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1. Base scenario (all Indonesian palm oil treated equally, single global price)</w:t>
            </w:r>
            <w:r w:rsidRPr="000D6277">
              <w:rPr>
                <w:rFonts w:ascii="Calibri" w:eastAsia="Times New Roman" w:hAnsi="Calibri" w:cs="Calibri"/>
                <w:color w:val="000000"/>
                <w:sz w:val="18"/>
                <w:szCs w:val="18"/>
              </w:rPr>
              <w:br/>
              <w:t>2. Primary policy scenario: Europe imposed ban</w:t>
            </w:r>
            <w:r>
              <w:rPr>
                <w:rFonts w:ascii="Calibri" w:eastAsia="Times New Roman" w:hAnsi="Calibri" w:cs="Calibri"/>
                <w:color w:val="000000"/>
                <w:sz w:val="18"/>
                <w:szCs w:val="18"/>
              </w:rPr>
              <w:t>s</w:t>
            </w:r>
            <w:r w:rsidRPr="000D6277">
              <w:rPr>
                <w:rFonts w:ascii="Calibri" w:eastAsia="Times New Roman" w:hAnsi="Calibri" w:cs="Calibri"/>
                <w:color w:val="000000"/>
                <w:sz w:val="18"/>
                <w:szCs w:val="18"/>
              </w:rPr>
              <w:t xml:space="preserve"> on high-deforestation palm oil</w:t>
            </w:r>
            <w:r w:rsidRPr="000D6277">
              <w:rPr>
                <w:rFonts w:ascii="Calibri" w:eastAsia="Times New Roman" w:hAnsi="Calibri" w:cs="Calibri"/>
                <w:color w:val="000000"/>
                <w:sz w:val="18"/>
                <w:szCs w:val="18"/>
              </w:rPr>
              <w:br/>
              <w:t>3. Secondary policy scenarios: expand ban to EU + US, EU + US + China, all other countries outside Indonesia and Malaysia</w:t>
            </w:r>
          </w:p>
        </w:tc>
        <w:tc>
          <w:tcPr>
            <w:tcW w:w="0" w:type="pct"/>
            <w:hideMark/>
          </w:tcPr>
          <w:p w14:paraId="7917EE30" w14:textId="1F553A6A"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 xml:space="preserve">1. Trade flows [$] </w:t>
            </w:r>
            <w:r w:rsidRPr="000D6277">
              <w:rPr>
                <w:rFonts w:ascii="Calibri" w:eastAsia="Times New Roman" w:hAnsi="Calibri" w:cs="Calibri"/>
                <w:color w:val="000000"/>
                <w:sz w:val="18"/>
                <w:szCs w:val="18"/>
              </w:rPr>
              <w:br/>
              <w:t>2. Prices</w:t>
            </w:r>
            <w:r w:rsidRPr="000D6277">
              <w:rPr>
                <w:rFonts w:ascii="Calibri" w:eastAsia="Times New Roman" w:hAnsi="Calibri" w:cs="Calibri"/>
                <w:color w:val="000000"/>
                <w:sz w:val="18"/>
                <w:szCs w:val="18"/>
              </w:rPr>
              <w:br/>
              <w:t>3. Land</w:t>
            </w:r>
            <w:r w:rsidR="00586348">
              <w:rPr>
                <w:rFonts w:ascii="Calibri" w:eastAsia="Times New Roman" w:hAnsi="Calibri" w:cs="Calibri"/>
                <w:color w:val="000000"/>
                <w:sz w:val="18"/>
                <w:szCs w:val="18"/>
              </w:rPr>
              <w:t>-</w:t>
            </w:r>
            <w:r w:rsidRPr="000D6277">
              <w:rPr>
                <w:rFonts w:ascii="Calibri" w:eastAsia="Times New Roman" w:hAnsi="Calibri" w:cs="Calibri"/>
                <w:color w:val="000000"/>
                <w:sz w:val="18"/>
                <w:szCs w:val="18"/>
              </w:rPr>
              <w:t>use change</w:t>
            </w:r>
            <w:r w:rsidRPr="000D6277">
              <w:rPr>
                <w:rFonts w:ascii="Calibri" w:eastAsia="Times New Roman" w:hAnsi="Calibri" w:cs="Calibri"/>
                <w:color w:val="000000"/>
                <w:sz w:val="18"/>
                <w:szCs w:val="18"/>
              </w:rPr>
              <w:br/>
              <w:t>4. LUC GHG emissions</w:t>
            </w:r>
            <w:r w:rsidRPr="000D6277">
              <w:rPr>
                <w:rFonts w:ascii="Calibri" w:eastAsia="Times New Roman" w:hAnsi="Calibri" w:cs="Calibri"/>
                <w:color w:val="000000"/>
                <w:sz w:val="18"/>
                <w:szCs w:val="18"/>
              </w:rPr>
              <w:br/>
              <w:t>5. Equivalent carbon prices</w:t>
            </w:r>
          </w:p>
        </w:tc>
      </w:tr>
      <w:tr w:rsidR="00E25A06" w:rsidRPr="000D6277" w14:paraId="1098DDD7" w14:textId="77777777" w:rsidTr="00835CAE">
        <w:trPr>
          <w:trHeight w:val="2880"/>
        </w:trPr>
        <w:tc>
          <w:tcPr>
            <w:cnfStyle w:val="001000000000" w:firstRow="0" w:lastRow="0" w:firstColumn="1" w:lastColumn="0" w:oddVBand="0" w:evenVBand="0" w:oddHBand="0" w:evenHBand="0" w:firstRowFirstColumn="0" w:firstRowLastColumn="0" w:lastRowFirstColumn="0" w:lastRowLastColumn="0"/>
            <w:tcW w:w="0" w:type="pct"/>
            <w:vAlign w:val="center"/>
            <w:hideMark/>
          </w:tcPr>
          <w:p w14:paraId="3E920F29" w14:textId="011CD885" w:rsidR="00E25A06" w:rsidRPr="000D6277" w:rsidRDefault="00E25A06" w:rsidP="00015B50">
            <w:pPr>
              <w:rPr>
                <w:rFonts w:ascii="Calibri" w:eastAsia="Times New Roman" w:hAnsi="Calibri" w:cs="Calibri"/>
                <w:color w:val="000000"/>
                <w:sz w:val="18"/>
                <w:szCs w:val="18"/>
              </w:rPr>
            </w:pPr>
            <w:r w:rsidRPr="000D6277">
              <w:rPr>
                <w:rFonts w:ascii="Calibri" w:eastAsia="Times New Roman" w:hAnsi="Calibri" w:cs="Calibri"/>
                <w:color w:val="000000"/>
                <w:sz w:val="18"/>
                <w:szCs w:val="18"/>
              </w:rPr>
              <w:t>Taheripour et al. (2019)</w:t>
            </w:r>
            <w:r>
              <w:rPr>
                <w:rFonts w:ascii="Calibri" w:eastAsia="Times New Roman" w:hAnsi="Calibri" w:cs="Calibri"/>
                <w:color w:val="000000"/>
                <w:sz w:val="18"/>
                <w:szCs w:val="18"/>
              </w:rPr>
              <w:fldChar w:fldCharType="begin"/>
            </w:r>
            <w:r w:rsidR="00435480">
              <w:rPr>
                <w:rFonts w:ascii="Calibri" w:eastAsia="Times New Roman" w:hAnsi="Calibri" w:cs="Calibri"/>
                <w:color w:val="000000"/>
                <w:sz w:val="18"/>
                <w:szCs w:val="18"/>
              </w:rPr>
              <w:instrText xml:space="preserve"> ADDIN ZOTERO_ITEM CSL_CITATION {"citationID":"z39yWrVm","properties":{"formattedCitation":"\\super 10\\nosupersub{}","plainCitation":"10","noteIndex":0},"citationItems":[{"id":168,"uris":["http://zotero.org/users/11039783/items/J8ZG6V5K"],"itemData":{"id":168,"type":"article-journal","abstract":"The global demand for palm oil has grown rapidly over the past several decades. Much of the output expansion has occurred in carbon- and biodiversity-rich forest lands of Malaysia and Indonesia (M&amp;I), contributing to record levels of terrestrial carbon emissions and biodiversity loss. This has led to a variety of voluntary and mandatory regulatory actions, as well as calls for limits on palm oil imports from M&amp;I. This paper offers a comprehensive, global assessment of the economic and environmental consequences of alternative policies aimed at limiting deforestation from oil palm expansion in M&amp;I. It highlights the challenges of limiting forest and biodiversity loss in the presence of market-mediated spillovers into related oilseed and agricultural commodity and factor markets, both in M&amp;I and overseas. Indeed, limiting palm oil production or consumption is unlikely to halt deforestation in M&amp;I in the absence of active forest conservation incentives. Policies aimed at restricting palm oil production in M&amp;I also have broader consequences for the economy, including significant impacts on consumer prices, real wages, and welfare, that vary among different global regions. A crucial distinction is whether the initiative is undertaken domestically, in which case the M&amp;I region could benefit, or by major palm oil importers, in which case M&amp;I loses income. Nonetheless, all policies considered here pass the social welfare test of global carbon dioxide mitigation benefits exceeding their costs.","container-title":"Proceedings of the National Academy of Sciences","DOI":"10.1073/pnas.1903476116","issue":"38","note":"publisher: Proceedings of the National Academy of Sciences","page":"19193-19199","source":"pnas.org (Atypon)","title":"Market-mediated responses confound policies to limit deforestation from oil palm expansion in Malaysia and Indonesia","volume":"116","author":[{"family":"Taheripour","given":"Farzad"},{"family":"Hertel","given":"Thomas W."},{"family":"Ramankutty","given":"Navin"}],"issued":{"date-parts":[["2019",9,17]]}}}],"schema":"https://github.com/citation-style-language/schema/raw/master/csl-citation.json"} </w:instrText>
            </w:r>
            <w:r>
              <w:rPr>
                <w:rFonts w:ascii="Calibri" w:eastAsia="Times New Roman" w:hAnsi="Calibri" w:cs="Calibri"/>
                <w:color w:val="000000"/>
                <w:sz w:val="18"/>
                <w:szCs w:val="18"/>
              </w:rPr>
              <w:fldChar w:fldCharType="separate"/>
            </w:r>
            <w:r w:rsidR="00435480" w:rsidRPr="00435480">
              <w:rPr>
                <w:rFonts w:ascii="Calibri" w:hAnsi="Calibri" w:cs="Calibri"/>
                <w:sz w:val="18"/>
                <w:szCs w:val="24"/>
                <w:vertAlign w:val="superscript"/>
              </w:rPr>
              <w:t>10</w:t>
            </w:r>
            <w:r>
              <w:rPr>
                <w:rFonts w:ascii="Calibri" w:eastAsia="Times New Roman" w:hAnsi="Calibri" w:cs="Calibri"/>
                <w:color w:val="000000"/>
                <w:sz w:val="18"/>
                <w:szCs w:val="18"/>
              </w:rPr>
              <w:fldChar w:fldCharType="end"/>
            </w:r>
          </w:p>
        </w:tc>
        <w:tc>
          <w:tcPr>
            <w:tcW w:w="0" w:type="pct"/>
            <w:hideMark/>
          </w:tcPr>
          <w:p w14:paraId="045C64C6"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GTAP-BIO</w:t>
            </w:r>
          </w:p>
        </w:tc>
        <w:tc>
          <w:tcPr>
            <w:tcW w:w="0" w:type="pct"/>
            <w:hideMark/>
          </w:tcPr>
          <w:p w14:paraId="6792C157"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Palm</w:t>
            </w:r>
          </w:p>
        </w:tc>
        <w:tc>
          <w:tcPr>
            <w:tcW w:w="0" w:type="pct"/>
            <w:hideMark/>
          </w:tcPr>
          <w:p w14:paraId="04101667"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domestic (Malaysia and Indonesia), global</w:t>
            </w:r>
          </w:p>
        </w:tc>
        <w:tc>
          <w:tcPr>
            <w:tcW w:w="0" w:type="pct"/>
            <w:hideMark/>
          </w:tcPr>
          <w:p w14:paraId="78382131"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Malaysia and Indonesia</w:t>
            </w:r>
          </w:p>
        </w:tc>
        <w:tc>
          <w:tcPr>
            <w:tcW w:w="0" w:type="pct"/>
            <w:hideMark/>
          </w:tcPr>
          <w:p w14:paraId="1C5E4259"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2011-2016</w:t>
            </w:r>
          </w:p>
          <w:p w14:paraId="67241963" w14:textId="498E136D"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w:t>
            </w:r>
            <w:r w:rsidR="00E91AFC" w:rsidRPr="009A0087">
              <w:rPr>
                <w:rFonts w:ascii="Calibri" w:eastAsia="Times New Roman" w:hAnsi="Calibri" w:cs="Calibri"/>
                <w:b/>
                <w:bCs/>
                <w:color w:val="000000"/>
                <w:sz w:val="18"/>
                <w:szCs w:val="18"/>
              </w:rPr>
              <w:t>Historical</w:t>
            </w:r>
            <w:r w:rsidRPr="009A0087">
              <w:rPr>
                <w:rFonts w:ascii="Calibri" w:eastAsia="Times New Roman" w:hAnsi="Calibri" w:cs="Calibri"/>
                <w:b/>
                <w:bCs/>
                <w:color w:val="000000"/>
                <w:sz w:val="18"/>
                <w:szCs w:val="18"/>
              </w:rPr>
              <w:t xml:space="preserve"> counterfactual</w:t>
            </w:r>
            <w:r>
              <w:rPr>
                <w:rFonts w:ascii="Calibri" w:eastAsia="Times New Roman" w:hAnsi="Calibri" w:cs="Calibri"/>
                <w:color w:val="000000"/>
                <w:sz w:val="18"/>
                <w:szCs w:val="18"/>
              </w:rPr>
              <w:t>)</w:t>
            </w:r>
          </w:p>
        </w:tc>
        <w:tc>
          <w:tcPr>
            <w:tcW w:w="0" w:type="pct"/>
            <w:hideMark/>
          </w:tcPr>
          <w:p w14:paraId="6EEEC89F"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1. Regulation policy that freezes production of oil palm in M&amp;I at 2011 levels via domestic production tax</w:t>
            </w:r>
            <w:r w:rsidRPr="000D6277">
              <w:rPr>
                <w:rFonts w:ascii="Calibri" w:eastAsia="Times New Roman" w:hAnsi="Calibri" w:cs="Calibri"/>
                <w:color w:val="000000"/>
                <w:sz w:val="18"/>
                <w:szCs w:val="18"/>
              </w:rPr>
              <w:br/>
              <w:t xml:space="preserve">2. (1) + an economic incentive (subsidy) to freeze forest area in M&amp;I at </w:t>
            </w:r>
            <w:r>
              <w:rPr>
                <w:rFonts w:ascii="Calibri" w:eastAsia="Times New Roman" w:hAnsi="Calibri" w:cs="Calibri"/>
                <w:color w:val="000000"/>
                <w:sz w:val="18"/>
                <w:szCs w:val="18"/>
              </w:rPr>
              <w:t xml:space="preserve">the </w:t>
            </w:r>
            <w:r w:rsidRPr="000D6277">
              <w:rPr>
                <w:rFonts w:ascii="Calibri" w:eastAsia="Times New Roman" w:hAnsi="Calibri" w:cs="Calibri"/>
                <w:color w:val="000000"/>
                <w:sz w:val="18"/>
                <w:szCs w:val="18"/>
              </w:rPr>
              <w:t>2011 level</w:t>
            </w:r>
            <w:r w:rsidRPr="000D6277">
              <w:rPr>
                <w:rFonts w:ascii="Calibri" w:eastAsia="Times New Roman" w:hAnsi="Calibri" w:cs="Calibri"/>
                <w:color w:val="000000"/>
                <w:sz w:val="18"/>
                <w:szCs w:val="18"/>
              </w:rPr>
              <w:br/>
              <w:t>3. Uniform international tariff on the world imports of palm oil that freezes production of oil palm in M&amp;I at 2011 levels along with freeze in forest area in M&amp;I</w:t>
            </w:r>
          </w:p>
          <w:p w14:paraId="59937DE9"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p>
        </w:tc>
        <w:tc>
          <w:tcPr>
            <w:tcW w:w="0" w:type="pct"/>
            <w:hideMark/>
          </w:tcPr>
          <w:p w14:paraId="0A52411E" w14:textId="67143538"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Environmental metrics:</w:t>
            </w:r>
            <w:r w:rsidRPr="000D6277">
              <w:rPr>
                <w:rFonts w:ascii="Calibri" w:eastAsia="Times New Roman" w:hAnsi="Calibri" w:cs="Calibri"/>
                <w:color w:val="000000"/>
                <w:sz w:val="18"/>
                <w:szCs w:val="18"/>
              </w:rPr>
              <w:br/>
              <w:t>1. Land</w:t>
            </w:r>
            <w:r w:rsidR="00586348">
              <w:rPr>
                <w:rFonts w:ascii="Calibri" w:eastAsia="Times New Roman" w:hAnsi="Calibri" w:cs="Calibri"/>
                <w:color w:val="000000"/>
                <w:sz w:val="18"/>
                <w:szCs w:val="18"/>
              </w:rPr>
              <w:t>-</w:t>
            </w:r>
            <w:r w:rsidRPr="000D6277">
              <w:rPr>
                <w:rFonts w:ascii="Calibri" w:eastAsia="Times New Roman" w:hAnsi="Calibri" w:cs="Calibri"/>
                <w:color w:val="000000"/>
                <w:sz w:val="18"/>
                <w:szCs w:val="18"/>
              </w:rPr>
              <w:t>use change</w:t>
            </w:r>
            <w:r w:rsidRPr="000D6277">
              <w:rPr>
                <w:rFonts w:ascii="Calibri" w:eastAsia="Times New Roman" w:hAnsi="Calibri" w:cs="Calibri"/>
                <w:color w:val="000000"/>
                <w:sz w:val="18"/>
                <w:szCs w:val="18"/>
              </w:rPr>
              <w:br/>
              <w:t>2. LUC GHG emissions</w:t>
            </w:r>
            <w:r w:rsidRPr="000D6277">
              <w:rPr>
                <w:rFonts w:ascii="Calibri" w:eastAsia="Times New Roman" w:hAnsi="Calibri" w:cs="Calibri"/>
                <w:color w:val="000000"/>
                <w:sz w:val="18"/>
                <w:szCs w:val="18"/>
              </w:rPr>
              <w:br/>
            </w:r>
            <w:r w:rsidRPr="000D6277">
              <w:rPr>
                <w:rFonts w:ascii="Calibri" w:eastAsia="Times New Roman" w:hAnsi="Calibri" w:cs="Calibri"/>
                <w:color w:val="000000"/>
                <w:sz w:val="18"/>
                <w:szCs w:val="18"/>
              </w:rPr>
              <w:br/>
              <w:t>Economic metrics:</w:t>
            </w:r>
            <w:r w:rsidRPr="000D6277">
              <w:rPr>
                <w:rFonts w:ascii="Calibri" w:eastAsia="Times New Roman" w:hAnsi="Calibri" w:cs="Calibri"/>
                <w:color w:val="000000"/>
                <w:sz w:val="18"/>
                <w:szCs w:val="18"/>
              </w:rPr>
              <w:br/>
              <w:t>1. Consumer price index of vegetable oil</w:t>
            </w:r>
            <w:r w:rsidRPr="000D6277">
              <w:rPr>
                <w:rFonts w:ascii="Calibri" w:eastAsia="Times New Roman" w:hAnsi="Calibri" w:cs="Calibri"/>
                <w:color w:val="000000"/>
                <w:sz w:val="18"/>
                <w:szCs w:val="18"/>
              </w:rPr>
              <w:br/>
              <w:t>2. Wage rate</w:t>
            </w:r>
            <w:r w:rsidRPr="000D6277">
              <w:rPr>
                <w:rFonts w:ascii="Calibri" w:eastAsia="Times New Roman" w:hAnsi="Calibri" w:cs="Calibri"/>
                <w:color w:val="000000"/>
                <w:sz w:val="18"/>
                <w:szCs w:val="18"/>
              </w:rPr>
              <w:br/>
              <w:t>3. Welfare</w:t>
            </w:r>
            <w:r w:rsidRPr="000D6277">
              <w:rPr>
                <w:rFonts w:ascii="Calibri" w:eastAsia="Times New Roman" w:hAnsi="Calibri" w:cs="Calibri"/>
                <w:color w:val="000000"/>
                <w:sz w:val="18"/>
                <w:szCs w:val="18"/>
              </w:rPr>
              <w:br/>
            </w:r>
            <w:r w:rsidRPr="000D6277">
              <w:rPr>
                <w:rFonts w:ascii="Calibri" w:eastAsia="Times New Roman" w:hAnsi="Calibri" w:cs="Calibri"/>
                <w:color w:val="000000"/>
                <w:sz w:val="18"/>
                <w:szCs w:val="18"/>
              </w:rPr>
              <w:br/>
              <w:t>Climate mitigation metrics:</w:t>
            </w:r>
            <w:r w:rsidRPr="000D6277">
              <w:rPr>
                <w:rFonts w:ascii="Calibri" w:eastAsia="Times New Roman" w:hAnsi="Calibri" w:cs="Calibri"/>
                <w:color w:val="000000"/>
                <w:sz w:val="18"/>
                <w:szCs w:val="18"/>
              </w:rPr>
              <w:br/>
              <w:t>1. Cost of abatement</w:t>
            </w:r>
          </w:p>
        </w:tc>
      </w:tr>
      <w:tr w:rsidR="00835CAE" w:rsidRPr="000D6277" w14:paraId="7524FD49" w14:textId="77777777" w:rsidTr="00835CAE">
        <w:trPr>
          <w:trHeight w:val="864"/>
        </w:trPr>
        <w:tc>
          <w:tcPr>
            <w:cnfStyle w:val="001000000000" w:firstRow="0" w:lastRow="0" w:firstColumn="1" w:lastColumn="0" w:oddVBand="0" w:evenVBand="0" w:oddHBand="0" w:evenHBand="0" w:firstRowFirstColumn="0" w:firstRowLastColumn="0" w:lastRowFirstColumn="0" w:lastRowLastColumn="0"/>
            <w:tcW w:w="434" w:type="pct"/>
            <w:vAlign w:val="center"/>
            <w:hideMark/>
          </w:tcPr>
          <w:p w14:paraId="53832E96" w14:textId="4189968E" w:rsidR="00E25A06" w:rsidRPr="000D6277" w:rsidRDefault="00E25A06" w:rsidP="00015B50">
            <w:pPr>
              <w:rPr>
                <w:rFonts w:ascii="Calibri" w:eastAsia="Times New Roman" w:hAnsi="Calibri" w:cs="Calibri"/>
                <w:color w:val="000000"/>
                <w:sz w:val="18"/>
                <w:szCs w:val="18"/>
              </w:rPr>
            </w:pPr>
            <w:r w:rsidRPr="000D6277">
              <w:rPr>
                <w:rFonts w:ascii="Calibri" w:eastAsia="Times New Roman" w:hAnsi="Calibri" w:cs="Calibri"/>
                <w:color w:val="000000"/>
                <w:sz w:val="18"/>
                <w:szCs w:val="18"/>
              </w:rPr>
              <w:lastRenderedPageBreak/>
              <w:t>Leijten et al., (2023)</w:t>
            </w:r>
            <w:r>
              <w:rPr>
                <w:rFonts w:ascii="Calibri" w:eastAsia="Times New Roman" w:hAnsi="Calibri" w:cs="Calibri"/>
                <w:color w:val="000000"/>
                <w:sz w:val="18"/>
                <w:szCs w:val="18"/>
              </w:rPr>
              <w:fldChar w:fldCharType="begin"/>
            </w:r>
            <w:r w:rsidR="00435480">
              <w:rPr>
                <w:rFonts w:ascii="Calibri" w:eastAsia="Times New Roman" w:hAnsi="Calibri" w:cs="Calibri"/>
                <w:color w:val="000000"/>
                <w:sz w:val="18"/>
                <w:szCs w:val="18"/>
              </w:rPr>
              <w:instrText xml:space="preserve"> ADDIN ZOTERO_ITEM CSL_CITATION {"citationID":"s6RjzxY7","properties":{"formattedCitation":"\\super 11\\nosupersub{}","plainCitation":"11","noteIndex":0},"citationItems":[{"id":170,"uris":["http://zotero.org/users/11039783/items/H43CA469"],"itemData":{"id":170,"type":"article-journal","container-title":"iScience","DOI":"10.1016/j.isci.2023.106971","ISSN":"2589-0042","issue":"6","journalAbbreviation":"iScience","language":"English","note":"publisher: Elsevier\nPMID: 37332602","source":"www.cell.com","title":"Projecting global oil palm expansion under zero-deforestation commitments: Direct and indirect land use change impacts","title-short":"Projecting global oil palm expansion under zero-deforestation commitments","URL":"https://www.cell.com/iscience/abstract/S2589-0042(23)01048-9","volume":"26","author":[{"family":"Leijten","given":"Floris"},{"family":"Baldos","given":"Uris Lantz C."},{"family":"Johnson","given":"Justin A."},{"family":"Sim","given":"Sarah"},{"family":"Verburg","given":"Peter H."}],"accessed":{"date-parts":[["2023",10,30]]},"issued":{"date-parts":[["2023",6,16]]}}}],"schema":"https://github.com/citation-style-language/schema/raw/master/csl-citation.json"} </w:instrText>
            </w:r>
            <w:r>
              <w:rPr>
                <w:rFonts w:ascii="Calibri" w:eastAsia="Times New Roman" w:hAnsi="Calibri" w:cs="Calibri"/>
                <w:color w:val="000000"/>
                <w:sz w:val="18"/>
                <w:szCs w:val="18"/>
              </w:rPr>
              <w:fldChar w:fldCharType="separate"/>
            </w:r>
            <w:r w:rsidR="00435480" w:rsidRPr="00435480">
              <w:rPr>
                <w:rFonts w:ascii="Calibri" w:hAnsi="Calibri" w:cs="Calibri"/>
                <w:sz w:val="18"/>
                <w:szCs w:val="24"/>
                <w:vertAlign w:val="superscript"/>
              </w:rPr>
              <w:t>11</w:t>
            </w:r>
            <w:r>
              <w:rPr>
                <w:rFonts w:ascii="Calibri" w:eastAsia="Times New Roman" w:hAnsi="Calibri" w:cs="Calibri"/>
                <w:color w:val="000000"/>
                <w:sz w:val="18"/>
                <w:szCs w:val="18"/>
              </w:rPr>
              <w:fldChar w:fldCharType="end"/>
            </w:r>
          </w:p>
        </w:tc>
        <w:tc>
          <w:tcPr>
            <w:tcW w:w="387" w:type="pct"/>
            <w:hideMark/>
          </w:tcPr>
          <w:p w14:paraId="6A9F1425"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GTAP-AEZ</w:t>
            </w:r>
          </w:p>
        </w:tc>
        <w:tc>
          <w:tcPr>
            <w:tcW w:w="414" w:type="pct"/>
            <w:hideMark/>
          </w:tcPr>
          <w:p w14:paraId="73D4BF9B"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Palm</w:t>
            </w:r>
          </w:p>
        </w:tc>
        <w:tc>
          <w:tcPr>
            <w:tcW w:w="536" w:type="pct"/>
            <w:hideMark/>
          </w:tcPr>
          <w:p w14:paraId="43C79A4A"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global</w:t>
            </w:r>
          </w:p>
        </w:tc>
        <w:tc>
          <w:tcPr>
            <w:tcW w:w="882" w:type="pct"/>
            <w:hideMark/>
          </w:tcPr>
          <w:p w14:paraId="5B76E1D2"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global</w:t>
            </w:r>
          </w:p>
        </w:tc>
        <w:tc>
          <w:tcPr>
            <w:tcW w:w="543" w:type="pct"/>
            <w:hideMark/>
          </w:tcPr>
          <w:p w14:paraId="7AC2266D"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2014-2030</w:t>
            </w:r>
          </w:p>
        </w:tc>
        <w:tc>
          <w:tcPr>
            <w:tcW w:w="1028" w:type="pct"/>
            <w:hideMark/>
          </w:tcPr>
          <w:p w14:paraId="05492E72" w14:textId="1700CE84"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1. Business as usual (BAU)</w:t>
            </w:r>
            <w:r w:rsidRPr="000D6277">
              <w:rPr>
                <w:rFonts w:ascii="Calibri" w:eastAsia="Times New Roman" w:hAnsi="Calibri" w:cs="Calibri"/>
                <w:color w:val="000000"/>
                <w:sz w:val="18"/>
                <w:szCs w:val="18"/>
              </w:rPr>
              <w:br/>
              <w:t xml:space="preserve">2. </w:t>
            </w:r>
            <w:r w:rsidRPr="00835CAE">
              <w:rPr>
                <w:rFonts w:ascii="Calibri" w:eastAsia="Times New Roman" w:hAnsi="Calibri" w:cs="Calibri"/>
                <w:color w:val="000000"/>
                <w:sz w:val="18"/>
                <w:szCs w:val="18"/>
              </w:rPr>
              <w:t>Full implementation of ZDCs</w:t>
            </w:r>
            <w:r w:rsidRPr="00B25663">
              <w:rPr>
                <w:rFonts w:ascii="Calibri" w:eastAsia="Times New Roman" w:hAnsi="Calibri" w:cs="Calibri"/>
                <w:color w:val="000000"/>
                <w:sz w:val="18"/>
                <w:szCs w:val="18"/>
              </w:rPr>
              <w:t xml:space="preserve"> </w:t>
            </w:r>
            <w:r w:rsidRPr="000D6277">
              <w:rPr>
                <w:rFonts w:ascii="Calibri" w:eastAsia="Times New Roman" w:hAnsi="Calibri" w:cs="Calibri"/>
                <w:color w:val="000000"/>
                <w:sz w:val="18"/>
                <w:szCs w:val="18"/>
              </w:rPr>
              <w:t>globally across sectors</w:t>
            </w:r>
          </w:p>
          <w:p w14:paraId="63876EDA"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p>
        </w:tc>
        <w:tc>
          <w:tcPr>
            <w:tcW w:w="774" w:type="pct"/>
            <w:hideMark/>
          </w:tcPr>
          <w:p w14:paraId="5DB49E2D" w14:textId="6A411F54"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1. Land</w:t>
            </w:r>
            <w:r w:rsidR="00586348">
              <w:rPr>
                <w:rFonts w:ascii="Calibri" w:eastAsia="Times New Roman" w:hAnsi="Calibri" w:cs="Calibri"/>
                <w:color w:val="000000"/>
                <w:sz w:val="18"/>
                <w:szCs w:val="18"/>
              </w:rPr>
              <w:t>-</w:t>
            </w:r>
            <w:r w:rsidRPr="000D6277">
              <w:rPr>
                <w:rFonts w:ascii="Calibri" w:eastAsia="Times New Roman" w:hAnsi="Calibri" w:cs="Calibri"/>
                <w:color w:val="000000"/>
                <w:sz w:val="18"/>
                <w:szCs w:val="18"/>
              </w:rPr>
              <w:t>use changes</w:t>
            </w:r>
          </w:p>
        </w:tc>
      </w:tr>
      <w:tr w:rsidR="00835CAE" w:rsidRPr="000D6277" w14:paraId="1CE8BC0C" w14:textId="77777777" w:rsidTr="00835CAE">
        <w:trPr>
          <w:trHeight w:val="3024"/>
        </w:trPr>
        <w:tc>
          <w:tcPr>
            <w:cnfStyle w:val="001000000000" w:firstRow="0" w:lastRow="0" w:firstColumn="1" w:lastColumn="0" w:oddVBand="0" w:evenVBand="0" w:oddHBand="0" w:evenHBand="0" w:firstRowFirstColumn="0" w:firstRowLastColumn="0" w:lastRowFirstColumn="0" w:lastRowLastColumn="0"/>
            <w:tcW w:w="434" w:type="pct"/>
            <w:vAlign w:val="center"/>
            <w:hideMark/>
          </w:tcPr>
          <w:p w14:paraId="2715CAAA" w14:textId="674ECE9B" w:rsidR="00E25A06" w:rsidRPr="000D6277" w:rsidRDefault="00E25A06" w:rsidP="00015B50">
            <w:pPr>
              <w:rPr>
                <w:rFonts w:ascii="Calibri" w:eastAsia="Times New Roman" w:hAnsi="Calibri" w:cs="Calibri"/>
                <w:color w:val="000000"/>
                <w:sz w:val="18"/>
                <w:szCs w:val="18"/>
              </w:rPr>
            </w:pPr>
            <w:r w:rsidRPr="000D6277">
              <w:rPr>
                <w:rFonts w:ascii="Calibri" w:eastAsia="Times New Roman" w:hAnsi="Calibri" w:cs="Calibri"/>
                <w:color w:val="000000"/>
                <w:sz w:val="18"/>
                <w:szCs w:val="18"/>
              </w:rPr>
              <w:t>Delzeit et al., (2021)</w:t>
            </w:r>
            <w:r>
              <w:rPr>
                <w:rFonts w:ascii="Calibri" w:eastAsia="Times New Roman" w:hAnsi="Calibri" w:cs="Calibri"/>
                <w:color w:val="000000"/>
                <w:sz w:val="18"/>
                <w:szCs w:val="18"/>
              </w:rPr>
              <w:fldChar w:fldCharType="begin"/>
            </w:r>
            <w:r w:rsidR="00435480">
              <w:rPr>
                <w:rFonts w:ascii="Calibri" w:eastAsia="Times New Roman" w:hAnsi="Calibri" w:cs="Calibri"/>
                <w:color w:val="000000"/>
                <w:sz w:val="18"/>
                <w:szCs w:val="18"/>
              </w:rPr>
              <w:instrText xml:space="preserve"> ADDIN ZOTERO_ITEM CSL_CITATION {"citationID":"4kFJs2g2","properties":{"formattedCitation":"\\super 12\\nosupersub{}","plainCitation":"12","noteIndex":0},"citationItems":[{"id":163,"uris":["http://zotero.org/users/11039783/items/S2UTYCCL"],"itemData":{"id":163,"type":"report","collection-title":"Kiel Working Paper","language":"en","number":"2203","publisher":"Kiel Institute for the World Economy (IfW)","source":"Zotero","title":"Who benefits really from phasing out palmoil-based biodiesel in the EU?","author":[{"family":"Delzeit","given":"Ruth"},{"family":"Heimann","given":"Tobias"},{"family":"Schünemann","given":"Franziska"},{"family":"Söder","given":"Mareike"}],"issued":{"date-parts":[["2021"]]}}}],"schema":"https://github.com/citation-style-language/schema/raw/master/csl-citation.json"} </w:instrText>
            </w:r>
            <w:r>
              <w:rPr>
                <w:rFonts w:ascii="Calibri" w:eastAsia="Times New Roman" w:hAnsi="Calibri" w:cs="Calibri"/>
                <w:color w:val="000000"/>
                <w:sz w:val="18"/>
                <w:szCs w:val="18"/>
              </w:rPr>
              <w:fldChar w:fldCharType="separate"/>
            </w:r>
            <w:r w:rsidR="00435480" w:rsidRPr="00435480">
              <w:rPr>
                <w:rFonts w:ascii="Calibri" w:hAnsi="Calibri" w:cs="Calibri"/>
                <w:sz w:val="18"/>
                <w:szCs w:val="24"/>
                <w:vertAlign w:val="superscript"/>
              </w:rPr>
              <w:t>12</w:t>
            </w:r>
            <w:r>
              <w:rPr>
                <w:rFonts w:ascii="Calibri" w:eastAsia="Times New Roman" w:hAnsi="Calibri" w:cs="Calibri"/>
                <w:color w:val="000000"/>
                <w:sz w:val="18"/>
                <w:szCs w:val="18"/>
              </w:rPr>
              <w:fldChar w:fldCharType="end"/>
            </w:r>
          </w:p>
        </w:tc>
        <w:tc>
          <w:tcPr>
            <w:tcW w:w="387" w:type="pct"/>
            <w:hideMark/>
          </w:tcPr>
          <w:p w14:paraId="0A0C9A07"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DART-BIO</w:t>
            </w:r>
          </w:p>
        </w:tc>
        <w:tc>
          <w:tcPr>
            <w:tcW w:w="414" w:type="pct"/>
            <w:hideMark/>
          </w:tcPr>
          <w:p w14:paraId="207DAFD9"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Palm oil biofuel</w:t>
            </w:r>
          </w:p>
        </w:tc>
        <w:tc>
          <w:tcPr>
            <w:tcW w:w="536" w:type="pct"/>
            <w:hideMark/>
          </w:tcPr>
          <w:p w14:paraId="10CFDF3E"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EU</w:t>
            </w:r>
          </w:p>
        </w:tc>
        <w:tc>
          <w:tcPr>
            <w:tcW w:w="882" w:type="pct"/>
            <w:hideMark/>
          </w:tcPr>
          <w:p w14:paraId="11B404F9"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global</w:t>
            </w:r>
          </w:p>
        </w:tc>
        <w:tc>
          <w:tcPr>
            <w:tcW w:w="543" w:type="pct"/>
            <w:hideMark/>
          </w:tcPr>
          <w:p w14:paraId="422F87D1"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2011-2030</w:t>
            </w:r>
          </w:p>
        </w:tc>
        <w:tc>
          <w:tcPr>
            <w:tcW w:w="1028" w:type="pct"/>
            <w:hideMark/>
          </w:tcPr>
          <w:p w14:paraId="347A4214" w14:textId="05FCE7E3"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1. Reference: no biofuel policies from 2019 onwards</w:t>
            </w:r>
            <w:r w:rsidRPr="000D6277">
              <w:rPr>
                <w:rFonts w:ascii="Calibri" w:eastAsia="Times New Roman" w:hAnsi="Calibri" w:cs="Calibri"/>
                <w:color w:val="000000"/>
                <w:sz w:val="18"/>
                <w:szCs w:val="18"/>
              </w:rPr>
              <w:br/>
              <w:t xml:space="preserve">2. Minimum of 2018 biofuel consumption shares; </w:t>
            </w:r>
            <w:r>
              <w:rPr>
                <w:rFonts w:ascii="Calibri" w:eastAsia="Times New Roman" w:hAnsi="Calibri" w:cs="Calibri"/>
                <w:color w:val="000000"/>
                <w:sz w:val="18"/>
                <w:szCs w:val="18"/>
              </w:rPr>
              <w:t>p</w:t>
            </w:r>
            <w:r w:rsidRPr="000D6277">
              <w:rPr>
                <w:rFonts w:ascii="Calibri" w:eastAsia="Times New Roman" w:hAnsi="Calibri" w:cs="Calibri"/>
                <w:color w:val="000000"/>
                <w:sz w:val="18"/>
                <w:szCs w:val="18"/>
              </w:rPr>
              <w:t>alm oil biodiesel reduced to 0% between 2022 and 2030</w:t>
            </w:r>
            <w:r w:rsidRPr="000D6277">
              <w:rPr>
                <w:rFonts w:ascii="Calibri" w:eastAsia="Times New Roman" w:hAnsi="Calibri" w:cs="Calibri"/>
                <w:color w:val="000000"/>
                <w:sz w:val="18"/>
                <w:szCs w:val="18"/>
              </w:rPr>
              <w:br/>
              <w:t xml:space="preserve">3. 7% of total consumption in transport until 2030; </w:t>
            </w:r>
            <w:r>
              <w:rPr>
                <w:rFonts w:ascii="Calibri" w:eastAsia="Times New Roman" w:hAnsi="Calibri" w:cs="Calibri"/>
                <w:color w:val="000000"/>
                <w:sz w:val="18"/>
                <w:szCs w:val="18"/>
              </w:rPr>
              <w:t>p</w:t>
            </w:r>
            <w:r w:rsidRPr="000D6277">
              <w:rPr>
                <w:rFonts w:ascii="Calibri" w:eastAsia="Times New Roman" w:hAnsi="Calibri" w:cs="Calibri"/>
                <w:color w:val="000000"/>
                <w:sz w:val="18"/>
                <w:szCs w:val="18"/>
              </w:rPr>
              <w:t>alm oil biodiesel reduced to 0% between 2022 and 2030</w:t>
            </w:r>
            <w:r w:rsidRPr="000D6277">
              <w:rPr>
                <w:rFonts w:ascii="Calibri" w:eastAsia="Times New Roman" w:hAnsi="Calibri" w:cs="Calibri"/>
                <w:color w:val="000000"/>
                <w:sz w:val="18"/>
                <w:szCs w:val="18"/>
              </w:rPr>
              <w:br/>
              <w:t xml:space="preserve">4. 7% of total consumption in transport until 2030; </w:t>
            </w:r>
            <w:r>
              <w:rPr>
                <w:rFonts w:ascii="Calibri" w:eastAsia="Times New Roman" w:hAnsi="Calibri" w:cs="Calibri"/>
                <w:color w:val="000000"/>
                <w:sz w:val="18"/>
                <w:szCs w:val="18"/>
              </w:rPr>
              <w:t>n</w:t>
            </w:r>
            <w:r w:rsidRPr="000D6277">
              <w:rPr>
                <w:rFonts w:ascii="Calibri" w:eastAsia="Times New Roman" w:hAnsi="Calibri" w:cs="Calibri"/>
                <w:color w:val="000000"/>
                <w:sz w:val="18"/>
                <w:szCs w:val="18"/>
              </w:rPr>
              <w:t>o restriction on palm oil biodiesel</w:t>
            </w:r>
          </w:p>
          <w:p w14:paraId="5145DB59"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p>
        </w:tc>
        <w:tc>
          <w:tcPr>
            <w:tcW w:w="774" w:type="pct"/>
            <w:hideMark/>
          </w:tcPr>
          <w:p w14:paraId="7FFCB640" w14:textId="5E340B0F"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0D6277">
              <w:rPr>
                <w:rFonts w:ascii="Calibri" w:eastAsia="Times New Roman" w:hAnsi="Calibri" w:cs="Calibri"/>
                <w:color w:val="000000"/>
                <w:sz w:val="18"/>
                <w:szCs w:val="18"/>
              </w:rPr>
              <w:t>1. Ag</w:t>
            </w:r>
            <w:r>
              <w:rPr>
                <w:rFonts w:ascii="Calibri" w:eastAsia="Times New Roman" w:hAnsi="Calibri" w:cs="Calibri"/>
                <w:color w:val="000000"/>
                <w:sz w:val="18"/>
                <w:szCs w:val="18"/>
              </w:rPr>
              <w:t>ricultural</w:t>
            </w:r>
            <w:r w:rsidRPr="000D6277">
              <w:rPr>
                <w:rFonts w:ascii="Calibri" w:eastAsia="Times New Roman" w:hAnsi="Calibri" w:cs="Calibri"/>
                <w:color w:val="000000"/>
                <w:sz w:val="18"/>
                <w:szCs w:val="18"/>
              </w:rPr>
              <w:t xml:space="preserve"> commodity production and consumption, trade flows, and prices ($)</w:t>
            </w:r>
            <w:r w:rsidRPr="000D6277">
              <w:rPr>
                <w:rFonts w:ascii="Calibri" w:eastAsia="Times New Roman" w:hAnsi="Calibri" w:cs="Calibri"/>
                <w:color w:val="000000"/>
                <w:sz w:val="18"/>
                <w:szCs w:val="18"/>
              </w:rPr>
              <w:br/>
              <w:t>2. Land</w:t>
            </w:r>
            <w:r w:rsidR="00586348">
              <w:rPr>
                <w:rFonts w:ascii="Calibri" w:eastAsia="Times New Roman" w:hAnsi="Calibri" w:cs="Calibri"/>
                <w:color w:val="000000"/>
                <w:sz w:val="18"/>
                <w:szCs w:val="18"/>
              </w:rPr>
              <w:t>-</w:t>
            </w:r>
            <w:r w:rsidRPr="000D6277">
              <w:rPr>
                <w:rFonts w:ascii="Calibri" w:eastAsia="Times New Roman" w:hAnsi="Calibri" w:cs="Calibri"/>
                <w:color w:val="000000"/>
                <w:sz w:val="18"/>
                <w:szCs w:val="18"/>
              </w:rPr>
              <w:t>use change</w:t>
            </w:r>
          </w:p>
        </w:tc>
      </w:tr>
      <w:tr w:rsidR="00E25A06" w:rsidRPr="000D6277" w14:paraId="1D338082" w14:textId="77777777" w:rsidTr="00015B50">
        <w:trPr>
          <w:trHeight w:val="2160"/>
        </w:trPr>
        <w:tc>
          <w:tcPr>
            <w:cnfStyle w:val="001000000000" w:firstRow="0" w:lastRow="0" w:firstColumn="1" w:lastColumn="0" w:oddVBand="0" w:evenVBand="0" w:oddHBand="0" w:evenHBand="0" w:firstRowFirstColumn="0" w:firstRowLastColumn="0" w:lastRowFirstColumn="0" w:lastRowLastColumn="0"/>
            <w:tcW w:w="434" w:type="pct"/>
            <w:vAlign w:val="center"/>
          </w:tcPr>
          <w:p w14:paraId="2782E982" w14:textId="721D15E8" w:rsidR="00E25A06" w:rsidRPr="00D8310E" w:rsidRDefault="00E25A06" w:rsidP="00015B50">
            <w:pPr>
              <w:rPr>
                <w:rFonts w:ascii="Calibri" w:eastAsia="Times New Roman" w:hAnsi="Calibri" w:cs="Calibri"/>
                <w:color w:val="000000"/>
                <w:sz w:val="18"/>
                <w:szCs w:val="18"/>
              </w:rPr>
            </w:pPr>
            <w:r w:rsidRPr="00D8310E">
              <w:rPr>
                <w:rFonts w:ascii="Calibri" w:eastAsia="Times New Roman" w:hAnsi="Calibri" w:cs="Calibri"/>
                <w:color w:val="000000"/>
                <w:sz w:val="18"/>
                <w:szCs w:val="18"/>
              </w:rPr>
              <w:t>Valin et al.</w:t>
            </w:r>
            <w:r>
              <w:rPr>
                <w:rFonts w:ascii="Calibri" w:eastAsia="Times New Roman" w:hAnsi="Calibri" w:cs="Calibri"/>
                <w:color w:val="000000"/>
                <w:sz w:val="18"/>
                <w:szCs w:val="18"/>
              </w:rPr>
              <w:t xml:space="preserve"> (2015)</w:t>
            </w:r>
            <w:r>
              <w:rPr>
                <w:rFonts w:ascii="Calibri" w:eastAsia="Times New Roman" w:hAnsi="Calibri" w:cs="Calibri"/>
                <w:color w:val="000000"/>
                <w:sz w:val="18"/>
                <w:szCs w:val="18"/>
              </w:rPr>
              <w:fldChar w:fldCharType="begin"/>
            </w:r>
            <w:r w:rsidR="00435480">
              <w:rPr>
                <w:rFonts w:ascii="Calibri" w:eastAsia="Times New Roman" w:hAnsi="Calibri" w:cs="Calibri"/>
                <w:color w:val="000000"/>
                <w:sz w:val="18"/>
                <w:szCs w:val="18"/>
              </w:rPr>
              <w:instrText xml:space="preserve"> ADDIN ZOTERO_ITEM CSL_CITATION {"citationID":"vaidmTgI","properties":{"formattedCitation":"\\super 13\\nosupersub{}","plainCitation":"13","noteIndex":0},"citationItems":[{"id":174,"uris":["http://zotero.org/users/11039783/items/PKBIGDFA"],"itemData":{"id":174,"type":"article-journal","language":"en","source":"Zotero","title":"The land use change impact of biofuels consumed in the EU","author":[{"family":"Valin","given":"Hugo"},{"family":"Peters","given":"Daan"},{"family":"Berg","given":"Maarten","non-dropping-particle":"van den"},{"family":"Frank","given":"Stefan"},{"family":"Havlik","given":"Petr"},{"family":"Forsell","given":"Nicklas"},{"family":"Hamelinck","given":"Carlo"},{"family":"Pirker","given":"Johannes"},{"family":"Balkovic","given":"Juraj"},{"family":"Schmid","given":"Erwin"},{"family":"Durauer","given":"Martina"},{"family":"Fulvio","given":"Fulvio","non-dropping-particle":"di"}],"issued":{"date-parts":[["2015",8,27]]}}}],"schema":"https://github.com/citation-style-language/schema/raw/master/csl-citation.json"} </w:instrText>
            </w:r>
            <w:r>
              <w:rPr>
                <w:rFonts w:ascii="Calibri" w:eastAsia="Times New Roman" w:hAnsi="Calibri" w:cs="Calibri"/>
                <w:color w:val="000000"/>
                <w:sz w:val="18"/>
                <w:szCs w:val="18"/>
              </w:rPr>
              <w:fldChar w:fldCharType="separate"/>
            </w:r>
            <w:r w:rsidR="00435480" w:rsidRPr="00435480">
              <w:rPr>
                <w:rFonts w:ascii="Calibri" w:hAnsi="Calibri" w:cs="Calibri"/>
                <w:sz w:val="18"/>
                <w:szCs w:val="24"/>
                <w:vertAlign w:val="superscript"/>
              </w:rPr>
              <w:t>13</w:t>
            </w:r>
            <w:r>
              <w:rPr>
                <w:rFonts w:ascii="Calibri" w:eastAsia="Times New Roman" w:hAnsi="Calibri" w:cs="Calibri"/>
                <w:color w:val="000000"/>
                <w:sz w:val="18"/>
                <w:szCs w:val="18"/>
              </w:rPr>
              <w:fldChar w:fldCharType="end"/>
            </w:r>
          </w:p>
        </w:tc>
        <w:tc>
          <w:tcPr>
            <w:tcW w:w="387" w:type="pct"/>
          </w:tcPr>
          <w:p w14:paraId="6444EF33"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GLOBIOM</w:t>
            </w:r>
          </w:p>
        </w:tc>
        <w:tc>
          <w:tcPr>
            <w:tcW w:w="414" w:type="pct"/>
          </w:tcPr>
          <w:p w14:paraId="4399629A"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Palm oil biofuel</w:t>
            </w:r>
          </w:p>
        </w:tc>
        <w:tc>
          <w:tcPr>
            <w:tcW w:w="536" w:type="pct"/>
          </w:tcPr>
          <w:p w14:paraId="6E687713"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EU</w:t>
            </w:r>
          </w:p>
        </w:tc>
        <w:tc>
          <w:tcPr>
            <w:tcW w:w="882" w:type="pct"/>
          </w:tcPr>
          <w:p w14:paraId="38ACF888"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global</w:t>
            </w:r>
          </w:p>
        </w:tc>
        <w:tc>
          <w:tcPr>
            <w:tcW w:w="543" w:type="pct"/>
          </w:tcPr>
          <w:p w14:paraId="5EC75125"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2010-2030</w:t>
            </w:r>
          </w:p>
        </w:tc>
        <w:tc>
          <w:tcPr>
            <w:tcW w:w="1028" w:type="pct"/>
          </w:tcPr>
          <w:p w14:paraId="1F80ED2F"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1. Reference: biofuel consumption in EU (3.2%) and globally</w:t>
            </w:r>
          </w:p>
          <w:p w14:paraId="3017D767"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2. Feedstock scenarios</w:t>
            </w:r>
          </w:p>
          <w:p w14:paraId="1DAF4E28"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 xml:space="preserve">3. Policy scenarios: </w:t>
            </w:r>
          </w:p>
          <w:p w14:paraId="69560FCC"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 xml:space="preserve">  a. EU biofuel mix in </w:t>
            </w:r>
            <w:proofErr w:type="gramStart"/>
            <w:r>
              <w:rPr>
                <w:rFonts w:ascii="Calibri" w:eastAsia="Times New Roman" w:hAnsi="Calibri" w:cs="Calibri"/>
                <w:color w:val="000000"/>
                <w:sz w:val="18"/>
                <w:szCs w:val="18"/>
              </w:rPr>
              <w:t>2020</w:t>
            </w:r>
            <w:proofErr w:type="gramEnd"/>
          </w:p>
          <w:p w14:paraId="25A8F8F3"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 xml:space="preserve">  b. EU biofuel mix in 2020 with 7% </w:t>
            </w:r>
            <w:proofErr w:type="gramStart"/>
            <w:r>
              <w:rPr>
                <w:rFonts w:ascii="Calibri" w:eastAsia="Times New Roman" w:hAnsi="Calibri" w:cs="Calibri"/>
                <w:color w:val="000000"/>
                <w:sz w:val="18"/>
                <w:szCs w:val="18"/>
              </w:rPr>
              <w:t>cap</w:t>
            </w:r>
            <w:proofErr w:type="gramEnd"/>
          </w:p>
          <w:p w14:paraId="5E635512" w14:textId="77777777" w:rsidR="00E25A06"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 xml:space="preserve">4. Explorative scenarios, including lower/higher deforestation levels </w:t>
            </w:r>
          </w:p>
          <w:p w14:paraId="23C388BB" w14:textId="77777777" w:rsidR="00E25A06" w:rsidRPr="000D6277"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p>
        </w:tc>
        <w:tc>
          <w:tcPr>
            <w:tcW w:w="774" w:type="pct"/>
          </w:tcPr>
          <w:p w14:paraId="1F6124B5" w14:textId="533FA0CD" w:rsidR="00E25A06" w:rsidRPr="005C2453"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 xml:space="preserve">1. </w:t>
            </w:r>
            <w:r w:rsidRPr="005C2453">
              <w:rPr>
                <w:rFonts w:ascii="Calibri" w:eastAsia="Times New Roman" w:hAnsi="Calibri" w:cs="Calibri"/>
                <w:color w:val="000000"/>
                <w:sz w:val="18"/>
                <w:szCs w:val="18"/>
              </w:rPr>
              <w:t>Land</w:t>
            </w:r>
            <w:r w:rsidR="00586348">
              <w:rPr>
                <w:rFonts w:ascii="Calibri" w:eastAsia="Times New Roman" w:hAnsi="Calibri" w:cs="Calibri"/>
                <w:color w:val="000000"/>
                <w:sz w:val="18"/>
                <w:szCs w:val="18"/>
              </w:rPr>
              <w:t>-</w:t>
            </w:r>
            <w:r w:rsidRPr="005C2453">
              <w:rPr>
                <w:rFonts w:ascii="Calibri" w:eastAsia="Times New Roman" w:hAnsi="Calibri" w:cs="Calibri"/>
                <w:color w:val="000000"/>
                <w:sz w:val="18"/>
                <w:szCs w:val="18"/>
              </w:rPr>
              <w:t>use changes</w:t>
            </w:r>
          </w:p>
          <w:p w14:paraId="6CCA0520" w14:textId="77777777" w:rsidR="00E25A06" w:rsidRPr="005C2453" w:rsidRDefault="00E25A06" w:rsidP="00015B50">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Pr>
                <w:rFonts w:ascii="Calibri" w:eastAsia="Times New Roman" w:hAnsi="Calibri" w:cs="Calibri"/>
                <w:color w:val="000000"/>
                <w:sz w:val="18"/>
                <w:szCs w:val="18"/>
              </w:rPr>
              <w:t xml:space="preserve">2. </w:t>
            </w:r>
            <w:r w:rsidRPr="005C2453">
              <w:rPr>
                <w:rFonts w:ascii="Calibri" w:eastAsia="Times New Roman" w:hAnsi="Calibri" w:cs="Calibri"/>
                <w:color w:val="000000"/>
                <w:sz w:val="18"/>
                <w:szCs w:val="18"/>
              </w:rPr>
              <w:t>LUC emissions</w:t>
            </w:r>
          </w:p>
        </w:tc>
      </w:tr>
    </w:tbl>
    <w:p w14:paraId="5BD5B3A5" w14:textId="77777777" w:rsidR="00E25A06" w:rsidRDefault="00E25A06" w:rsidP="00E25A06">
      <w:pPr>
        <w:rPr>
          <w:b/>
          <w:bCs/>
        </w:rPr>
      </w:pPr>
    </w:p>
    <w:p w14:paraId="3059B887" w14:textId="77777777" w:rsidR="00E25A06" w:rsidRPr="00472661" w:rsidRDefault="00E25A06" w:rsidP="00E25A06">
      <w:pPr>
        <w:rPr>
          <w:b/>
          <w:bCs/>
        </w:rPr>
      </w:pPr>
    </w:p>
    <w:p w14:paraId="0AC42B19" w14:textId="402A68D6" w:rsidR="00472661" w:rsidRPr="00B3707A" w:rsidRDefault="00472661">
      <w:pPr>
        <w:rPr>
          <w:b/>
          <w:bCs/>
        </w:rPr>
        <w:sectPr w:rsidR="00472661" w:rsidRPr="00B3707A" w:rsidSect="00471D5A">
          <w:pgSz w:w="15840" w:h="12240" w:orient="landscape"/>
          <w:pgMar w:top="1440" w:right="1440" w:bottom="1440" w:left="1440" w:header="720" w:footer="720" w:gutter="0"/>
          <w:cols w:space="720"/>
          <w:docGrid w:linePitch="360"/>
        </w:sectPr>
      </w:pPr>
    </w:p>
    <w:p w14:paraId="3548015E" w14:textId="7668BD0F" w:rsidR="00075D2E" w:rsidRDefault="000D2B4E" w:rsidP="00075D2E">
      <w:pPr>
        <w:pStyle w:val="Heading1"/>
      </w:pPr>
      <w:bookmarkStart w:id="1" w:name="_Toc175849299"/>
      <w:r>
        <w:lastRenderedPageBreak/>
        <w:t xml:space="preserve">S2 </w:t>
      </w:r>
      <w:r w:rsidR="00ED14D0">
        <w:t>Methodology and scenario design</w:t>
      </w:r>
      <w:bookmarkEnd w:id="1"/>
    </w:p>
    <w:p w14:paraId="176D71B8" w14:textId="77777777" w:rsidR="00763D22" w:rsidRPr="00763D22" w:rsidRDefault="00763D22" w:rsidP="00763D22"/>
    <w:p w14:paraId="5C2B7842" w14:textId="3776E382" w:rsidR="0092789D" w:rsidRDefault="00A8771A" w:rsidP="0092789D">
      <w:r>
        <w:rPr>
          <w:noProof/>
        </w:rPr>
        <w:drawing>
          <wp:inline distT="0" distB="0" distL="0" distR="0" wp14:anchorId="6702C818" wp14:editId="70503BA4">
            <wp:extent cx="5943600" cy="202057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3600" cy="2020570"/>
                    </a:xfrm>
                    <a:prstGeom prst="rect">
                      <a:avLst/>
                    </a:prstGeom>
                  </pic:spPr>
                </pic:pic>
              </a:graphicData>
            </a:graphic>
          </wp:inline>
        </w:drawing>
      </w:r>
    </w:p>
    <w:p w14:paraId="2C4ABC39" w14:textId="7844419D" w:rsidR="00ED14D0" w:rsidRDefault="00DE7427" w:rsidP="00ED14D0">
      <w:r>
        <w:rPr>
          <w:b/>
          <w:bCs/>
        </w:rPr>
        <w:t xml:space="preserve">Figure S1. </w:t>
      </w:r>
      <w:r>
        <w:t xml:space="preserve">Logit-based Armington bilateral trade framework. Bilateral trade flows from region </w:t>
      </w:r>
      <w:r>
        <w:rPr>
          <w:i/>
          <w:iCs/>
        </w:rPr>
        <w:t>i</w:t>
      </w:r>
      <w:r>
        <w:t xml:space="preserve"> to region </w:t>
      </w:r>
      <w:r>
        <w:rPr>
          <w:i/>
          <w:iCs/>
        </w:rPr>
        <w:t xml:space="preserve">n </w:t>
      </w:r>
      <w:r>
        <w:t>are observed. Adapted from Fig S3 in Zhao et al. (2022)</w:t>
      </w:r>
      <w:r w:rsidR="00BD3382">
        <w:fldChar w:fldCharType="begin"/>
      </w:r>
      <w:r w:rsidR="00435480">
        <w:instrText xml:space="preserve"> ADDIN ZOTERO_ITEM CSL_CITATION {"citationID":"Nv1xLOQ5","properties":{"formattedCitation":"\\super 14\\nosupersub{}","plainCitation":"14","noteIndex":0},"citationItems":[{"id":208,"uris":["http://zotero.org/users/11039783/items/LD8M2X5I"],"itemData":{"id":208,"type":"article-journal","abstract":"Researchers explore future economic and climate scenarios using global economic and integrated assessment models to understand long-term interactions between human development and global environmental changes. However, differences in trade modeling approaches are an important source of uncertainty in these types of assessments, particularly for regional projections. In this study, we modified the Global Change Analysis Model (GCAM) to include a novel logit-based Armington trade structure, to examine two approaches to modeling trade: (1) an approach that represents segmented regional markets (SRM), and (2) an approach that represents integrated world markets (IWM). Our results demonstrate that assuming IWM, i.e., homogeneous product modeling and neglecting economic geography, could lead to lower cropland use (i.e., by 115 million hectares globally) and terrestrial carbon fluxes (i.e., by 25%) by the end of the century under the default GCAM scenario, compared with the logit-based Armington SRM structure. The results are highly heterogeneous across regions, with more pronounced regional trade responses driven by global market integration. Our study highlights the critical role that assumptions about future trade paradigms play in global economic and integrated assessment modeling. The results imply that closer harmonization of trade modeling approaches and trade parameter values could increase the convergence of regional results among models in model intercomparison studies.","container-title":"Global Environmental Change","DOI":"10.1016/j.gloenvcha.2021.102413","ISSN":"0959-3780","journalAbbreviation":"Global Environmental Change","page":"102413","source":"ScienceDirect","title":"The impact of agricultural trade approaches on global economic modeling","volume":"73","author":[{"family":"Zhao","given":"Xin"},{"family":"Wise","given":"Marshall A."},{"family":"Waldhoff","given":"Stephanie T."},{"family":"Kyle","given":"G. Page"},{"family":"Huster","given":"Jonathan E."},{"family":"Ramig","given":"Christopher W."},{"family":"Rafelski","given":"Lauren E."},{"family":"Patel","given":"Pralit L."},{"family":"Calvin","given":"Katherine V."}],"issued":{"date-parts":[["2022",3,1]]}}}],"schema":"https://github.com/citation-style-language/schema/raw/master/csl-citation.json"} </w:instrText>
      </w:r>
      <w:r w:rsidR="00BD3382">
        <w:fldChar w:fldCharType="separate"/>
      </w:r>
      <w:r w:rsidR="00435480" w:rsidRPr="00435480">
        <w:rPr>
          <w:rFonts w:ascii="Calibri" w:hAnsi="Calibri" w:cs="Calibri"/>
          <w:szCs w:val="24"/>
          <w:vertAlign w:val="superscript"/>
        </w:rPr>
        <w:t>14</w:t>
      </w:r>
      <w:r w:rsidR="00BD3382">
        <w:fldChar w:fldCharType="end"/>
      </w:r>
      <w:r w:rsidR="00F77453">
        <w:t>.</w:t>
      </w:r>
    </w:p>
    <w:p w14:paraId="0EB1BAAA" w14:textId="77777777" w:rsidR="00586157" w:rsidRDefault="00586157" w:rsidP="00ED14D0"/>
    <w:p w14:paraId="5ABE7117" w14:textId="77777777" w:rsidR="00F467BC" w:rsidRDefault="00F467BC">
      <w:pPr>
        <w:rPr>
          <w:b/>
          <w:bCs/>
        </w:rPr>
      </w:pPr>
      <w:r>
        <w:rPr>
          <w:b/>
          <w:bCs/>
        </w:rPr>
        <w:br w:type="page"/>
      </w:r>
    </w:p>
    <w:p w14:paraId="208A6E86" w14:textId="7226EF7D" w:rsidR="006C167D" w:rsidRDefault="006C167D" w:rsidP="00ED14D0">
      <w:r>
        <w:rPr>
          <w:b/>
          <w:bCs/>
        </w:rPr>
        <w:lastRenderedPageBreak/>
        <w:t xml:space="preserve">Table S3. </w:t>
      </w:r>
      <w:r w:rsidR="00F43F4D" w:rsidRPr="00F43F4D">
        <w:rPr>
          <w:b/>
          <w:bCs/>
        </w:rPr>
        <w:t xml:space="preserve">Agricultural commodity mapping between GCAM commodity and FAO.  </w:t>
      </w:r>
      <w:r w:rsidR="00F43F4D" w:rsidRPr="00F43F4D">
        <w:t>GCAM staple crops include Wheat, Rice, Corn, OtherGrain, and RootTuber. GCAM also uses the primary roundwood data from FAOSTAT for forestry representation.</w:t>
      </w:r>
    </w:p>
    <w:tbl>
      <w:tblPr>
        <w:tblStyle w:val="ListTable1Light-Accent3"/>
        <w:tblW w:w="0" w:type="auto"/>
        <w:tblLook w:val="04A0" w:firstRow="1" w:lastRow="0" w:firstColumn="1" w:lastColumn="0" w:noHBand="0" w:noVBand="1"/>
      </w:tblPr>
      <w:tblGrid>
        <w:gridCol w:w="1333"/>
        <w:gridCol w:w="8027"/>
      </w:tblGrid>
      <w:tr w:rsidR="005E1296" w:rsidRPr="00B609B3" w14:paraId="350F3479" w14:textId="77777777" w:rsidTr="00015B50">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tcBorders>
            <w:noWrap/>
            <w:vAlign w:val="center"/>
            <w:hideMark/>
          </w:tcPr>
          <w:p w14:paraId="646F36FA" w14:textId="77777777" w:rsidR="005E1296" w:rsidRPr="00B609B3" w:rsidRDefault="005E1296" w:rsidP="00015B50">
            <w:pPr>
              <w:jc w:val="center"/>
              <w:rPr>
                <w:rFonts w:eastAsia="Times New Roman" w:cstheme="minorHAnsi"/>
                <w:color w:val="000000"/>
                <w:sz w:val="16"/>
                <w:szCs w:val="16"/>
              </w:rPr>
            </w:pPr>
            <w:r w:rsidRPr="00B609B3">
              <w:rPr>
                <w:rFonts w:eastAsia="Times New Roman" w:cstheme="minorHAnsi"/>
                <w:color w:val="000000"/>
                <w:sz w:val="16"/>
                <w:szCs w:val="16"/>
              </w:rPr>
              <w:t>GCAM commodity</w:t>
            </w:r>
          </w:p>
        </w:tc>
        <w:tc>
          <w:tcPr>
            <w:tcW w:w="0" w:type="auto"/>
            <w:tcBorders>
              <w:top w:val="single" w:sz="4" w:space="0" w:color="auto"/>
              <w:bottom w:val="single" w:sz="4" w:space="0" w:color="auto"/>
            </w:tcBorders>
            <w:noWrap/>
            <w:vAlign w:val="center"/>
            <w:hideMark/>
          </w:tcPr>
          <w:p w14:paraId="199CF27C" w14:textId="77777777" w:rsidR="005E1296" w:rsidRPr="00B609B3" w:rsidRDefault="005E1296" w:rsidP="00015B50">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sz w:val="16"/>
                <w:szCs w:val="16"/>
              </w:rPr>
            </w:pPr>
            <w:r w:rsidRPr="00B609B3">
              <w:rPr>
                <w:rFonts w:eastAsia="Times New Roman" w:cstheme="minorHAnsi"/>
                <w:color w:val="000000"/>
                <w:sz w:val="16"/>
                <w:szCs w:val="16"/>
              </w:rPr>
              <w:t>FAO primary item (240)</w:t>
            </w:r>
          </w:p>
        </w:tc>
      </w:tr>
      <w:tr w:rsidR="005E1296" w:rsidRPr="00B609B3" w14:paraId="01240D7E" w14:textId="77777777" w:rsidTr="00015B5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tcBorders>
            <w:noWrap/>
            <w:vAlign w:val="center"/>
            <w:hideMark/>
          </w:tcPr>
          <w:p w14:paraId="235CCCFE" w14:textId="77777777" w:rsidR="005E1296" w:rsidRPr="00B609B3" w:rsidRDefault="005E1296" w:rsidP="00015B50">
            <w:pPr>
              <w:rPr>
                <w:rFonts w:eastAsia="Times New Roman" w:cstheme="minorHAnsi"/>
                <w:color w:val="000000"/>
                <w:sz w:val="16"/>
                <w:szCs w:val="16"/>
              </w:rPr>
            </w:pPr>
            <w:r w:rsidRPr="00B609B3">
              <w:rPr>
                <w:rFonts w:eastAsia="Times New Roman" w:cstheme="minorHAnsi"/>
                <w:color w:val="000000"/>
                <w:sz w:val="16"/>
                <w:szCs w:val="16"/>
              </w:rPr>
              <w:t>Wheat</w:t>
            </w:r>
          </w:p>
        </w:tc>
        <w:tc>
          <w:tcPr>
            <w:tcW w:w="0" w:type="auto"/>
            <w:tcBorders>
              <w:top w:val="single" w:sz="4" w:space="0" w:color="auto"/>
            </w:tcBorders>
            <w:noWrap/>
            <w:vAlign w:val="center"/>
            <w:hideMark/>
          </w:tcPr>
          <w:p w14:paraId="3A30E73E" w14:textId="77777777" w:rsidR="005E1296" w:rsidRPr="00B609B3" w:rsidRDefault="005E1296" w:rsidP="00015B50">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rPr>
            </w:pPr>
            <w:r w:rsidRPr="00B609B3">
              <w:rPr>
                <w:rFonts w:eastAsia="Times New Roman" w:cstheme="minorHAnsi"/>
                <w:color w:val="000000"/>
                <w:sz w:val="16"/>
                <w:szCs w:val="16"/>
              </w:rPr>
              <w:t>Wheat</w:t>
            </w:r>
          </w:p>
        </w:tc>
      </w:tr>
      <w:tr w:rsidR="005E1296" w:rsidRPr="00B609B3" w14:paraId="3B1566D0" w14:textId="77777777" w:rsidTr="00015B50">
        <w:trPr>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5F2657B0" w14:textId="77777777" w:rsidR="005E1296" w:rsidRPr="00B609B3" w:rsidRDefault="005E1296" w:rsidP="00015B50">
            <w:pPr>
              <w:rPr>
                <w:rFonts w:eastAsia="Times New Roman" w:cstheme="minorHAnsi"/>
                <w:color w:val="000000"/>
                <w:sz w:val="16"/>
                <w:szCs w:val="16"/>
              </w:rPr>
            </w:pPr>
            <w:r w:rsidRPr="00B609B3">
              <w:rPr>
                <w:rFonts w:eastAsia="Times New Roman" w:cstheme="minorHAnsi"/>
                <w:color w:val="000000"/>
                <w:sz w:val="16"/>
                <w:szCs w:val="16"/>
              </w:rPr>
              <w:t>Rice</w:t>
            </w:r>
          </w:p>
        </w:tc>
        <w:tc>
          <w:tcPr>
            <w:tcW w:w="0" w:type="auto"/>
            <w:noWrap/>
            <w:vAlign w:val="center"/>
            <w:hideMark/>
          </w:tcPr>
          <w:p w14:paraId="5CFEEEA0" w14:textId="77777777" w:rsidR="005E1296" w:rsidRPr="00B609B3" w:rsidRDefault="005E1296" w:rsidP="00015B5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rPr>
            </w:pPr>
            <w:r w:rsidRPr="00B609B3">
              <w:rPr>
                <w:rFonts w:eastAsia="Times New Roman" w:cstheme="minorHAnsi"/>
                <w:color w:val="000000"/>
                <w:sz w:val="16"/>
                <w:szCs w:val="16"/>
              </w:rPr>
              <w:t>Rice, paddy</w:t>
            </w:r>
          </w:p>
        </w:tc>
      </w:tr>
      <w:tr w:rsidR="005E1296" w:rsidRPr="00B609B3" w14:paraId="1FBA437E" w14:textId="77777777" w:rsidTr="00015B5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3F16089D" w14:textId="77777777" w:rsidR="005E1296" w:rsidRPr="00B609B3" w:rsidRDefault="005E1296" w:rsidP="00015B50">
            <w:pPr>
              <w:rPr>
                <w:rFonts w:eastAsia="Times New Roman" w:cstheme="minorHAnsi"/>
                <w:color w:val="000000"/>
                <w:sz w:val="16"/>
                <w:szCs w:val="16"/>
              </w:rPr>
            </w:pPr>
            <w:r w:rsidRPr="00B609B3">
              <w:rPr>
                <w:rFonts w:eastAsia="Times New Roman" w:cstheme="minorHAnsi"/>
                <w:color w:val="000000"/>
                <w:sz w:val="16"/>
                <w:szCs w:val="16"/>
              </w:rPr>
              <w:t>Corn</w:t>
            </w:r>
          </w:p>
        </w:tc>
        <w:tc>
          <w:tcPr>
            <w:tcW w:w="0" w:type="auto"/>
            <w:noWrap/>
            <w:vAlign w:val="center"/>
            <w:hideMark/>
          </w:tcPr>
          <w:p w14:paraId="4B553AB6" w14:textId="77777777" w:rsidR="005E1296" w:rsidRPr="00B609B3" w:rsidRDefault="005E1296" w:rsidP="00015B50">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rPr>
            </w:pPr>
            <w:r w:rsidRPr="00B609B3">
              <w:rPr>
                <w:rFonts w:eastAsia="Times New Roman" w:cstheme="minorHAnsi"/>
                <w:color w:val="000000"/>
                <w:sz w:val="16"/>
                <w:szCs w:val="16"/>
              </w:rPr>
              <w:t>Maize</w:t>
            </w:r>
          </w:p>
        </w:tc>
      </w:tr>
      <w:tr w:rsidR="005E1296" w:rsidRPr="00B609B3" w14:paraId="1887ECD6" w14:textId="77777777" w:rsidTr="00015B50">
        <w:trPr>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47BBF76A" w14:textId="77777777" w:rsidR="005E1296" w:rsidRPr="00B609B3" w:rsidRDefault="005E1296" w:rsidP="00015B50">
            <w:pPr>
              <w:rPr>
                <w:rFonts w:eastAsia="Times New Roman" w:cstheme="minorHAnsi"/>
                <w:color w:val="000000"/>
                <w:sz w:val="16"/>
                <w:szCs w:val="16"/>
              </w:rPr>
            </w:pPr>
            <w:r w:rsidRPr="00B609B3">
              <w:rPr>
                <w:rFonts w:eastAsia="Times New Roman" w:cstheme="minorHAnsi"/>
                <w:color w:val="000000"/>
                <w:sz w:val="16"/>
                <w:szCs w:val="16"/>
              </w:rPr>
              <w:t>OtherGrain</w:t>
            </w:r>
          </w:p>
        </w:tc>
        <w:tc>
          <w:tcPr>
            <w:tcW w:w="0" w:type="auto"/>
            <w:vAlign w:val="center"/>
            <w:hideMark/>
          </w:tcPr>
          <w:p w14:paraId="110F71A8" w14:textId="77777777" w:rsidR="005E1296" w:rsidRPr="00B609B3" w:rsidRDefault="005E1296" w:rsidP="00015B5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rPr>
            </w:pPr>
            <w:r w:rsidRPr="00B609B3">
              <w:rPr>
                <w:rFonts w:eastAsia="Times New Roman" w:cstheme="minorHAnsi"/>
                <w:color w:val="000000"/>
                <w:sz w:val="16"/>
                <w:szCs w:val="16"/>
              </w:rPr>
              <w:t xml:space="preserve">Barley; Buckwheat; Canary seed; Cereals </w:t>
            </w:r>
            <w:proofErr w:type="spellStart"/>
            <w:r w:rsidRPr="00B609B3">
              <w:rPr>
                <w:rFonts w:eastAsia="Times New Roman" w:cstheme="minorHAnsi"/>
                <w:color w:val="000000"/>
                <w:sz w:val="16"/>
                <w:szCs w:val="16"/>
              </w:rPr>
              <w:t>nes</w:t>
            </w:r>
            <w:proofErr w:type="spellEnd"/>
            <w:r w:rsidRPr="00B609B3">
              <w:rPr>
                <w:rFonts w:eastAsia="Times New Roman" w:cstheme="minorHAnsi"/>
                <w:color w:val="000000"/>
                <w:sz w:val="16"/>
                <w:szCs w:val="16"/>
              </w:rPr>
              <w:t xml:space="preserve">; </w:t>
            </w:r>
            <w:proofErr w:type="spellStart"/>
            <w:r w:rsidRPr="00B609B3">
              <w:rPr>
                <w:rFonts w:eastAsia="Times New Roman" w:cstheme="minorHAnsi"/>
                <w:color w:val="000000"/>
                <w:sz w:val="16"/>
                <w:szCs w:val="16"/>
              </w:rPr>
              <w:t>Fonio</w:t>
            </w:r>
            <w:proofErr w:type="spellEnd"/>
            <w:r w:rsidRPr="00B609B3">
              <w:rPr>
                <w:rFonts w:eastAsia="Times New Roman" w:cstheme="minorHAnsi"/>
                <w:color w:val="000000"/>
                <w:sz w:val="16"/>
                <w:szCs w:val="16"/>
              </w:rPr>
              <w:t>; Grain, mixed; Oats; Quinoa; Rye; Triticale; Millet; Sorghum</w:t>
            </w:r>
          </w:p>
        </w:tc>
      </w:tr>
      <w:tr w:rsidR="005E1296" w:rsidRPr="00B609B3" w14:paraId="3ED99D51" w14:textId="77777777" w:rsidTr="00015B5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31958710" w14:textId="77777777" w:rsidR="005E1296" w:rsidRPr="00B609B3" w:rsidRDefault="005E1296" w:rsidP="00015B50">
            <w:pPr>
              <w:rPr>
                <w:rFonts w:eastAsia="Times New Roman" w:cstheme="minorHAnsi"/>
                <w:color w:val="000000"/>
                <w:sz w:val="16"/>
                <w:szCs w:val="16"/>
              </w:rPr>
            </w:pPr>
            <w:r w:rsidRPr="00B609B3">
              <w:rPr>
                <w:rFonts w:eastAsia="Times New Roman" w:cstheme="minorHAnsi"/>
                <w:color w:val="000000"/>
                <w:sz w:val="16"/>
                <w:szCs w:val="16"/>
              </w:rPr>
              <w:t>Soybean</w:t>
            </w:r>
          </w:p>
        </w:tc>
        <w:tc>
          <w:tcPr>
            <w:tcW w:w="0" w:type="auto"/>
            <w:noWrap/>
            <w:vAlign w:val="center"/>
            <w:hideMark/>
          </w:tcPr>
          <w:p w14:paraId="506B48ED" w14:textId="77777777" w:rsidR="005E1296" w:rsidRPr="00B609B3" w:rsidRDefault="005E1296" w:rsidP="00015B50">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rPr>
            </w:pPr>
            <w:r w:rsidRPr="00B609B3">
              <w:rPr>
                <w:rFonts w:eastAsia="Times New Roman" w:cstheme="minorHAnsi"/>
                <w:color w:val="000000"/>
                <w:sz w:val="16"/>
                <w:szCs w:val="16"/>
              </w:rPr>
              <w:t>Soybeans</w:t>
            </w:r>
          </w:p>
        </w:tc>
      </w:tr>
      <w:tr w:rsidR="005E1296" w:rsidRPr="00B609B3" w14:paraId="2AE2188D" w14:textId="77777777" w:rsidTr="00015B50">
        <w:trPr>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3D74F183" w14:textId="77777777" w:rsidR="005E1296" w:rsidRPr="00B609B3" w:rsidRDefault="005E1296" w:rsidP="00015B50">
            <w:pPr>
              <w:rPr>
                <w:rFonts w:eastAsia="Times New Roman" w:cstheme="minorHAnsi"/>
                <w:color w:val="000000"/>
                <w:sz w:val="16"/>
                <w:szCs w:val="16"/>
              </w:rPr>
            </w:pPr>
            <w:proofErr w:type="spellStart"/>
            <w:r w:rsidRPr="00B609B3">
              <w:rPr>
                <w:rFonts w:eastAsia="Times New Roman" w:cstheme="minorHAnsi"/>
                <w:color w:val="000000"/>
                <w:sz w:val="16"/>
                <w:szCs w:val="16"/>
              </w:rPr>
              <w:t>OilPalm</w:t>
            </w:r>
            <w:proofErr w:type="spellEnd"/>
            <w:r w:rsidRPr="00B609B3">
              <w:rPr>
                <w:rFonts w:eastAsia="Times New Roman" w:cstheme="minorHAnsi"/>
                <w:color w:val="000000"/>
                <w:sz w:val="16"/>
                <w:szCs w:val="16"/>
              </w:rPr>
              <w:t xml:space="preserve"> (Tree)</w:t>
            </w:r>
          </w:p>
        </w:tc>
        <w:tc>
          <w:tcPr>
            <w:tcW w:w="0" w:type="auto"/>
            <w:noWrap/>
            <w:vAlign w:val="center"/>
            <w:hideMark/>
          </w:tcPr>
          <w:p w14:paraId="4A61F433" w14:textId="77777777" w:rsidR="005E1296" w:rsidRPr="00B609B3" w:rsidRDefault="005E1296" w:rsidP="00015B5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rPr>
            </w:pPr>
            <w:r w:rsidRPr="00B609B3">
              <w:rPr>
                <w:rFonts w:eastAsia="Times New Roman" w:cstheme="minorHAnsi"/>
                <w:color w:val="000000"/>
                <w:sz w:val="16"/>
                <w:szCs w:val="16"/>
              </w:rPr>
              <w:t>Oil palm fruit</w:t>
            </w:r>
          </w:p>
        </w:tc>
      </w:tr>
      <w:tr w:rsidR="005E1296" w:rsidRPr="00B609B3" w14:paraId="62DE4CDF" w14:textId="77777777" w:rsidTr="00015B5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3ED4B2C3" w14:textId="77777777" w:rsidR="005E1296" w:rsidRPr="00B609B3" w:rsidRDefault="005E1296" w:rsidP="00015B50">
            <w:pPr>
              <w:rPr>
                <w:rFonts w:eastAsia="Times New Roman" w:cstheme="minorHAnsi"/>
                <w:color w:val="000000"/>
                <w:sz w:val="16"/>
                <w:szCs w:val="16"/>
              </w:rPr>
            </w:pPr>
            <w:r w:rsidRPr="00B609B3">
              <w:rPr>
                <w:rFonts w:eastAsia="Times New Roman" w:cstheme="minorHAnsi"/>
                <w:color w:val="000000"/>
                <w:sz w:val="16"/>
                <w:szCs w:val="16"/>
              </w:rPr>
              <w:t>OilCrop</w:t>
            </w:r>
          </w:p>
        </w:tc>
        <w:tc>
          <w:tcPr>
            <w:tcW w:w="0" w:type="auto"/>
            <w:vAlign w:val="center"/>
            <w:hideMark/>
          </w:tcPr>
          <w:p w14:paraId="00DABF01" w14:textId="77777777" w:rsidR="005E1296" w:rsidRPr="00B609B3" w:rsidRDefault="005E1296" w:rsidP="00015B50">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rPr>
            </w:pPr>
            <w:r w:rsidRPr="00B609B3">
              <w:rPr>
                <w:rFonts w:eastAsia="Times New Roman" w:cstheme="minorHAnsi"/>
                <w:color w:val="000000"/>
                <w:sz w:val="16"/>
                <w:szCs w:val="16"/>
              </w:rPr>
              <w:t xml:space="preserve">Castor oil seed; Hempseed; Jojoba seed; Linseed; </w:t>
            </w:r>
            <w:proofErr w:type="spellStart"/>
            <w:r w:rsidRPr="00B609B3">
              <w:rPr>
                <w:rFonts w:eastAsia="Times New Roman" w:cstheme="minorHAnsi"/>
                <w:color w:val="000000"/>
                <w:sz w:val="16"/>
                <w:szCs w:val="16"/>
              </w:rPr>
              <w:t>Melonseed</w:t>
            </w:r>
            <w:proofErr w:type="spellEnd"/>
            <w:r w:rsidRPr="00B609B3">
              <w:rPr>
                <w:rFonts w:eastAsia="Times New Roman" w:cstheme="minorHAnsi"/>
                <w:color w:val="000000"/>
                <w:sz w:val="16"/>
                <w:szCs w:val="16"/>
              </w:rPr>
              <w:t xml:space="preserve">; Mustard seed; Oilseeds </w:t>
            </w:r>
            <w:proofErr w:type="spellStart"/>
            <w:r w:rsidRPr="00B609B3">
              <w:rPr>
                <w:rFonts w:eastAsia="Times New Roman" w:cstheme="minorHAnsi"/>
                <w:color w:val="000000"/>
                <w:sz w:val="16"/>
                <w:szCs w:val="16"/>
              </w:rPr>
              <w:t>nes</w:t>
            </w:r>
            <w:proofErr w:type="spellEnd"/>
            <w:r w:rsidRPr="00B609B3">
              <w:rPr>
                <w:rFonts w:eastAsia="Times New Roman" w:cstheme="minorHAnsi"/>
                <w:color w:val="000000"/>
                <w:sz w:val="16"/>
                <w:szCs w:val="16"/>
              </w:rPr>
              <w:t>; Poppy seed; Rapeseed; Safflower seed; Sesame seed; Sunflower seed</w:t>
            </w:r>
          </w:p>
        </w:tc>
      </w:tr>
      <w:tr w:rsidR="005E1296" w:rsidRPr="00B609B3" w14:paraId="60C43B67" w14:textId="77777777" w:rsidTr="00015B50">
        <w:trPr>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0537FA1B" w14:textId="77777777" w:rsidR="005E1296" w:rsidRPr="00B609B3" w:rsidRDefault="005E1296" w:rsidP="00015B50">
            <w:pPr>
              <w:rPr>
                <w:rFonts w:eastAsia="Times New Roman" w:cstheme="minorHAnsi"/>
                <w:color w:val="000000"/>
                <w:sz w:val="16"/>
                <w:szCs w:val="16"/>
              </w:rPr>
            </w:pPr>
            <w:r w:rsidRPr="00B609B3">
              <w:rPr>
                <w:rFonts w:eastAsia="Times New Roman" w:cstheme="minorHAnsi"/>
                <w:color w:val="000000"/>
                <w:sz w:val="16"/>
                <w:szCs w:val="16"/>
              </w:rPr>
              <w:t>OilCrop (Tree)</w:t>
            </w:r>
          </w:p>
        </w:tc>
        <w:tc>
          <w:tcPr>
            <w:tcW w:w="0" w:type="auto"/>
            <w:vAlign w:val="center"/>
            <w:hideMark/>
          </w:tcPr>
          <w:p w14:paraId="4F829CBF" w14:textId="77777777" w:rsidR="005E1296" w:rsidRPr="00B609B3" w:rsidRDefault="005E1296" w:rsidP="00015B5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rPr>
            </w:pPr>
            <w:r w:rsidRPr="00B609B3">
              <w:rPr>
                <w:rFonts w:eastAsia="Times New Roman" w:cstheme="minorHAnsi"/>
                <w:color w:val="000000"/>
                <w:sz w:val="16"/>
                <w:szCs w:val="16"/>
              </w:rPr>
              <w:t>Coconuts; Kapok fruit; Karite nuts (</w:t>
            </w:r>
            <w:proofErr w:type="spellStart"/>
            <w:r w:rsidRPr="00B609B3">
              <w:rPr>
                <w:rFonts w:eastAsia="Times New Roman" w:cstheme="minorHAnsi"/>
                <w:color w:val="000000"/>
                <w:sz w:val="16"/>
                <w:szCs w:val="16"/>
              </w:rPr>
              <w:t>sheanuts</w:t>
            </w:r>
            <w:proofErr w:type="spellEnd"/>
            <w:r w:rsidRPr="00B609B3">
              <w:rPr>
                <w:rFonts w:eastAsia="Times New Roman" w:cstheme="minorHAnsi"/>
                <w:color w:val="000000"/>
                <w:sz w:val="16"/>
                <w:szCs w:val="16"/>
              </w:rPr>
              <w:t xml:space="preserve">); Olives; </w:t>
            </w:r>
            <w:proofErr w:type="spellStart"/>
            <w:r w:rsidRPr="00B609B3">
              <w:rPr>
                <w:rFonts w:eastAsia="Times New Roman" w:cstheme="minorHAnsi"/>
                <w:color w:val="000000"/>
                <w:sz w:val="16"/>
                <w:szCs w:val="16"/>
              </w:rPr>
              <w:t>Tallowtree</w:t>
            </w:r>
            <w:proofErr w:type="spellEnd"/>
            <w:r w:rsidRPr="00B609B3">
              <w:rPr>
                <w:rFonts w:eastAsia="Times New Roman" w:cstheme="minorHAnsi"/>
                <w:color w:val="000000"/>
                <w:sz w:val="16"/>
                <w:szCs w:val="16"/>
              </w:rPr>
              <w:t xml:space="preserve"> seed; Tung nuts</w:t>
            </w:r>
          </w:p>
        </w:tc>
      </w:tr>
      <w:tr w:rsidR="005E1296" w:rsidRPr="00B609B3" w14:paraId="2E2201C1" w14:textId="77777777" w:rsidTr="00015B5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6327CD76" w14:textId="77777777" w:rsidR="005E1296" w:rsidRPr="00B609B3" w:rsidRDefault="005E1296" w:rsidP="00015B50">
            <w:pPr>
              <w:rPr>
                <w:rFonts w:eastAsia="Times New Roman" w:cstheme="minorHAnsi"/>
                <w:color w:val="000000"/>
                <w:sz w:val="16"/>
                <w:szCs w:val="16"/>
              </w:rPr>
            </w:pPr>
            <w:r w:rsidRPr="00B609B3">
              <w:rPr>
                <w:rFonts w:eastAsia="Times New Roman" w:cstheme="minorHAnsi"/>
                <w:color w:val="000000"/>
                <w:sz w:val="16"/>
                <w:szCs w:val="16"/>
              </w:rPr>
              <w:t>RootTuber</w:t>
            </w:r>
          </w:p>
        </w:tc>
        <w:tc>
          <w:tcPr>
            <w:tcW w:w="0" w:type="auto"/>
            <w:vAlign w:val="center"/>
            <w:hideMark/>
          </w:tcPr>
          <w:p w14:paraId="0902090E" w14:textId="77777777" w:rsidR="005E1296" w:rsidRPr="00B609B3" w:rsidRDefault="005E1296" w:rsidP="00015B50">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rPr>
            </w:pPr>
            <w:r w:rsidRPr="00B609B3">
              <w:rPr>
                <w:rFonts w:eastAsia="Times New Roman" w:cstheme="minorHAnsi"/>
                <w:color w:val="000000"/>
                <w:sz w:val="16"/>
                <w:szCs w:val="16"/>
              </w:rPr>
              <w:t xml:space="preserve">Cassava; Potatoes; Roots and tubers </w:t>
            </w:r>
            <w:proofErr w:type="spellStart"/>
            <w:r w:rsidRPr="00B609B3">
              <w:rPr>
                <w:rFonts w:eastAsia="Times New Roman" w:cstheme="minorHAnsi"/>
                <w:color w:val="000000"/>
                <w:sz w:val="16"/>
                <w:szCs w:val="16"/>
              </w:rPr>
              <w:t>nes</w:t>
            </w:r>
            <w:proofErr w:type="spellEnd"/>
            <w:r w:rsidRPr="00B609B3">
              <w:rPr>
                <w:rFonts w:eastAsia="Times New Roman" w:cstheme="minorHAnsi"/>
                <w:color w:val="000000"/>
                <w:sz w:val="16"/>
                <w:szCs w:val="16"/>
              </w:rPr>
              <w:t xml:space="preserve">; Sweet potatoes; Taro (cocoyam); Yams; Yautia (cocoyam); </w:t>
            </w:r>
          </w:p>
        </w:tc>
      </w:tr>
      <w:tr w:rsidR="005E1296" w:rsidRPr="00B609B3" w14:paraId="5C59F8A1" w14:textId="77777777" w:rsidTr="00015B50">
        <w:trPr>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69AA0E45" w14:textId="77777777" w:rsidR="005E1296" w:rsidRPr="00B609B3" w:rsidRDefault="005E1296" w:rsidP="00015B50">
            <w:pPr>
              <w:rPr>
                <w:rFonts w:eastAsia="Times New Roman" w:cstheme="minorHAnsi"/>
                <w:color w:val="000000"/>
                <w:sz w:val="16"/>
                <w:szCs w:val="16"/>
              </w:rPr>
            </w:pPr>
            <w:r w:rsidRPr="00B609B3">
              <w:rPr>
                <w:rFonts w:eastAsia="Times New Roman" w:cstheme="minorHAnsi"/>
                <w:color w:val="000000"/>
                <w:sz w:val="16"/>
                <w:szCs w:val="16"/>
              </w:rPr>
              <w:t>FiberCrop</w:t>
            </w:r>
          </w:p>
        </w:tc>
        <w:tc>
          <w:tcPr>
            <w:tcW w:w="0" w:type="auto"/>
            <w:vAlign w:val="center"/>
            <w:hideMark/>
          </w:tcPr>
          <w:p w14:paraId="3BF26002" w14:textId="77777777" w:rsidR="005E1296" w:rsidRPr="00B609B3" w:rsidRDefault="005E1296" w:rsidP="00015B5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rPr>
            </w:pPr>
            <w:proofErr w:type="spellStart"/>
            <w:r w:rsidRPr="00B609B3">
              <w:rPr>
                <w:rFonts w:eastAsia="Times New Roman" w:cstheme="minorHAnsi"/>
                <w:color w:val="000000"/>
                <w:sz w:val="16"/>
                <w:szCs w:val="16"/>
              </w:rPr>
              <w:t>Fibre</w:t>
            </w:r>
            <w:proofErr w:type="spellEnd"/>
            <w:r w:rsidRPr="00B609B3">
              <w:rPr>
                <w:rFonts w:eastAsia="Times New Roman" w:cstheme="minorHAnsi"/>
                <w:color w:val="000000"/>
                <w:sz w:val="16"/>
                <w:szCs w:val="16"/>
              </w:rPr>
              <w:t xml:space="preserve"> crops </w:t>
            </w:r>
            <w:proofErr w:type="spellStart"/>
            <w:r w:rsidRPr="00B609B3">
              <w:rPr>
                <w:rFonts w:eastAsia="Times New Roman" w:cstheme="minorHAnsi"/>
                <w:color w:val="000000"/>
                <w:sz w:val="16"/>
                <w:szCs w:val="16"/>
              </w:rPr>
              <w:t>nes</w:t>
            </w:r>
            <w:proofErr w:type="spellEnd"/>
            <w:r w:rsidRPr="00B609B3">
              <w:rPr>
                <w:rFonts w:eastAsia="Times New Roman" w:cstheme="minorHAnsi"/>
                <w:color w:val="000000"/>
                <w:sz w:val="16"/>
                <w:szCs w:val="16"/>
              </w:rPr>
              <w:t xml:space="preserve">; Flax </w:t>
            </w:r>
            <w:proofErr w:type="spellStart"/>
            <w:r w:rsidRPr="00B609B3">
              <w:rPr>
                <w:rFonts w:eastAsia="Times New Roman" w:cstheme="minorHAnsi"/>
                <w:color w:val="000000"/>
                <w:sz w:val="16"/>
                <w:szCs w:val="16"/>
              </w:rPr>
              <w:t>fibre</w:t>
            </w:r>
            <w:proofErr w:type="spellEnd"/>
            <w:r w:rsidRPr="00B609B3">
              <w:rPr>
                <w:rFonts w:eastAsia="Times New Roman" w:cstheme="minorHAnsi"/>
                <w:color w:val="000000"/>
                <w:sz w:val="16"/>
                <w:szCs w:val="16"/>
              </w:rPr>
              <w:t xml:space="preserve"> and tow; Hemp tow waste; Jute; Manila </w:t>
            </w:r>
            <w:proofErr w:type="spellStart"/>
            <w:r w:rsidRPr="00B609B3">
              <w:rPr>
                <w:rFonts w:eastAsia="Times New Roman" w:cstheme="minorHAnsi"/>
                <w:color w:val="000000"/>
                <w:sz w:val="16"/>
                <w:szCs w:val="16"/>
              </w:rPr>
              <w:t>fibre</w:t>
            </w:r>
            <w:proofErr w:type="spellEnd"/>
            <w:r w:rsidRPr="00B609B3">
              <w:rPr>
                <w:rFonts w:eastAsia="Times New Roman" w:cstheme="minorHAnsi"/>
                <w:color w:val="000000"/>
                <w:sz w:val="16"/>
                <w:szCs w:val="16"/>
              </w:rPr>
              <w:t xml:space="preserve"> (abaca); Ramie; Seed cotton; Sisal</w:t>
            </w:r>
          </w:p>
        </w:tc>
      </w:tr>
      <w:tr w:rsidR="005E1296" w:rsidRPr="00B609B3" w14:paraId="49215EB8" w14:textId="77777777" w:rsidTr="00015B5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02A41268" w14:textId="77777777" w:rsidR="005E1296" w:rsidRPr="00B609B3" w:rsidRDefault="005E1296" w:rsidP="00015B50">
            <w:pPr>
              <w:rPr>
                <w:rFonts w:eastAsia="Times New Roman" w:cstheme="minorHAnsi"/>
                <w:color w:val="000000"/>
                <w:sz w:val="16"/>
                <w:szCs w:val="16"/>
              </w:rPr>
            </w:pPr>
            <w:proofErr w:type="spellStart"/>
            <w:r w:rsidRPr="00B609B3">
              <w:rPr>
                <w:rFonts w:eastAsia="Times New Roman" w:cstheme="minorHAnsi"/>
                <w:color w:val="000000"/>
                <w:sz w:val="16"/>
                <w:szCs w:val="16"/>
              </w:rPr>
              <w:t>NutsSeeds</w:t>
            </w:r>
            <w:proofErr w:type="spellEnd"/>
          </w:p>
        </w:tc>
        <w:tc>
          <w:tcPr>
            <w:tcW w:w="0" w:type="auto"/>
            <w:noWrap/>
            <w:vAlign w:val="center"/>
            <w:hideMark/>
          </w:tcPr>
          <w:p w14:paraId="6B62D20E" w14:textId="77777777" w:rsidR="005E1296" w:rsidRPr="00B609B3" w:rsidRDefault="005E1296" w:rsidP="00015B50">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rPr>
            </w:pPr>
            <w:r w:rsidRPr="00B609B3">
              <w:rPr>
                <w:rFonts w:eastAsia="Times New Roman" w:cstheme="minorHAnsi"/>
                <w:color w:val="000000"/>
                <w:sz w:val="16"/>
                <w:szCs w:val="16"/>
              </w:rPr>
              <w:t>Groundnuts, with shell</w:t>
            </w:r>
          </w:p>
        </w:tc>
      </w:tr>
      <w:tr w:rsidR="005E1296" w:rsidRPr="00B609B3" w14:paraId="0AEC4601" w14:textId="77777777" w:rsidTr="00015B50">
        <w:trPr>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203B9E86" w14:textId="77777777" w:rsidR="005E1296" w:rsidRPr="00B609B3" w:rsidRDefault="005E1296" w:rsidP="00015B50">
            <w:pPr>
              <w:rPr>
                <w:rFonts w:eastAsia="Times New Roman" w:cstheme="minorHAnsi"/>
                <w:color w:val="000000"/>
                <w:sz w:val="16"/>
                <w:szCs w:val="16"/>
              </w:rPr>
            </w:pPr>
            <w:proofErr w:type="spellStart"/>
            <w:r w:rsidRPr="00B609B3">
              <w:rPr>
                <w:rFonts w:eastAsia="Times New Roman" w:cstheme="minorHAnsi"/>
                <w:color w:val="000000"/>
                <w:sz w:val="16"/>
                <w:szCs w:val="16"/>
              </w:rPr>
              <w:t>NutsSeeds</w:t>
            </w:r>
            <w:proofErr w:type="spellEnd"/>
            <w:r w:rsidRPr="00B609B3">
              <w:rPr>
                <w:rFonts w:eastAsia="Times New Roman" w:cstheme="minorHAnsi"/>
                <w:color w:val="000000"/>
                <w:sz w:val="16"/>
                <w:szCs w:val="16"/>
              </w:rPr>
              <w:t xml:space="preserve"> (Tree)</w:t>
            </w:r>
          </w:p>
        </w:tc>
        <w:tc>
          <w:tcPr>
            <w:tcW w:w="0" w:type="auto"/>
            <w:vAlign w:val="center"/>
            <w:hideMark/>
          </w:tcPr>
          <w:p w14:paraId="2A3D40D0" w14:textId="77777777" w:rsidR="005E1296" w:rsidRPr="00B609B3" w:rsidRDefault="005E1296" w:rsidP="00015B5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rPr>
            </w:pPr>
            <w:r w:rsidRPr="00B609B3">
              <w:rPr>
                <w:rFonts w:eastAsia="Times New Roman" w:cstheme="minorHAnsi"/>
                <w:color w:val="000000"/>
                <w:sz w:val="16"/>
                <w:szCs w:val="16"/>
              </w:rPr>
              <w:t xml:space="preserve">Almonds, with shell; Areca nuts; Brazil nuts, with shell; Cashew nuts, with shell; Chestnut; Hazelnuts, with shell; Kola nuts; Nuts </w:t>
            </w:r>
            <w:proofErr w:type="spellStart"/>
            <w:r w:rsidRPr="00B609B3">
              <w:rPr>
                <w:rFonts w:eastAsia="Times New Roman" w:cstheme="minorHAnsi"/>
                <w:color w:val="000000"/>
                <w:sz w:val="16"/>
                <w:szCs w:val="16"/>
              </w:rPr>
              <w:t>nes</w:t>
            </w:r>
            <w:proofErr w:type="spellEnd"/>
            <w:r w:rsidRPr="00B609B3">
              <w:rPr>
                <w:rFonts w:eastAsia="Times New Roman" w:cstheme="minorHAnsi"/>
                <w:color w:val="000000"/>
                <w:sz w:val="16"/>
                <w:szCs w:val="16"/>
              </w:rPr>
              <w:t>; Pistachios; Walnuts, with shell</w:t>
            </w:r>
          </w:p>
        </w:tc>
      </w:tr>
      <w:tr w:rsidR="005E1296" w:rsidRPr="00B609B3" w14:paraId="454A903C" w14:textId="77777777" w:rsidTr="00015B5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2546510F" w14:textId="77777777" w:rsidR="005E1296" w:rsidRPr="00B609B3" w:rsidRDefault="005E1296" w:rsidP="00015B50">
            <w:pPr>
              <w:rPr>
                <w:rFonts w:eastAsia="Times New Roman" w:cstheme="minorHAnsi"/>
                <w:color w:val="000000"/>
                <w:sz w:val="16"/>
                <w:szCs w:val="16"/>
              </w:rPr>
            </w:pPr>
            <w:r w:rsidRPr="00B609B3">
              <w:rPr>
                <w:rFonts w:eastAsia="Times New Roman" w:cstheme="minorHAnsi"/>
                <w:color w:val="000000"/>
                <w:sz w:val="16"/>
                <w:szCs w:val="16"/>
              </w:rPr>
              <w:t>Legumes</w:t>
            </w:r>
          </w:p>
        </w:tc>
        <w:tc>
          <w:tcPr>
            <w:tcW w:w="0" w:type="auto"/>
            <w:vAlign w:val="center"/>
            <w:hideMark/>
          </w:tcPr>
          <w:p w14:paraId="15A064E0" w14:textId="77777777" w:rsidR="005E1296" w:rsidRPr="00B609B3" w:rsidRDefault="005E1296" w:rsidP="00015B50">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rPr>
            </w:pPr>
            <w:r w:rsidRPr="00B609B3">
              <w:rPr>
                <w:rFonts w:eastAsia="Times New Roman" w:cstheme="minorHAnsi"/>
                <w:color w:val="000000"/>
                <w:sz w:val="16"/>
                <w:szCs w:val="16"/>
              </w:rPr>
              <w:t xml:space="preserve">Bambara beans; Beans, dry; Broad beans, horse beans, dry; </w:t>
            </w:r>
            <w:proofErr w:type="gramStart"/>
            <w:r w:rsidRPr="00B609B3">
              <w:rPr>
                <w:rFonts w:eastAsia="Times New Roman" w:cstheme="minorHAnsi"/>
                <w:color w:val="000000"/>
                <w:sz w:val="16"/>
                <w:szCs w:val="16"/>
              </w:rPr>
              <w:t>Chick peas</w:t>
            </w:r>
            <w:proofErr w:type="gramEnd"/>
            <w:r w:rsidRPr="00B609B3">
              <w:rPr>
                <w:rFonts w:eastAsia="Times New Roman" w:cstheme="minorHAnsi"/>
                <w:color w:val="000000"/>
                <w:sz w:val="16"/>
                <w:szCs w:val="16"/>
              </w:rPr>
              <w:t xml:space="preserve">; Cow peas, dry; Lentils; Lupins; Peas, dry; Pigeon peas; Pulses </w:t>
            </w:r>
            <w:proofErr w:type="spellStart"/>
            <w:r w:rsidRPr="00B609B3">
              <w:rPr>
                <w:rFonts w:eastAsia="Times New Roman" w:cstheme="minorHAnsi"/>
                <w:color w:val="000000"/>
                <w:sz w:val="16"/>
                <w:szCs w:val="16"/>
              </w:rPr>
              <w:t>nes</w:t>
            </w:r>
            <w:proofErr w:type="spellEnd"/>
            <w:r w:rsidRPr="00B609B3">
              <w:rPr>
                <w:rFonts w:eastAsia="Times New Roman" w:cstheme="minorHAnsi"/>
                <w:color w:val="000000"/>
                <w:sz w:val="16"/>
                <w:szCs w:val="16"/>
              </w:rPr>
              <w:t>; Vetches</w:t>
            </w:r>
          </w:p>
        </w:tc>
      </w:tr>
      <w:tr w:rsidR="005E1296" w:rsidRPr="00B609B3" w14:paraId="3072808B" w14:textId="77777777" w:rsidTr="00015B50">
        <w:trPr>
          <w:trHeight w:val="288"/>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88C23BD" w14:textId="77777777" w:rsidR="005E1296" w:rsidRPr="00B609B3" w:rsidRDefault="005E1296" w:rsidP="00015B50">
            <w:pPr>
              <w:rPr>
                <w:rFonts w:eastAsia="Times New Roman" w:cstheme="minorHAnsi"/>
                <w:color w:val="000000"/>
                <w:sz w:val="16"/>
                <w:szCs w:val="16"/>
              </w:rPr>
            </w:pPr>
            <w:r w:rsidRPr="00B609B3">
              <w:rPr>
                <w:rFonts w:eastAsia="Times New Roman" w:cstheme="minorHAnsi"/>
                <w:color w:val="000000"/>
                <w:sz w:val="16"/>
                <w:szCs w:val="16"/>
              </w:rPr>
              <w:t>SugarCrop</w:t>
            </w:r>
          </w:p>
        </w:tc>
        <w:tc>
          <w:tcPr>
            <w:tcW w:w="0" w:type="auto"/>
            <w:vAlign w:val="center"/>
            <w:hideMark/>
          </w:tcPr>
          <w:p w14:paraId="1343F09D" w14:textId="77777777" w:rsidR="005E1296" w:rsidRPr="00B609B3" w:rsidRDefault="005E1296" w:rsidP="00015B5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rPr>
            </w:pPr>
            <w:r w:rsidRPr="00B609B3">
              <w:rPr>
                <w:rFonts w:eastAsia="Times New Roman" w:cstheme="minorHAnsi"/>
                <w:color w:val="000000"/>
                <w:sz w:val="16"/>
                <w:szCs w:val="16"/>
              </w:rPr>
              <w:t xml:space="preserve">Sugar cane; Sugar beet; Sugar crops </w:t>
            </w:r>
            <w:proofErr w:type="spellStart"/>
            <w:r w:rsidRPr="00B609B3">
              <w:rPr>
                <w:rFonts w:eastAsia="Times New Roman" w:cstheme="minorHAnsi"/>
                <w:color w:val="000000"/>
                <w:sz w:val="16"/>
                <w:szCs w:val="16"/>
              </w:rPr>
              <w:t>nes</w:t>
            </w:r>
            <w:proofErr w:type="spellEnd"/>
          </w:p>
        </w:tc>
      </w:tr>
      <w:tr w:rsidR="005E1296" w:rsidRPr="00B609B3" w14:paraId="633CC3C5" w14:textId="77777777" w:rsidTr="00015B5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33BA0F3E" w14:textId="77777777" w:rsidR="005E1296" w:rsidRPr="00B609B3" w:rsidRDefault="005E1296" w:rsidP="00015B50">
            <w:pPr>
              <w:rPr>
                <w:rFonts w:eastAsia="Times New Roman" w:cstheme="minorHAnsi"/>
                <w:color w:val="000000"/>
                <w:sz w:val="16"/>
                <w:szCs w:val="16"/>
              </w:rPr>
            </w:pPr>
            <w:r w:rsidRPr="00B609B3">
              <w:rPr>
                <w:rFonts w:eastAsia="Times New Roman" w:cstheme="minorHAnsi"/>
                <w:color w:val="000000"/>
                <w:sz w:val="16"/>
                <w:szCs w:val="16"/>
              </w:rPr>
              <w:t>Vegetables</w:t>
            </w:r>
          </w:p>
        </w:tc>
        <w:tc>
          <w:tcPr>
            <w:tcW w:w="0" w:type="auto"/>
            <w:vAlign w:val="center"/>
            <w:hideMark/>
          </w:tcPr>
          <w:p w14:paraId="03E78097" w14:textId="77777777" w:rsidR="005E1296" w:rsidRPr="00B609B3" w:rsidRDefault="005E1296" w:rsidP="00015B50">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rPr>
            </w:pPr>
            <w:r w:rsidRPr="00B609B3">
              <w:rPr>
                <w:rFonts w:eastAsia="Times New Roman" w:cstheme="minorHAnsi"/>
                <w:color w:val="000000"/>
                <w:sz w:val="16"/>
                <w:szCs w:val="16"/>
              </w:rPr>
              <w:t xml:space="preserve">Artichokes; Asparagus; Beans, green; Cabbages and other brassicas; Carobs; Carrots and turnips; Cassava leaves; Cauliflowers and broccoli; Chicory roots; </w:t>
            </w:r>
            <w:proofErr w:type="spellStart"/>
            <w:r w:rsidRPr="00B609B3">
              <w:rPr>
                <w:rFonts w:eastAsia="Times New Roman" w:cstheme="minorHAnsi"/>
                <w:color w:val="000000"/>
                <w:sz w:val="16"/>
                <w:szCs w:val="16"/>
              </w:rPr>
              <w:t>Chillies</w:t>
            </w:r>
            <w:proofErr w:type="spellEnd"/>
            <w:r w:rsidRPr="00B609B3">
              <w:rPr>
                <w:rFonts w:eastAsia="Times New Roman" w:cstheme="minorHAnsi"/>
                <w:color w:val="000000"/>
                <w:sz w:val="16"/>
                <w:szCs w:val="16"/>
              </w:rPr>
              <w:t xml:space="preserve"> and peppers, dry; </w:t>
            </w:r>
            <w:proofErr w:type="spellStart"/>
            <w:r w:rsidRPr="00B609B3">
              <w:rPr>
                <w:rFonts w:eastAsia="Times New Roman" w:cstheme="minorHAnsi"/>
                <w:color w:val="000000"/>
                <w:sz w:val="16"/>
                <w:szCs w:val="16"/>
              </w:rPr>
              <w:t>Chillies</w:t>
            </w:r>
            <w:proofErr w:type="spellEnd"/>
            <w:r w:rsidRPr="00B609B3">
              <w:rPr>
                <w:rFonts w:eastAsia="Times New Roman" w:cstheme="minorHAnsi"/>
                <w:color w:val="000000"/>
                <w:sz w:val="16"/>
                <w:szCs w:val="16"/>
              </w:rPr>
              <w:t xml:space="preserve"> and peppers, green; Cucumbers and gherkins; Eggplants (</w:t>
            </w:r>
            <w:proofErr w:type="spellStart"/>
            <w:r w:rsidRPr="00B609B3">
              <w:rPr>
                <w:rFonts w:eastAsia="Times New Roman" w:cstheme="minorHAnsi"/>
                <w:color w:val="000000"/>
                <w:sz w:val="16"/>
                <w:szCs w:val="16"/>
              </w:rPr>
              <w:t>aubergines</w:t>
            </w:r>
            <w:proofErr w:type="spellEnd"/>
            <w:r w:rsidRPr="00B609B3">
              <w:rPr>
                <w:rFonts w:eastAsia="Times New Roman" w:cstheme="minorHAnsi"/>
                <w:color w:val="000000"/>
                <w:sz w:val="16"/>
                <w:szCs w:val="16"/>
              </w:rPr>
              <w:t>); Garlic; Leeks, other alliaceous vegetables; Lettuce and chicory; Maize, green; Melons, other (</w:t>
            </w:r>
            <w:proofErr w:type="spellStart"/>
            <w:r w:rsidRPr="00B609B3">
              <w:rPr>
                <w:rFonts w:eastAsia="Times New Roman" w:cstheme="minorHAnsi"/>
                <w:color w:val="000000"/>
                <w:sz w:val="16"/>
                <w:szCs w:val="16"/>
              </w:rPr>
              <w:t>inc.cantaloupes</w:t>
            </w:r>
            <w:proofErr w:type="spellEnd"/>
            <w:r w:rsidRPr="00B609B3">
              <w:rPr>
                <w:rFonts w:eastAsia="Times New Roman" w:cstheme="minorHAnsi"/>
                <w:color w:val="000000"/>
                <w:sz w:val="16"/>
                <w:szCs w:val="16"/>
              </w:rPr>
              <w:t xml:space="preserve">); Mushrooms and truffles; Okra; Onions, dry; Onions, shallots, green; Peas, green; Pumpkins, squash and gourds; Spinach; String beans; Tomatoes; Vegetables, fresh </w:t>
            </w:r>
            <w:proofErr w:type="spellStart"/>
            <w:r w:rsidRPr="00B609B3">
              <w:rPr>
                <w:rFonts w:eastAsia="Times New Roman" w:cstheme="minorHAnsi"/>
                <w:color w:val="000000"/>
                <w:sz w:val="16"/>
                <w:szCs w:val="16"/>
              </w:rPr>
              <w:t>nes</w:t>
            </w:r>
            <w:proofErr w:type="spellEnd"/>
            <w:r w:rsidRPr="00B609B3">
              <w:rPr>
                <w:rFonts w:eastAsia="Times New Roman" w:cstheme="minorHAnsi"/>
                <w:color w:val="000000"/>
                <w:sz w:val="16"/>
                <w:szCs w:val="16"/>
              </w:rPr>
              <w:t xml:space="preserve">; Vegetables, leguminous </w:t>
            </w:r>
            <w:proofErr w:type="spellStart"/>
            <w:r w:rsidRPr="00B609B3">
              <w:rPr>
                <w:rFonts w:eastAsia="Times New Roman" w:cstheme="minorHAnsi"/>
                <w:color w:val="000000"/>
                <w:sz w:val="16"/>
                <w:szCs w:val="16"/>
              </w:rPr>
              <w:t>nes</w:t>
            </w:r>
            <w:proofErr w:type="spellEnd"/>
            <w:r w:rsidRPr="00B609B3">
              <w:rPr>
                <w:rFonts w:eastAsia="Times New Roman" w:cstheme="minorHAnsi"/>
                <w:color w:val="000000"/>
                <w:sz w:val="16"/>
                <w:szCs w:val="16"/>
              </w:rPr>
              <w:t>; Watermelons</w:t>
            </w:r>
          </w:p>
        </w:tc>
      </w:tr>
      <w:tr w:rsidR="005E1296" w:rsidRPr="00B609B3" w14:paraId="716D8C72" w14:textId="77777777" w:rsidTr="00015B50">
        <w:trPr>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2D2F4F22" w14:textId="77777777" w:rsidR="005E1296" w:rsidRPr="00B609B3" w:rsidRDefault="005E1296" w:rsidP="00015B50">
            <w:pPr>
              <w:rPr>
                <w:rFonts w:eastAsia="Times New Roman" w:cstheme="minorHAnsi"/>
                <w:color w:val="000000"/>
                <w:sz w:val="16"/>
                <w:szCs w:val="16"/>
              </w:rPr>
            </w:pPr>
            <w:r w:rsidRPr="00B609B3">
              <w:rPr>
                <w:rFonts w:eastAsia="Times New Roman" w:cstheme="minorHAnsi"/>
                <w:color w:val="000000"/>
                <w:sz w:val="16"/>
                <w:szCs w:val="16"/>
              </w:rPr>
              <w:t>Fruits</w:t>
            </w:r>
          </w:p>
        </w:tc>
        <w:tc>
          <w:tcPr>
            <w:tcW w:w="0" w:type="auto"/>
            <w:vAlign w:val="center"/>
            <w:hideMark/>
          </w:tcPr>
          <w:p w14:paraId="0AFB9AC7" w14:textId="77777777" w:rsidR="005E1296" w:rsidRPr="00B609B3" w:rsidRDefault="005E1296" w:rsidP="00015B5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rPr>
            </w:pPr>
            <w:r w:rsidRPr="00B609B3">
              <w:rPr>
                <w:rFonts w:eastAsia="Times New Roman" w:cstheme="minorHAnsi"/>
                <w:color w:val="000000"/>
                <w:sz w:val="16"/>
                <w:szCs w:val="16"/>
              </w:rPr>
              <w:t xml:space="preserve">Berries </w:t>
            </w:r>
            <w:proofErr w:type="spellStart"/>
            <w:r w:rsidRPr="00B609B3">
              <w:rPr>
                <w:rFonts w:eastAsia="Times New Roman" w:cstheme="minorHAnsi"/>
                <w:color w:val="000000"/>
                <w:sz w:val="16"/>
                <w:szCs w:val="16"/>
              </w:rPr>
              <w:t>nes</w:t>
            </w:r>
            <w:proofErr w:type="spellEnd"/>
            <w:r w:rsidRPr="00B609B3">
              <w:rPr>
                <w:rFonts w:eastAsia="Times New Roman" w:cstheme="minorHAnsi"/>
                <w:color w:val="000000"/>
                <w:sz w:val="16"/>
                <w:szCs w:val="16"/>
              </w:rPr>
              <w:t>; Blueberries; Cranberries; Currants; Gooseberries; Grapes; Pineapples; Raspberries; Strawberries</w:t>
            </w:r>
          </w:p>
        </w:tc>
      </w:tr>
      <w:tr w:rsidR="005E1296" w:rsidRPr="00B609B3" w14:paraId="148DB228" w14:textId="77777777" w:rsidTr="00015B5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12B1EE8C" w14:textId="77777777" w:rsidR="005E1296" w:rsidRPr="00B609B3" w:rsidRDefault="005E1296" w:rsidP="00015B50">
            <w:pPr>
              <w:rPr>
                <w:rFonts w:eastAsia="Times New Roman" w:cstheme="minorHAnsi"/>
                <w:color w:val="000000"/>
                <w:sz w:val="16"/>
                <w:szCs w:val="16"/>
              </w:rPr>
            </w:pPr>
            <w:r w:rsidRPr="00B609B3">
              <w:rPr>
                <w:rFonts w:eastAsia="Times New Roman" w:cstheme="minorHAnsi"/>
                <w:color w:val="000000"/>
                <w:sz w:val="16"/>
                <w:szCs w:val="16"/>
              </w:rPr>
              <w:t>Fruits (Tree)</w:t>
            </w:r>
          </w:p>
        </w:tc>
        <w:tc>
          <w:tcPr>
            <w:tcW w:w="0" w:type="auto"/>
            <w:vAlign w:val="center"/>
            <w:hideMark/>
          </w:tcPr>
          <w:p w14:paraId="4F193186" w14:textId="77777777" w:rsidR="005E1296" w:rsidRPr="00B609B3" w:rsidRDefault="005E1296" w:rsidP="00015B50">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rPr>
            </w:pPr>
            <w:r w:rsidRPr="00B609B3">
              <w:rPr>
                <w:rFonts w:eastAsia="Times New Roman" w:cstheme="minorHAnsi"/>
                <w:color w:val="000000"/>
                <w:sz w:val="16"/>
                <w:szCs w:val="16"/>
              </w:rPr>
              <w:t xml:space="preserve">Apples; Apricots; Avocados; Bananas; </w:t>
            </w:r>
            <w:proofErr w:type="spellStart"/>
            <w:r w:rsidRPr="00B609B3">
              <w:rPr>
                <w:rFonts w:eastAsia="Times New Roman" w:cstheme="minorHAnsi"/>
                <w:color w:val="000000"/>
                <w:sz w:val="16"/>
                <w:szCs w:val="16"/>
              </w:rPr>
              <w:t>Cashewapple</w:t>
            </w:r>
            <w:proofErr w:type="spellEnd"/>
            <w:r w:rsidRPr="00B609B3">
              <w:rPr>
                <w:rFonts w:eastAsia="Times New Roman" w:cstheme="minorHAnsi"/>
                <w:color w:val="000000"/>
                <w:sz w:val="16"/>
                <w:szCs w:val="16"/>
              </w:rPr>
              <w:t xml:space="preserve">; Cherries; Cherries, sour; Dates; Figs; Fruit, citrus </w:t>
            </w:r>
            <w:proofErr w:type="spellStart"/>
            <w:r w:rsidRPr="00B609B3">
              <w:rPr>
                <w:rFonts w:eastAsia="Times New Roman" w:cstheme="minorHAnsi"/>
                <w:color w:val="000000"/>
                <w:sz w:val="16"/>
                <w:szCs w:val="16"/>
              </w:rPr>
              <w:t>nes</w:t>
            </w:r>
            <w:proofErr w:type="spellEnd"/>
            <w:r w:rsidRPr="00B609B3">
              <w:rPr>
                <w:rFonts w:eastAsia="Times New Roman" w:cstheme="minorHAnsi"/>
                <w:color w:val="000000"/>
                <w:sz w:val="16"/>
                <w:szCs w:val="16"/>
              </w:rPr>
              <w:t xml:space="preserve">; Fruit, fresh </w:t>
            </w:r>
            <w:proofErr w:type="spellStart"/>
            <w:r w:rsidRPr="00B609B3">
              <w:rPr>
                <w:rFonts w:eastAsia="Times New Roman" w:cstheme="minorHAnsi"/>
                <w:color w:val="000000"/>
                <w:sz w:val="16"/>
                <w:szCs w:val="16"/>
              </w:rPr>
              <w:t>nes</w:t>
            </w:r>
            <w:proofErr w:type="spellEnd"/>
            <w:r w:rsidRPr="00B609B3">
              <w:rPr>
                <w:rFonts w:eastAsia="Times New Roman" w:cstheme="minorHAnsi"/>
                <w:color w:val="000000"/>
                <w:sz w:val="16"/>
                <w:szCs w:val="16"/>
              </w:rPr>
              <w:t xml:space="preserve">; Fruit, pome </w:t>
            </w:r>
            <w:proofErr w:type="spellStart"/>
            <w:r w:rsidRPr="00B609B3">
              <w:rPr>
                <w:rFonts w:eastAsia="Times New Roman" w:cstheme="minorHAnsi"/>
                <w:color w:val="000000"/>
                <w:sz w:val="16"/>
                <w:szCs w:val="16"/>
              </w:rPr>
              <w:t>nes</w:t>
            </w:r>
            <w:proofErr w:type="spellEnd"/>
            <w:r w:rsidRPr="00B609B3">
              <w:rPr>
                <w:rFonts w:eastAsia="Times New Roman" w:cstheme="minorHAnsi"/>
                <w:color w:val="000000"/>
                <w:sz w:val="16"/>
                <w:szCs w:val="16"/>
              </w:rPr>
              <w:t xml:space="preserve">; Fruit, stone </w:t>
            </w:r>
            <w:proofErr w:type="spellStart"/>
            <w:r w:rsidRPr="00B609B3">
              <w:rPr>
                <w:rFonts w:eastAsia="Times New Roman" w:cstheme="minorHAnsi"/>
                <w:color w:val="000000"/>
                <w:sz w:val="16"/>
                <w:szCs w:val="16"/>
              </w:rPr>
              <w:t>nes</w:t>
            </w:r>
            <w:proofErr w:type="spellEnd"/>
            <w:r w:rsidRPr="00B609B3">
              <w:rPr>
                <w:rFonts w:eastAsia="Times New Roman" w:cstheme="minorHAnsi"/>
                <w:color w:val="000000"/>
                <w:sz w:val="16"/>
                <w:szCs w:val="16"/>
              </w:rPr>
              <w:t xml:space="preserve">; Fruit, tropical fresh </w:t>
            </w:r>
            <w:proofErr w:type="spellStart"/>
            <w:r w:rsidRPr="00B609B3">
              <w:rPr>
                <w:rFonts w:eastAsia="Times New Roman" w:cstheme="minorHAnsi"/>
                <w:color w:val="000000"/>
                <w:sz w:val="16"/>
                <w:szCs w:val="16"/>
              </w:rPr>
              <w:t>nes</w:t>
            </w:r>
            <w:proofErr w:type="spellEnd"/>
            <w:r w:rsidRPr="00B609B3">
              <w:rPr>
                <w:rFonts w:eastAsia="Times New Roman" w:cstheme="minorHAnsi"/>
                <w:color w:val="000000"/>
                <w:sz w:val="16"/>
                <w:szCs w:val="16"/>
              </w:rPr>
              <w:t>; Grapefruit (inc. pomelos); Kiwi fruit; Lemons and limes; Mangoes, mangosteens, guavas; Oranges; Papayas; Peaches and nectarines; Pears; Persimmons; Plantains and others; Plums and sloes; Quinces; Tangerines, mandarins, clementines, satsumas</w:t>
            </w:r>
          </w:p>
        </w:tc>
      </w:tr>
      <w:tr w:rsidR="005E1296" w:rsidRPr="00B609B3" w14:paraId="25CDA3DB" w14:textId="77777777" w:rsidTr="00015B50">
        <w:trPr>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1AF85F28" w14:textId="77777777" w:rsidR="005E1296" w:rsidRPr="00B609B3" w:rsidRDefault="005E1296" w:rsidP="00015B50">
            <w:pPr>
              <w:rPr>
                <w:rFonts w:eastAsia="Times New Roman" w:cstheme="minorHAnsi"/>
                <w:color w:val="000000"/>
                <w:sz w:val="16"/>
                <w:szCs w:val="16"/>
              </w:rPr>
            </w:pPr>
            <w:proofErr w:type="spellStart"/>
            <w:r w:rsidRPr="00B609B3">
              <w:rPr>
                <w:rFonts w:eastAsia="Times New Roman" w:cstheme="minorHAnsi"/>
                <w:color w:val="000000"/>
                <w:sz w:val="16"/>
                <w:szCs w:val="16"/>
              </w:rPr>
              <w:t>MiscCrop</w:t>
            </w:r>
            <w:proofErr w:type="spellEnd"/>
          </w:p>
        </w:tc>
        <w:tc>
          <w:tcPr>
            <w:tcW w:w="0" w:type="auto"/>
            <w:vAlign w:val="center"/>
            <w:hideMark/>
          </w:tcPr>
          <w:p w14:paraId="456744F7" w14:textId="77777777" w:rsidR="005E1296" w:rsidRPr="00B609B3" w:rsidRDefault="005E1296" w:rsidP="00015B5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rPr>
            </w:pPr>
            <w:r w:rsidRPr="00B609B3">
              <w:rPr>
                <w:rFonts w:eastAsia="Times New Roman" w:cstheme="minorHAnsi"/>
                <w:color w:val="000000"/>
                <w:sz w:val="16"/>
                <w:szCs w:val="16"/>
              </w:rPr>
              <w:t xml:space="preserve">Anise, badian, fennel, coriander; Ginger; Hops; Pepper (piper spp.); Peppermint; Pyrethrum, dried; Spices </w:t>
            </w:r>
            <w:proofErr w:type="spellStart"/>
            <w:r w:rsidRPr="00B609B3">
              <w:rPr>
                <w:rFonts w:eastAsia="Times New Roman" w:cstheme="minorHAnsi"/>
                <w:color w:val="000000"/>
                <w:sz w:val="16"/>
                <w:szCs w:val="16"/>
              </w:rPr>
              <w:t>nes</w:t>
            </w:r>
            <w:proofErr w:type="spellEnd"/>
            <w:r w:rsidRPr="00B609B3">
              <w:rPr>
                <w:rFonts w:eastAsia="Times New Roman" w:cstheme="minorHAnsi"/>
                <w:color w:val="000000"/>
                <w:sz w:val="16"/>
                <w:szCs w:val="16"/>
              </w:rPr>
              <w:t>; Tea; Tobacco, unmanufactured; Vanilla</w:t>
            </w:r>
          </w:p>
        </w:tc>
      </w:tr>
      <w:tr w:rsidR="005E1296" w:rsidRPr="00B609B3" w14:paraId="24FD94EE" w14:textId="77777777" w:rsidTr="00015B5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5D13C027" w14:textId="77777777" w:rsidR="005E1296" w:rsidRPr="00B609B3" w:rsidRDefault="005E1296" w:rsidP="00015B50">
            <w:pPr>
              <w:rPr>
                <w:rFonts w:eastAsia="Times New Roman" w:cstheme="minorHAnsi"/>
                <w:color w:val="000000"/>
                <w:sz w:val="16"/>
                <w:szCs w:val="16"/>
              </w:rPr>
            </w:pPr>
            <w:proofErr w:type="spellStart"/>
            <w:r w:rsidRPr="00B609B3">
              <w:rPr>
                <w:rFonts w:eastAsia="Times New Roman" w:cstheme="minorHAnsi"/>
                <w:color w:val="000000"/>
                <w:sz w:val="16"/>
                <w:szCs w:val="16"/>
              </w:rPr>
              <w:t>MiscCrop</w:t>
            </w:r>
            <w:proofErr w:type="spellEnd"/>
            <w:r w:rsidRPr="00B609B3">
              <w:rPr>
                <w:rFonts w:eastAsia="Times New Roman" w:cstheme="minorHAnsi"/>
                <w:color w:val="000000"/>
                <w:sz w:val="16"/>
                <w:szCs w:val="16"/>
              </w:rPr>
              <w:t xml:space="preserve"> (Tree)</w:t>
            </w:r>
          </w:p>
        </w:tc>
        <w:tc>
          <w:tcPr>
            <w:tcW w:w="0" w:type="auto"/>
            <w:vAlign w:val="center"/>
            <w:hideMark/>
          </w:tcPr>
          <w:p w14:paraId="59BF8FD4" w14:textId="77777777" w:rsidR="005E1296" w:rsidRPr="00B609B3" w:rsidRDefault="005E1296" w:rsidP="00015B50">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rPr>
            </w:pPr>
            <w:r w:rsidRPr="00B609B3">
              <w:rPr>
                <w:rFonts w:eastAsia="Times New Roman" w:cstheme="minorHAnsi"/>
                <w:color w:val="000000"/>
                <w:sz w:val="16"/>
                <w:szCs w:val="16"/>
              </w:rPr>
              <w:t>Cinnamon (</w:t>
            </w:r>
            <w:proofErr w:type="spellStart"/>
            <w:r w:rsidRPr="00B609B3">
              <w:rPr>
                <w:rFonts w:eastAsia="Times New Roman" w:cstheme="minorHAnsi"/>
                <w:color w:val="000000"/>
                <w:sz w:val="16"/>
                <w:szCs w:val="16"/>
              </w:rPr>
              <w:t>cannella</w:t>
            </w:r>
            <w:proofErr w:type="spellEnd"/>
            <w:r w:rsidRPr="00B609B3">
              <w:rPr>
                <w:rFonts w:eastAsia="Times New Roman" w:cstheme="minorHAnsi"/>
                <w:color w:val="000000"/>
                <w:sz w:val="16"/>
                <w:szCs w:val="16"/>
              </w:rPr>
              <w:t xml:space="preserve">); Cloves; Cocoa, beans; Coffee, green; Mate; Nutmeg, </w:t>
            </w:r>
            <w:proofErr w:type="gramStart"/>
            <w:r w:rsidRPr="00B609B3">
              <w:rPr>
                <w:rFonts w:eastAsia="Times New Roman" w:cstheme="minorHAnsi"/>
                <w:color w:val="000000"/>
                <w:sz w:val="16"/>
                <w:szCs w:val="16"/>
              </w:rPr>
              <w:t>mace</w:t>
            </w:r>
            <w:proofErr w:type="gramEnd"/>
            <w:r w:rsidRPr="00B609B3">
              <w:rPr>
                <w:rFonts w:eastAsia="Times New Roman" w:cstheme="minorHAnsi"/>
                <w:color w:val="000000"/>
                <w:sz w:val="16"/>
                <w:szCs w:val="16"/>
              </w:rPr>
              <w:t xml:space="preserve"> and cardamoms; Rubber, natural; </w:t>
            </w:r>
          </w:p>
        </w:tc>
      </w:tr>
      <w:tr w:rsidR="005E1296" w:rsidRPr="00B609B3" w14:paraId="2BCE0531" w14:textId="77777777" w:rsidTr="00015B50">
        <w:trPr>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2F472AEE" w14:textId="77777777" w:rsidR="005E1296" w:rsidRPr="00B609B3" w:rsidRDefault="005E1296" w:rsidP="00015B50">
            <w:pPr>
              <w:rPr>
                <w:rFonts w:eastAsia="Times New Roman" w:cstheme="minorHAnsi"/>
                <w:color w:val="000000"/>
                <w:sz w:val="16"/>
                <w:szCs w:val="16"/>
              </w:rPr>
            </w:pPr>
            <w:r w:rsidRPr="00B609B3">
              <w:rPr>
                <w:rFonts w:eastAsia="Times New Roman" w:cstheme="minorHAnsi"/>
                <w:color w:val="000000"/>
                <w:sz w:val="16"/>
                <w:szCs w:val="16"/>
              </w:rPr>
              <w:t>FodderGrass</w:t>
            </w:r>
          </w:p>
        </w:tc>
        <w:tc>
          <w:tcPr>
            <w:tcW w:w="0" w:type="auto"/>
            <w:vAlign w:val="center"/>
            <w:hideMark/>
          </w:tcPr>
          <w:p w14:paraId="5846B657" w14:textId="77777777" w:rsidR="005E1296" w:rsidRPr="00B609B3" w:rsidRDefault="005E1296" w:rsidP="00015B5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rPr>
            </w:pPr>
            <w:r w:rsidRPr="00B609B3">
              <w:rPr>
                <w:rFonts w:eastAsia="Times New Roman" w:cstheme="minorHAnsi"/>
                <w:color w:val="000000"/>
                <w:sz w:val="16"/>
                <w:szCs w:val="16"/>
              </w:rPr>
              <w:t>forage Products; Grasses Nes for forage; Grasses Nes for forage; Rye grass for forage &amp; silage</w:t>
            </w:r>
          </w:p>
        </w:tc>
      </w:tr>
      <w:tr w:rsidR="005E1296" w:rsidRPr="00B609B3" w14:paraId="5031FCF7" w14:textId="77777777" w:rsidTr="00015B5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19A9FD9F" w14:textId="77777777" w:rsidR="005E1296" w:rsidRPr="00B609B3" w:rsidRDefault="005E1296" w:rsidP="00015B50">
            <w:pPr>
              <w:rPr>
                <w:rFonts w:eastAsia="Times New Roman" w:cstheme="minorHAnsi"/>
                <w:color w:val="000000"/>
                <w:sz w:val="16"/>
                <w:szCs w:val="16"/>
              </w:rPr>
            </w:pPr>
            <w:proofErr w:type="spellStart"/>
            <w:r w:rsidRPr="00B609B3">
              <w:rPr>
                <w:rFonts w:eastAsia="Times New Roman" w:cstheme="minorHAnsi"/>
                <w:color w:val="000000"/>
                <w:sz w:val="16"/>
                <w:szCs w:val="16"/>
              </w:rPr>
              <w:t>FodderHerb</w:t>
            </w:r>
            <w:proofErr w:type="spellEnd"/>
          </w:p>
        </w:tc>
        <w:tc>
          <w:tcPr>
            <w:tcW w:w="0" w:type="auto"/>
            <w:vAlign w:val="center"/>
            <w:hideMark/>
          </w:tcPr>
          <w:p w14:paraId="297387EB" w14:textId="77777777" w:rsidR="005E1296" w:rsidRPr="00B609B3" w:rsidRDefault="005E1296" w:rsidP="00015B50">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rPr>
            </w:pPr>
            <w:r w:rsidRPr="00B609B3">
              <w:rPr>
                <w:rFonts w:eastAsia="Times New Roman" w:cstheme="minorHAnsi"/>
                <w:color w:val="000000"/>
                <w:sz w:val="16"/>
                <w:szCs w:val="16"/>
              </w:rPr>
              <w:t>Alfalfa for forage and silage; Beets for Fodder; Cabbage for Fodder; Carrots for Fodder; Clover for forage and silage; Green Oilseeds for Silage; Leguminous for Silage; Swedes for Fodder; Turnips for Fodder; Vegetables Roots Fodder; Maize for forage and silage; Sorghum for forage and silage</w:t>
            </w:r>
          </w:p>
        </w:tc>
      </w:tr>
      <w:tr w:rsidR="005E1296" w:rsidRPr="00B609B3" w14:paraId="76655419" w14:textId="77777777" w:rsidTr="00015B50">
        <w:trPr>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28C26B38" w14:textId="77777777" w:rsidR="005E1296" w:rsidRPr="00B609B3" w:rsidRDefault="005E1296" w:rsidP="00015B50">
            <w:pPr>
              <w:rPr>
                <w:rFonts w:eastAsia="Times New Roman" w:cstheme="minorHAnsi"/>
                <w:color w:val="000000"/>
                <w:sz w:val="16"/>
                <w:szCs w:val="16"/>
              </w:rPr>
            </w:pPr>
            <w:r w:rsidRPr="00B609B3">
              <w:rPr>
                <w:rFonts w:eastAsia="Times New Roman" w:cstheme="minorHAnsi"/>
                <w:color w:val="000000"/>
                <w:sz w:val="16"/>
                <w:szCs w:val="16"/>
              </w:rPr>
              <w:t>Beef</w:t>
            </w:r>
          </w:p>
        </w:tc>
        <w:tc>
          <w:tcPr>
            <w:tcW w:w="0" w:type="auto"/>
            <w:noWrap/>
            <w:vAlign w:val="center"/>
            <w:hideMark/>
          </w:tcPr>
          <w:p w14:paraId="459814DE" w14:textId="77777777" w:rsidR="005E1296" w:rsidRPr="00B609B3" w:rsidRDefault="005E1296" w:rsidP="00015B5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rPr>
            </w:pPr>
            <w:r w:rsidRPr="00B609B3">
              <w:rPr>
                <w:rFonts w:eastAsia="Times New Roman" w:cstheme="minorHAnsi"/>
                <w:color w:val="000000"/>
                <w:sz w:val="16"/>
                <w:szCs w:val="16"/>
              </w:rPr>
              <w:t>Meat, cattle; Meat, buffalo</w:t>
            </w:r>
          </w:p>
        </w:tc>
      </w:tr>
      <w:tr w:rsidR="005E1296" w:rsidRPr="00B609B3" w14:paraId="6AEA68D9" w14:textId="77777777" w:rsidTr="00015B5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28583FEA" w14:textId="77777777" w:rsidR="005E1296" w:rsidRPr="00B609B3" w:rsidRDefault="005E1296" w:rsidP="00015B50">
            <w:pPr>
              <w:rPr>
                <w:rFonts w:eastAsia="Times New Roman" w:cstheme="minorHAnsi"/>
                <w:color w:val="000000"/>
                <w:sz w:val="16"/>
                <w:szCs w:val="16"/>
              </w:rPr>
            </w:pPr>
            <w:r w:rsidRPr="00B609B3">
              <w:rPr>
                <w:rFonts w:eastAsia="Times New Roman" w:cstheme="minorHAnsi"/>
                <w:color w:val="000000"/>
                <w:sz w:val="16"/>
                <w:szCs w:val="16"/>
              </w:rPr>
              <w:t>Dairy</w:t>
            </w:r>
          </w:p>
        </w:tc>
        <w:tc>
          <w:tcPr>
            <w:tcW w:w="0" w:type="auto"/>
            <w:vAlign w:val="center"/>
            <w:hideMark/>
          </w:tcPr>
          <w:p w14:paraId="5C98BF29" w14:textId="77777777" w:rsidR="005E1296" w:rsidRPr="00B609B3" w:rsidRDefault="005E1296" w:rsidP="00015B50">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rPr>
            </w:pPr>
            <w:r w:rsidRPr="00B609B3">
              <w:rPr>
                <w:rFonts w:eastAsia="Times New Roman" w:cstheme="minorHAnsi"/>
                <w:color w:val="000000"/>
                <w:sz w:val="16"/>
                <w:szCs w:val="16"/>
              </w:rPr>
              <w:t>Milk, whole fresh cow; Milk, whole fresh camel; Milk, whole fresh buffalo; Milk, whole fresh goat; Milk, whole fresh sheep</w:t>
            </w:r>
          </w:p>
        </w:tc>
      </w:tr>
      <w:tr w:rsidR="005E1296" w:rsidRPr="00B609B3" w14:paraId="2064A768" w14:textId="77777777" w:rsidTr="00015B50">
        <w:trPr>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3DC54EAF" w14:textId="77777777" w:rsidR="005E1296" w:rsidRPr="00B609B3" w:rsidRDefault="005E1296" w:rsidP="00015B50">
            <w:pPr>
              <w:rPr>
                <w:rFonts w:eastAsia="Times New Roman" w:cstheme="minorHAnsi"/>
                <w:color w:val="000000"/>
                <w:sz w:val="16"/>
                <w:szCs w:val="16"/>
              </w:rPr>
            </w:pPr>
            <w:r w:rsidRPr="00B609B3">
              <w:rPr>
                <w:rFonts w:eastAsia="Times New Roman" w:cstheme="minorHAnsi"/>
                <w:color w:val="000000"/>
                <w:sz w:val="16"/>
                <w:szCs w:val="16"/>
              </w:rPr>
              <w:t>Pork</w:t>
            </w:r>
          </w:p>
        </w:tc>
        <w:tc>
          <w:tcPr>
            <w:tcW w:w="0" w:type="auto"/>
            <w:noWrap/>
            <w:vAlign w:val="center"/>
            <w:hideMark/>
          </w:tcPr>
          <w:p w14:paraId="5568612C" w14:textId="77777777" w:rsidR="005E1296" w:rsidRPr="00B609B3" w:rsidRDefault="005E1296" w:rsidP="00015B5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rPr>
            </w:pPr>
            <w:r w:rsidRPr="00B609B3">
              <w:rPr>
                <w:rFonts w:eastAsia="Times New Roman" w:cstheme="minorHAnsi"/>
                <w:color w:val="000000"/>
                <w:sz w:val="16"/>
                <w:szCs w:val="16"/>
              </w:rPr>
              <w:t>Meat, pig</w:t>
            </w:r>
          </w:p>
        </w:tc>
      </w:tr>
      <w:tr w:rsidR="005E1296" w:rsidRPr="00B609B3" w14:paraId="561F79A5" w14:textId="77777777" w:rsidTr="00015B5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50771320" w14:textId="77777777" w:rsidR="005E1296" w:rsidRPr="00B609B3" w:rsidRDefault="005E1296" w:rsidP="00015B50">
            <w:pPr>
              <w:rPr>
                <w:rFonts w:eastAsia="Times New Roman" w:cstheme="minorHAnsi"/>
                <w:color w:val="000000"/>
                <w:sz w:val="16"/>
                <w:szCs w:val="16"/>
              </w:rPr>
            </w:pPr>
            <w:r w:rsidRPr="00B609B3">
              <w:rPr>
                <w:rFonts w:eastAsia="Times New Roman" w:cstheme="minorHAnsi"/>
                <w:color w:val="000000"/>
                <w:sz w:val="16"/>
                <w:szCs w:val="16"/>
              </w:rPr>
              <w:t>Poultry</w:t>
            </w:r>
          </w:p>
        </w:tc>
        <w:tc>
          <w:tcPr>
            <w:tcW w:w="0" w:type="auto"/>
            <w:noWrap/>
            <w:vAlign w:val="center"/>
            <w:hideMark/>
          </w:tcPr>
          <w:p w14:paraId="0325A45F" w14:textId="77777777" w:rsidR="005E1296" w:rsidRPr="00B609B3" w:rsidRDefault="005E1296" w:rsidP="00015B50">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rPr>
            </w:pPr>
            <w:r w:rsidRPr="00B609B3">
              <w:rPr>
                <w:rFonts w:eastAsia="Times New Roman" w:cstheme="minorHAnsi"/>
                <w:color w:val="000000"/>
                <w:sz w:val="16"/>
                <w:szCs w:val="16"/>
              </w:rPr>
              <w:t xml:space="preserve">Meat, duck; Meat, </w:t>
            </w:r>
            <w:proofErr w:type="gramStart"/>
            <w:r w:rsidRPr="00B609B3">
              <w:rPr>
                <w:rFonts w:eastAsia="Times New Roman" w:cstheme="minorHAnsi"/>
                <w:color w:val="000000"/>
                <w:sz w:val="16"/>
                <w:szCs w:val="16"/>
              </w:rPr>
              <w:t>goose</w:t>
            </w:r>
            <w:proofErr w:type="gramEnd"/>
            <w:r w:rsidRPr="00B609B3">
              <w:rPr>
                <w:rFonts w:eastAsia="Times New Roman" w:cstheme="minorHAnsi"/>
                <w:color w:val="000000"/>
                <w:sz w:val="16"/>
                <w:szCs w:val="16"/>
              </w:rPr>
              <w:t xml:space="preserve"> and guinea fowl; Meat, turkey; Meat, chicken; Meat, chicken; Eggs, other bird, in shell; Eggs, hen, in shell; </w:t>
            </w:r>
          </w:p>
        </w:tc>
      </w:tr>
      <w:tr w:rsidR="005E1296" w:rsidRPr="00B609B3" w14:paraId="05BEB3DC" w14:textId="77777777" w:rsidTr="00015B50">
        <w:trPr>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108AA46F" w14:textId="77777777" w:rsidR="005E1296" w:rsidRPr="00B609B3" w:rsidRDefault="005E1296" w:rsidP="00015B50">
            <w:pPr>
              <w:rPr>
                <w:rFonts w:eastAsia="Times New Roman" w:cstheme="minorHAnsi"/>
                <w:color w:val="000000"/>
                <w:sz w:val="16"/>
                <w:szCs w:val="16"/>
              </w:rPr>
            </w:pPr>
            <w:r w:rsidRPr="00B609B3">
              <w:rPr>
                <w:rFonts w:eastAsia="Times New Roman" w:cstheme="minorHAnsi"/>
                <w:color w:val="000000"/>
                <w:sz w:val="16"/>
                <w:szCs w:val="16"/>
              </w:rPr>
              <w:t>SheepGoat</w:t>
            </w:r>
          </w:p>
        </w:tc>
        <w:tc>
          <w:tcPr>
            <w:tcW w:w="0" w:type="auto"/>
            <w:noWrap/>
            <w:vAlign w:val="center"/>
            <w:hideMark/>
          </w:tcPr>
          <w:p w14:paraId="31D2F99C" w14:textId="77777777" w:rsidR="005E1296" w:rsidRPr="00B609B3" w:rsidRDefault="005E1296" w:rsidP="00015B5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rPr>
            </w:pPr>
            <w:r w:rsidRPr="00B609B3">
              <w:rPr>
                <w:rFonts w:eastAsia="Times New Roman" w:cstheme="minorHAnsi"/>
                <w:color w:val="000000"/>
                <w:sz w:val="16"/>
                <w:szCs w:val="16"/>
              </w:rPr>
              <w:t>Meat, sheep; Meat, goat</w:t>
            </w:r>
          </w:p>
        </w:tc>
      </w:tr>
      <w:tr w:rsidR="005E1296" w:rsidRPr="00B609B3" w14:paraId="03F026B1" w14:textId="77777777" w:rsidTr="00015B5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Borders>
              <w:bottom w:val="single" w:sz="4" w:space="0" w:color="auto"/>
            </w:tcBorders>
            <w:noWrap/>
            <w:vAlign w:val="center"/>
            <w:hideMark/>
          </w:tcPr>
          <w:p w14:paraId="0006BEC4" w14:textId="77777777" w:rsidR="005E1296" w:rsidRPr="00B609B3" w:rsidRDefault="005E1296" w:rsidP="00015B50">
            <w:pPr>
              <w:rPr>
                <w:rFonts w:eastAsia="Times New Roman" w:cstheme="minorHAnsi"/>
                <w:color w:val="000000"/>
                <w:sz w:val="16"/>
                <w:szCs w:val="16"/>
              </w:rPr>
            </w:pPr>
            <w:proofErr w:type="spellStart"/>
            <w:r w:rsidRPr="00B609B3">
              <w:rPr>
                <w:rFonts w:eastAsia="Times New Roman" w:cstheme="minorHAnsi"/>
                <w:color w:val="000000"/>
                <w:sz w:val="16"/>
                <w:szCs w:val="16"/>
              </w:rPr>
              <w:t>OtherMeat</w:t>
            </w:r>
            <w:proofErr w:type="spellEnd"/>
          </w:p>
          <w:p w14:paraId="1DD10F64" w14:textId="77777777" w:rsidR="005E1296" w:rsidRPr="00B609B3" w:rsidRDefault="005E1296" w:rsidP="00015B50">
            <w:pPr>
              <w:rPr>
                <w:rFonts w:eastAsia="Times New Roman" w:cstheme="minorHAnsi"/>
                <w:color w:val="000000"/>
                <w:sz w:val="16"/>
                <w:szCs w:val="16"/>
              </w:rPr>
            </w:pPr>
            <w:r w:rsidRPr="00B609B3">
              <w:rPr>
                <w:rFonts w:eastAsia="Times New Roman" w:cstheme="minorHAnsi"/>
                <w:color w:val="000000"/>
                <w:sz w:val="16"/>
                <w:szCs w:val="16"/>
              </w:rPr>
              <w:t>&amp;Fish</w:t>
            </w:r>
          </w:p>
        </w:tc>
        <w:tc>
          <w:tcPr>
            <w:tcW w:w="0" w:type="auto"/>
            <w:tcBorders>
              <w:bottom w:val="single" w:sz="4" w:space="0" w:color="auto"/>
            </w:tcBorders>
            <w:vAlign w:val="center"/>
            <w:hideMark/>
          </w:tcPr>
          <w:p w14:paraId="78482CEB" w14:textId="77777777" w:rsidR="005E1296" w:rsidRPr="00B609B3" w:rsidRDefault="005E1296" w:rsidP="00015B50">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rPr>
            </w:pPr>
            <w:r w:rsidRPr="00B609B3">
              <w:rPr>
                <w:rFonts w:eastAsia="Times New Roman" w:cstheme="minorHAnsi"/>
                <w:color w:val="000000"/>
                <w:sz w:val="16"/>
                <w:szCs w:val="16"/>
              </w:rPr>
              <w:t xml:space="preserve">Freshwater Fish; Fish, Body Oil; Fish, Liver Oil; Demersal Fish; Pelagic Fish; Marine Fish, Other; Crustaceans; Cephalopods; </w:t>
            </w:r>
            <w:proofErr w:type="spellStart"/>
            <w:r w:rsidRPr="00B609B3">
              <w:rPr>
                <w:rFonts w:eastAsia="Times New Roman" w:cstheme="minorHAnsi"/>
                <w:color w:val="000000"/>
                <w:sz w:val="16"/>
                <w:szCs w:val="16"/>
              </w:rPr>
              <w:t>Molluscs</w:t>
            </w:r>
            <w:proofErr w:type="spellEnd"/>
            <w:r w:rsidRPr="00B609B3">
              <w:rPr>
                <w:rFonts w:eastAsia="Times New Roman" w:cstheme="minorHAnsi"/>
                <w:color w:val="000000"/>
                <w:sz w:val="16"/>
                <w:szCs w:val="16"/>
              </w:rPr>
              <w:t xml:space="preserve">, Other; Aquatic Animals, Others; Aquatic Plants; Meat, Aquatic Mammals; Meat, rabbit; Meat, camel; Meat, other camelids; Meat, horse; Meat, ass; Meat, mule; Meat, other rodents; Meat, bird </w:t>
            </w:r>
            <w:proofErr w:type="spellStart"/>
            <w:r w:rsidRPr="00B609B3">
              <w:rPr>
                <w:rFonts w:eastAsia="Times New Roman" w:cstheme="minorHAnsi"/>
                <w:color w:val="000000"/>
                <w:sz w:val="16"/>
                <w:szCs w:val="16"/>
              </w:rPr>
              <w:t>nes</w:t>
            </w:r>
            <w:proofErr w:type="spellEnd"/>
            <w:r w:rsidRPr="00B609B3">
              <w:rPr>
                <w:rFonts w:eastAsia="Times New Roman" w:cstheme="minorHAnsi"/>
                <w:color w:val="000000"/>
                <w:sz w:val="16"/>
                <w:szCs w:val="16"/>
              </w:rPr>
              <w:t xml:space="preserve">; Meat, game; Meat </w:t>
            </w:r>
            <w:proofErr w:type="spellStart"/>
            <w:r w:rsidRPr="00B609B3">
              <w:rPr>
                <w:rFonts w:eastAsia="Times New Roman" w:cstheme="minorHAnsi"/>
                <w:color w:val="000000"/>
                <w:sz w:val="16"/>
                <w:szCs w:val="16"/>
              </w:rPr>
              <w:t>nes</w:t>
            </w:r>
            <w:proofErr w:type="spellEnd"/>
            <w:r w:rsidRPr="00B609B3">
              <w:rPr>
                <w:rFonts w:eastAsia="Times New Roman" w:cstheme="minorHAnsi"/>
                <w:color w:val="000000"/>
                <w:sz w:val="16"/>
                <w:szCs w:val="16"/>
              </w:rPr>
              <w:t xml:space="preserve">; </w:t>
            </w:r>
            <w:proofErr w:type="spellStart"/>
            <w:r w:rsidRPr="00B609B3">
              <w:rPr>
                <w:rFonts w:eastAsia="Times New Roman" w:cstheme="minorHAnsi"/>
                <w:color w:val="000000"/>
                <w:sz w:val="16"/>
                <w:szCs w:val="16"/>
              </w:rPr>
              <w:t>Offals</w:t>
            </w:r>
            <w:proofErr w:type="spellEnd"/>
            <w:r w:rsidRPr="00B609B3">
              <w:rPr>
                <w:rFonts w:eastAsia="Times New Roman" w:cstheme="minorHAnsi"/>
                <w:color w:val="000000"/>
                <w:sz w:val="16"/>
                <w:szCs w:val="16"/>
              </w:rPr>
              <w:t xml:space="preserve">, edible, cattle; </w:t>
            </w:r>
            <w:proofErr w:type="spellStart"/>
            <w:r w:rsidRPr="00B609B3">
              <w:rPr>
                <w:rFonts w:eastAsia="Times New Roman" w:cstheme="minorHAnsi"/>
                <w:color w:val="000000"/>
                <w:sz w:val="16"/>
                <w:szCs w:val="16"/>
              </w:rPr>
              <w:t>Offals</w:t>
            </w:r>
            <w:proofErr w:type="spellEnd"/>
            <w:r w:rsidRPr="00B609B3">
              <w:rPr>
                <w:rFonts w:eastAsia="Times New Roman" w:cstheme="minorHAnsi"/>
                <w:color w:val="000000"/>
                <w:sz w:val="16"/>
                <w:szCs w:val="16"/>
              </w:rPr>
              <w:t xml:space="preserve">, edible, buffaloes; </w:t>
            </w:r>
            <w:proofErr w:type="spellStart"/>
            <w:r w:rsidRPr="00B609B3">
              <w:rPr>
                <w:rFonts w:eastAsia="Times New Roman" w:cstheme="minorHAnsi"/>
                <w:color w:val="000000"/>
                <w:sz w:val="16"/>
                <w:szCs w:val="16"/>
              </w:rPr>
              <w:t>Offals</w:t>
            </w:r>
            <w:proofErr w:type="spellEnd"/>
            <w:r w:rsidRPr="00B609B3">
              <w:rPr>
                <w:rFonts w:eastAsia="Times New Roman" w:cstheme="minorHAnsi"/>
                <w:color w:val="000000"/>
                <w:sz w:val="16"/>
                <w:szCs w:val="16"/>
              </w:rPr>
              <w:t xml:space="preserve">, pigs, edible; </w:t>
            </w:r>
            <w:proofErr w:type="spellStart"/>
            <w:r w:rsidRPr="00B609B3">
              <w:rPr>
                <w:rFonts w:eastAsia="Times New Roman" w:cstheme="minorHAnsi"/>
                <w:color w:val="000000"/>
                <w:sz w:val="16"/>
                <w:szCs w:val="16"/>
              </w:rPr>
              <w:t>Offals</w:t>
            </w:r>
            <w:proofErr w:type="spellEnd"/>
            <w:r w:rsidRPr="00B609B3">
              <w:rPr>
                <w:rFonts w:eastAsia="Times New Roman" w:cstheme="minorHAnsi"/>
                <w:color w:val="000000"/>
                <w:sz w:val="16"/>
                <w:szCs w:val="16"/>
              </w:rPr>
              <w:t xml:space="preserve">, </w:t>
            </w:r>
            <w:proofErr w:type="spellStart"/>
            <w:r w:rsidRPr="00B609B3">
              <w:rPr>
                <w:rFonts w:eastAsia="Times New Roman" w:cstheme="minorHAnsi"/>
                <w:color w:val="000000"/>
                <w:sz w:val="16"/>
                <w:szCs w:val="16"/>
              </w:rPr>
              <w:t>sheep,edible</w:t>
            </w:r>
            <w:proofErr w:type="spellEnd"/>
            <w:r w:rsidRPr="00B609B3">
              <w:rPr>
                <w:rFonts w:eastAsia="Times New Roman" w:cstheme="minorHAnsi"/>
                <w:color w:val="000000"/>
                <w:sz w:val="16"/>
                <w:szCs w:val="16"/>
              </w:rPr>
              <w:t xml:space="preserve">; </w:t>
            </w:r>
            <w:proofErr w:type="spellStart"/>
            <w:r w:rsidRPr="00B609B3">
              <w:rPr>
                <w:rFonts w:eastAsia="Times New Roman" w:cstheme="minorHAnsi"/>
                <w:color w:val="000000"/>
                <w:sz w:val="16"/>
                <w:szCs w:val="16"/>
              </w:rPr>
              <w:t>Offals</w:t>
            </w:r>
            <w:proofErr w:type="spellEnd"/>
            <w:r w:rsidRPr="00B609B3">
              <w:rPr>
                <w:rFonts w:eastAsia="Times New Roman" w:cstheme="minorHAnsi"/>
                <w:color w:val="000000"/>
                <w:sz w:val="16"/>
                <w:szCs w:val="16"/>
              </w:rPr>
              <w:t xml:space="preserve">, edible, goats; </w:t>
            </w:r>
            <w:proofErr w:type="spellStart"/>
            <w:r w:rsidRPr="00B609B3">
              <w:rPr>
                <w:rFonts w:eastAsia="Times New Roman" w:cstheme="minorHAnsi"/>
                <w:color w:val="000000"/>
                <w:sz w:val="16"/>
                <w:szCs w:val="16"/>
              </w:rPr>
              <w:t>Offals</w:t>
            </w:r>
            <w:proofErr w:type="spellEnd"/>
            <w:r w:rsidRPr="00B609B3">
              <w:rPr>
                <w:rFonts w:eastAsia="Times New Roman" w:cstheme="minorHAnsi"/>
                <w:color w:val="000000"/>
                <w:sz w:val="16"/>
                <w:szCs w:val="16"/>
              </w:rPr>
              <w:t xml:space="preserve">, horses; </w:t>
            </w:r>
            <w:proofErr w:type="spellStart"/>
            <w:r w:rsidRPr="00B609B3">
              <w:rPr>
                <w:rFonts w:eastAsia="Times New Roman" w:cstheme="minorHAnsi"/>
                <w:color w:val="000000"/>
                <w:sz w:val="16"/>
                <w:szCs w:val="16"/>
              </w:rPr>
              <w:t>Offals</w:t>
            </w:r>
            <w:proofErr w:type="spellEnd"/>
            <w:r w:rsidRPr="00B609B3">
              <w:rPr>
                <w:rFonts w:eastAsia="Times New Roman" w:cstheme="minorHAnsi"/>
                <w:color w:val="000000"/>
                <w:sz w:val="16"/>
                <w:szCs w:val="16"/>
              </w:rPr>
              <w:t xml:space="preserve">, edible, camels; </w:t>
            </w:r>
            <w:proofErr w:type="spellStart"/>
            <w:r w:rsidRPr="00B609B3">
              <w:rPr>
                <w:rFonts w:eastAsia="Times New Roman" w:cstheme="minorHAnsi"/>
                <w:color w:val="000000"/>
                <w:sz w:val="16"/>
                <w:szCs w:val="16"/>
              </w:rPr>
              <w:t>Offals</w:t>
            </w:r>
            <w:proofErr w:type="spellEnd"/>
            <w:r w:rsidRPr="00B609B3">
              <w:rPr>
                <w:rFonts w:eastAsia="Times New Roman" w:cstheme="minorHAnsi"/>
                <w:color w:val="000000"/>
                <w:sz w:val="16"/>
                <w:szCs w:val="16"/>
              </w:rPr>
              <w:t xml:space="preserve">, liver chicken; </w:t>
            </w:r>
            <w:proofErr w:type="spellStart"/>
            <w:r w:rsidRPr="00B609B3">
              <w:rPr>
                <w:rFonts w:eastAsia="Times New Roman" w:cstheme="minorHAnsi"/>
                <w:color w:val="000000"/>
                <w:sz w:val="16"/>
                <w:szCs w:val="16"/>
              </w:rPr>
              <w:t>Offals</w:t>
            </w:r>
            <w:proofErr w:type="spellEnd"/>
            <w:r w:rsidRPr="00B609B3">
              <w:rPr>
                <w:rFonts w:eastAsia="Times New Roman" w:cstheme="minorHAnsi"/>
                <w:color w:val="000000"/>
                <w:sz w:val="16"/>
                <w:szCs w:val="16"/>
              </w:rPr>
              <w:t xml:space="preserve">, liver geese; </w:t>
            </w:r>
            <w:proofErr w:type="spellStart"/>
            <w:r w:rsidRPr="00B609B3">
              <w:rPr>
                <w:rFonts w:eastAsia="Times New Roman" w:cstheme="minorHAnsi"/>
                <w:color w:val="000000"/>
                <w:sz w:val="16"/>
                <w:szCs w:val="16"/>
              </w:rPr>
              <w:t>Offals</w:t>
            </w:r>
            <w:proofErr w:type="spellEnd"/>
            <w:r w:rsidRPr="00B609B3">
              <w:rPr>
                <w:rFonts w:eastAsia="Times New Roman" w:cstheme="minorHAnsi"/>
                <w:color w:val="000000"/>
                <w:sz w:val="16"/>
                <w:szCs w:val="16"/>
              </w:rPr>
              <w:t xml:space="preserve">, liver duck; </w:t>
            </w:r>
            <w:proofErr w:type="spellStart"/>
            <w:r w:rsidRPr="00B609B3">
              <w:rPr>
                <w:rFonts w:eastAsia="Times New Roman" w:cstheme="minorHAnsi"/>
                <w:color w:val="000000"/>
                <w:sz w:val="16"/>
                <w:szCs w:val="16"/>
              </w:rPr>
              <w:t>Offals</w:t>
            </w:r>
            <w:proofErr w:type="spellEnd"/>
            <w:r w:rsidRPr="00B609B3">
              <w:rPr>
                <w:rFonts w:eastAsia="Times New Roman" w:cstheme="minorHAnsi"/>
                <w:color w:val="000000"/>
                <w:sz w:val="16"/>
                <w:szCs w:val="16"/>
              </w:rPr>
              <w:t xml:space="preserve">, liver turkeys; </w:t>
            </w:r>
            <w:proofErr w:type="spellStart"/>
            <w:r w:rsidRPr="00B609B3">
              <w:rPr>
                <w:rFonts w:eastAsia="Times New Roman" w:cstheme="minorHAnsi"/>
                <w:color w:val="000000"/>
                <w:sz w:val="16"/>
                <w:szCs w:val="16"/>
              </w:rPr>
              <w:t>Offals</w:t>
            </w:r>
            <w:proofErr w:type="spellEnd"/>
            <w:r w:rsidRPr="00B609B3">
              <w:rPr>
                <w:rFonts w:eastAsia="Times New Roman" w:cstheme="minorHAnsi"/>
                <w:color w:val="000000"/>
                <w:sz w:val="16"/>
                <w:szCs w:val="16"/>
              </w:rPr>
              <w:t xml:space="preserve"> </w:t>
            </w:r>
            <w:proofErr w:type="spellStart"/>
            <w:r w:rsidRPr="00B609B3">
              <w:rPr>
                <w:rFonts w:eastAsia="Times New Roman" w:cstheme="minorHAnsi"/>
                <w:color w:val="000000"/>
                <w:sz w:val="16"/>
                <w:szCs w:val="16"/>
              </w:rPr>
              <w:t>nes</w:t>
            </w:r>
            <w:proofErr w:type="spellEnd"/>
            <w:r w:rsidRPr="00B609B3">
              <w:rPr>
                <w:rFonts w:eastAsia="Times New Roman" w:cstheme="minorHAnsi"/>
                <w:color w:val="000000"/>
                <w:sz w:val="16"/>
                <w:szCs w:val="16"/>
              </w:rPr>
              <w:t xml:space="preserve">; Liver prep.; Fat, cattle; Fat, buffaloes; Fat, sheep; Fat, goats; Fat, pigs; Fat, camels; Fat, other camelids; Oils, fats of animal </w:t>
            </w:r>
            <w:proofErr w:type="spellStart"/>
            <w:r w:rsidRPr="00B609B3">
              <w:rPr>
                <w:rFonts w:eastAsia="Times New Roman" w:cstheme="minorHAnsi"/>
                <w:color w:val="000000"/>
                <w:sz w:val="16"/>
                <w:szCs w:val="16"/>
              </w:rPr>
              <w:t>nes</w:t>
            </w:r>
            <w:proofErr w:type="spellEnd"/>
            <w:r w:rsidRPr="00B609B3">
              <w:rPr>
                <w:rFonts w:eastAsia="Times New Roman" w:cstheme="minorHAnsi"/>
                <w:color w:val="000000"/>
                <w:sz w:val="16"/>
                <w:szCs w:val="16"/>
              </w:rPr>
              <w:t xml:space="preserve">; Degras; Grease incl. lanolin wool; Fat </w:t>
            </w:r>
            <w:proofErr w:type="spellStart"/>
            <w:r w:rsidRPr="00B609B3">
              <w:rPr>
                <w:rFonts w:eastAsia="Times New Roman" w:cstheme="minorHAnsi"/>
                <w:color w:val="000000"/>
                <w:sz w:val="16"/>
                <w:szCs w:val="16"/>
              </w:rPr>
              <w:t>nes</w:t>
            </w:r>
            <w:proofErr w:type="spellEnd"/>
            <w:r w:rsidRPr="00B609B3">
              <w:rPr>
                <w:rFonts w:eastAsia="Times New Roman" w:cstheme="minorHAnsi"/>
                <w:color w:val="000000"/>
                <w:sz w:val="16"/>
                <w:szCs w:val="16"/>
              </w:rPr>
              <w:t>, prepared; Honey, natural; Snails, not sea</w:t>
            </w:r>
          </w:p>
        </w:tc>
      </w:tr>
    </w:tbl>
    <w:p w14:paraId="5483EEDB" w14:textId="77777777" w:rsidR="005E1296" w:rsidRPr="006C167D" w:rsidRDefault="005E1296" w:rsidP="00ED14D0">
      <w:pPr>
        <w:rPr>
          <w:b/>
          <w:bCs/>
        </w:rPr>
      </w:pPr>
    </w:p>
    <w:p w14:paraId="33875CB5" w14:textId="570561BC" w:rsidR="00166514" w:rsidRDefault="00D56FB5" w:rsidP="00ED14D0">
      <w:r>
        <w:rPr>
          <w:b/>
          <w:bCs/>
        </w:rPr>
        <w:lastRenderedPageBreak/>
        <w:t>Table S</w:t>
      </w:r>
      <w:r w:rsidR="006C167D">
        <w:rPr>
          <w:b/>
          <w:bCs/>
        </w:rPr>
        <w:t>4</w:t>
      </w:r>
      <w:r>
        <w:rPr>
          <w:b/>
          <w:bCs/>
        </w:rPr>
        <w:t>. Scenario design with import demand summary statistics. ‘</w:t>
      </w:r>
      <w:r>
        <w:t xml:space="preserve">Deforesting regions’ are defined as regions deforesting in </w:t>
      </w:r>
      <w:r>
        <w:rPr>
          <w:i/>
          <w:iCs/>
        </w:rPr>
        <w:t>REF</w:t>
      </w:r>
      <w:r>
        <w:t xml:space="preserve"> between 2015 and 2050 (see </w:t>
      </w:r>
      <w:r w:rsidRPr="00711510">
        <w:rPr>
          <w:b/>
          <w:bCs/>
        </w:rPr>
        <w:t>Figure S</w:t>
      </w:r>
      <w:r>
        <w:rPr>
          <w:b/>
          <w:bCs/>
        </w:rPr>
        <w:t>3</w:t>
      </w:r>
      <w:r>
        <w:t xml:space="preserve"> for details). % values are calculated </w:t>
      </w:r>
      <w:proofErr w:type="gramStart"/>
      <w:r>
        <w:t>on the basis of</w:t>
      </w:r>
      <w:proofErr w:type="gramEnd"/>
      <w:r>
        <w:t xml:space="preserve"> palm and soy import demand volumes (Mt).</w:t>
      </w:r>
    </w:p>
    <w:tbl>
      <w:tblPr>
        <w:tblStyle w:val="GridTable1Light"/>
        <w:tblW w:w="0" w:type="auto"/>
        <w:tblLayout w:type="fixed"/>
        <w:tblLook w:val="04A0" w:firstRow="1" w:lastRow="0" w:firstColumn="1" w:lastColumn="0" w:noHBand="0" w:noVBand="1"/>
      </w:tblPr>
      <w:tblGrid>
        <w:gridCol w:w="1036"/>
        <w:gridCol w:w="1633"/>
        <w:gridCol w:w="2210"/>
        <w:gridCol w:w="1120"/>
        <w:gridCol w:w="1120"/>
        <w:gridCol w:w="1120"/>
        <w:gridCol w:w="1121"/>
      </w:tblGrid>
      <w:tr w:rsidR="00075D2E" w:rsidRPr="00BE1636" w14:paraId="2A130AC7" w14:textId="77777777" w:rsidTr="00B4011D">
        <w:trPr>
          <w:cnfStyle w:val="100000000000" w:firstRow="1" w:lastRow="0" w:firstColumn="0" w:lastColumn="0" w:oddVBand="0" w:evenVBand="0" w:oddHBand="0"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1036" w:type="dxa"/>
            <w:vMerge w:val="restart"/>
            <w:tcBorders>
              <w:top w:val="nil"/>
              <w:left w:val="nil"/>
              <w:right w:val="nil"/>
            </w:tcBorders>
            <w:shd w:val="clear" w:color="auto" w:fill="000000" w:themeFill="text1"/>
            <w:vAlign w:val="bottom"/>
          </w:tcPr>
          <w:p w14:paraId="26693AEE" w14:textId="77777777" w:rsidR="00075D2E" w:rsidRPr="00FE37D0" w:rsidRDefault="00075D2E" w:rsidP="00B4011D">
            <w:pPr>
              <w:jc w:val="center"/>
            </w:pPr>
            <w:r w:rsidRPr="00FE37D0">
              <w:t>Scenario</w:t>
            </w:r>
          </w:p>
        </w:tc>
        <w:tc>
          <w:tcPr>
            <w:tcW w:w="1633" w:type="dxa"/>
            <w:vMerge w:val="restart"/>
            <w:tcBorders>
              <w:top w:val="nil"/>
              <w:left w:val="nil"/>
              <w:right w:val="nil"/>
            </w:tcBorders>
            <w:shd w:val="clear" w:color="auto" w:fill="000000" w:themeFill="text1"/>
            <w:vAlign w:val="bottom"/>
          </w:tcPr>
          <w:p w14:paraId="2E0696C0" w14:textId="77777777" w:rsidR="00075D2E" w:rsidRPr="00FE37D0" w:rsidRDefault="00075D2E" w:rsidP="00B4011D">
            <w:pPr>
              <w:jc w:val="center"/>
              <w:cnfStyle w:val="100000000000" w:firstRow="1" w:lastRow="0" w:firstColumn="0" w:lastColumn="0" w:oddVBand="0" w:evenVBand="0" w:oddHBand="0" w:evenHBand="0" w:firstRowFirstColumn="0" w:firstRowLastColumn="0" w:lastRowFirstColumn="0" w:lastRowLastColumn="0"/>
            </w:pPr>
            <w:r w:rsidRPr="00FE37D0">
              <w:t>Policy</w:t>
            </w:r>
          </w:p>
        </w:tc>
        <w:tc>
          <w:tcPr>
            <w:tcW w:w="2210" w:type="dxa"/>
            <w:vMerge w:val="restart"/>
            <w:tcBorders>
              <w:top w:val="nil"/>
              <w:left w:val="nil"/>
              <w:right w:val="nil"/>
            </w:tcBorders>
            <w:shd w:val="clear" w:color="auto" w:fill="000000" w:themeFill="text1"/>
            <w:vAlign w:val="bottom"/>
          </w:tcPr>
          <w:p w14:paraId="4DD218DE" w14:textId="77777777" w:rsidR="00075D2E" w:rsidRPr="00FE37D0" w:rsidRDefault="00075D2E" w:rsidP="00B4011D">
            <w:pPr>
              <w:jc w:val="center"/>
              <w:cnfStyle w:val="100000000000" w:firstRow="1" w:lastRow="0" w:firstColumn="0" w:lastColumn="0" w:oddVBand="0" w:evenVBand="0" w:oddHBand="0" w:evenHBand="0" w:firstRowFirstColumn="0" w:firstRowLastColumn="0" w:lastRowFirstColumn="0" w:lastRowLastColumn="0"/>
            </w:pPr>
            <w:r w:rsidRPr="00FE37D0">
              <w:t>Import restricting regions</w:t>
            </w:r>
          </w:p>
        </w:tc>
        <w:tc>
          <w:tcPr>
            <w:tcW w:w="2240" w:type="dxa"/>
            <w:gridSpan w:val="2"/>
            <w:tcBorders>
              <w:top w:val="nil"/>
              <w:left w:val="nil"/>
              <w:bottom w:val="nil"/>
              <w:right w:val="nil"/>
            </w:tcBorders>
            <w:shd w:val="clear" w:color="auto" w:fill="000000" w:themeFill="text1"/>
            <w:hideMark/>
          </w:tcPr>
          <w:p w14:paraId="1010E3AE" w14:textId="2541DCCD" w:rsidR="00075D2E" w:rsidRPr="00FE37D0" w:rsidRDefault="00075D2E" w:rsidP="00B62DE4">
            <w:pPr>
              <w:pStyle w:val="ListParagraph"/>
              <w:numPr>
                <w:ilvl w:val="0"/>
                <w:numId w:val="28"/>
              </w:numPr>
              <w:jc w:val="center"/>
              <w:cnfStyle w:val="100000000000" w:firstRow="1" w:lastRow="0" w:firstColumn="0" w:lastColumn="0" w:oddVBand="0" w:evenVBand="0" w:oddHBand="0" w:evenHBand="0" w:firstRowFirstColumn="0" w:firstRowLastColumn="0" w:lastRowFirstColumn="0" w:lastRowLastColumn="0"/>
            </w:pPr>
            <w:r w:rsidRPr="00FE37D0">
              <w:t>% share of 2020 import demand represented by the set of import restricting regions</w:t>
            </w:r>
          </w:p>
        </w:tc>
        <w:tc>
          <w:tcPr>
            <w:tcW w:w="2241" w:type="dxa"/>
            <w:gridSpan w:val="2"/>
            <w:tcBorders>
              <w:top w:val="nil"/>
              <w:left w:val="nil"/>
              <w:bottom w:val="nil"/>
              <w:right w:val="nil"/>
            </w:tcBorders>
            <w:shd w:val="clear" w:color="auto" w:fill="000000" w:themeFill="text1"/>
          </w:tcPr>
          <w:p w14:paraId="72FB3451" w14:textId="66A54B07" w:rsidR="00075D2E" w:rsidRPr="00FE37D0" w:rsidRDefault="00075D2E" w:rsidP="00B62DE4">
            <w:pPr>
              <w:pStyle w:val="ListParagraph"/>
              <w:numPr>
                <w:ilvl w:val="0"/>
                <w:numId w:val="28"/>
              </w:numPr>
              <w:jc w:val="center"/>
              <w:cnfStyle w:val="100000000000" w:firstRow="1" w:lastRow="0" w:firstColumn="0" w:lastColumn="0" w:oddVBand="0" w:evenVBand="0" w:oddHBand="0" w:evenHBand="0" w:firstRowFirstColumn="0" w:firstRowLastColumn="0" w:lastRowFirstColumn="0" w:lastRowLastColumn="0"/>
            </w:pPr>
            <w:r w:rsidRPr="00FE37D0">
              <w:t>% change in import demand between 2020 and 2050 (in REF scenario) for the set of import restricting regions</w:t>
            </w:r>
          </w:p>
        </w:tc>
      </w:tr>
      <w:tr w:rsidR="00075D2E" w:rsidRPr="00BE1636" w14:paraId="62B8C92F" w14:textId="77777777" w:rsidTr="00B4011D">
        <w:trPr>
          <w:trHeight w:val="48"/>
        </w:trPr>
        <w:tc>
          <w:tcPr>
            <w:cnfStyle w:val="001000000000" w:firstRow="0" w:lastRow="0" w:firstColumn="1" w:lastColumn="0" w:oddVBand="0" w:evenVBand="0" w:oddHBand="0" w:evenHBand="0" w:firstRowFirstColumn="0" w:firstRowLastColumn="0" w:lastRowFirstColumn="0" w:lastRowLastColumn="0"/>
            <w:tcW w:w="1036" w:type="dxa"/>
            <w:vMerge/>
            <w:tcBorders>
              <w:left w:val="nil"/>
              <w:bottom w:val="nil"/>
              <w:right w:val="nil"/>
            </w:tcBorders>
            <w:shd w:val="clear" w:color="auto" w:fill="000000" w:themeFill="text1"/>
            <w:hideMark/>
          </w:tcPr>
          <w:p w14:paraId="379137CE" w14:textId="77777777" w:rsidR="00075D2E" w:rsidRPr="00BE1636" w:rsidRDefault="00075D2E" w:rsidP="00B4011D">
            <w:pPr>
              <w:jc w:val="center"/>
            </w:pPr>
          </w:p>
        </w:tc>
        <w:tc>
          <w:tcPr>
            <w:tcW w:w="1633" w:type="dxa"/>
            <w:vMerge/>
            <w:tcBorders>
              <w:left w:val="nil"/>
              <w:bottom w:val="nil"/>
              <w:right w:val="nil"/>
            </w:tcBorders>
            <w:shd w:val="clear" w:color="auto" w:fill="000000" w:themeFill="text1"/>
          </w:tcPr>
          <w:p w14:paraId="5916A690" w14:textId="77777777" w:rsidR="00075D2E" w:rsidRPr="00365A3B" w:rsidRDefault="00075D2E" w:rsidP="00B4011D">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2210" w:type="dxa"/>
            <w:vMerge/>
            <w:tcBorders>
              <w:left w:val="nil"/>
              <w:bottom w:val="nil"/>
              <w:right w:val="nil"/>
            </w:tcBorders>
            <w:shd w:val="clear" w:color="auto" w:fill="000000" w:themeFill="text1"/>
            <w:hideMark/>
          </w:tcPr>
          <w:p w14:paraId="5500BC27" w14:textId="77777777" w:rsidR="00075D2E" w:rsidRPr="00365A3B" w:rsidRDefault="00075D2E" w:rsidP="00B4011D">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1120" w:type="dxa"/>
            <w:tcBorders>
              <w:top w:val="nil"/>
              <w:left w:val="nil"/>
              <w:bottom w:val="nil"/>
              <w:right w:val="nil"/>
            </w:tcBorders>
            <w:shd w:val="clear" w:color="auto" w:fill="000000" w:themeFill="text1"/>
            <w:hideMark/>
          </w:tcPr>
          <w:p w14:paraId="183EF5D8" w14:textId="77777777" w:rsidR="00075D2E" w:rsidRPr="00FE37D0" w:rsidRDefault="00075D2E" w:rsidP="00B4011D">
            <w:pPr>
              <w:jc w:val="center"/>
              <w:cnfStyle w:val="000000000000" w:firstRow="0" w:lastRow="0" w:firstColumn="0" w:lastColumn="0" w:oddVBand="0" w:evenVBand="0" w:oddHBand="0" w:evenHBand="0" w:firstRowFirstColumn="0" w:firstRowLastColumn="0" w:lastRowFirstColumn="0" w:lastRowLastColumn="0"/>
            </w:pPr>
            <w:r w:rsidRPr="00FE37D0">
              <w:t>Palm</w:t>
            </w:r>
          </w:p>
        </w:tc>
        <w:tc>
          <w:tcPr>
            <w:tcW w:w="1120" w:type="dxa"/>
            <w:tcBorders>
              <w:top w:val="nil"/>
              <w:left w:val="nil"/>
              <w:bottom w:val="nil"/>
              <w:right w:val="nil"/>
            </w:tcBorders>
            <w:shd w:val="clear" w:color="auto" w:fill="000000" w:themeFill="text1"/>
            <w:hideMark/>
          </w:tcPr>
          <w:p w14:paraId="426A127F" w14:textId="77777777" w:rsidR="00075D2E" w:rsidRPr="00FE37D0" w:rsidRDefault="00075D2E" w:rsidP="00B4011D">
            <w:pPr>
              <w:jc w:val="center"/>
              <w:cnfStyle w:val="000000000000" w:firstRow="0" w:lastRow="0" w:firstColumn="0" w:lastColumn="0" w:oddVBand="0" w:evenVBand="0" w:oddHBand="0" w:evenHBand="0" w:firstRowFirstColumn="0" w:firstRowLastColumn="0" w:lastRowFirstColumn="0" w:lastRowLastColumn="0"/>
            </w:pPr>
            <w:r w:rsidRPr="00FE37D0">
              <w:t>Soy</w:t>
            </w:r>
          </w:p>
        </w:tc>
        <w:tc>
          <w:tcPr>
            <w:tcW w:w="1120" w:type="dxa"/>
            <w:tcBorders>
              <w:top w:val="nil"/>
              <w:left w:val="nil"/>
              <w:bottom w:val="nil"/>
              <w:right w:val="nil"/>
            </w:tcBorders>
            <w:shd w:val="clear" w:color="auto" w:fill="000000" w:themeFill="text1"/>
          </w:tcPr>
          <w:p w14:paraId="7A54605C" w14:textId="77777777" w:rsidR="00075D2E" w:rsidRPr="00FE37D0" w:rsidRDefault="00075D2E" w:rsidP="00B4011D">
            <w:pPr>
              <w:jc w:val="center"/>
              <w:cnfStyle w:val="000000000000" w:firstRow="0" w:lastRow="0" w:firstColumn="0" w:lastColumn="0" w:oddVBand="0" w:evenVBand="0" w:oddHBand="0" w:evenHBand="0" w:firstRowFirstColumn="0" w:firstRowLastColumn="0" w:lastRowFirstColumn="0" w:lastRowLastColumn="0"/>
            </w:pPr>
            <w:r w:rsidRPr="00FE37D0">
              <w:t>Palm</w:t>
            </w:r>
          </w:p>
        </w:tc>
        <w:tc>
          <w:tcPr>
            <w:tcW w:w="1121" w:type="dxa"/>
            <w:tcBorders>
              <w:top w:val="nil"/>
              <w:left w:val="nil"/>
              <w:bottom w:val="nil"/>
              <w:right w:val="nil"/>
            </w:tcBorders>
            <w:shd w:val="clear" w:color="auto" w:fill="000000" w:themeFill="text1"/>
          </w:tcPr>
          <w:p w14:paraId="12019B8A" w14:textId="77777777" w:rsidR="00075D2E" w:rsidRPr="00FE37D0" w:rsidRDefault="00075D2E" w:rsidP="00B4011D">
            <w:pPr>
              <w:jc w:val="center"/>
              <w:cnfStyle w:val="000000000000" w:firstRow="0" w:lastRow="0" w:firstColumn="0" w:lastColumn="0" w:oddVBand="0" w:evenVBand="0" w:oddHBand="0" w:evenHBand="0" w:firstRowFirstColumn="0" w:firstRowLastColumn="0" w:lastRowFirstColumn="0" w:lastRowLastColumn="0"/>
            </w:pPr>
            <w:r w:rsidRPr="00FE37D0">
              <w:t>Soy</w:t>
            </w:r>
          </w:p>
        </w:tc>
      </w:tr>
      <w:tr w:rsidR="00075D2E" w:rsidRPr="00BE1636" w14:paraId="5A77E438" w14:textId="77777777" w:rsidTr="00B4011D">
        <w:trPr>
          <w:trHeight w:val="292"/>
        </w:trPr>
        <w:tc>
          <w:tcPr>
            <w:cnfStyle w:val="001000000000" w:firstRow="0" w:lastRow="0" w:firstColumn="1" w:lastColumn="0" w:oddVBand="0" w:evenVBand="0" w:oddHBand="0" w:evenHBand="0" w:firstRowFirstColumn="0" w:firstRowLastColumn="0" w:lastRowFirstColumn="0" w:lastRowLastColumn="0"/>
            <w:tcW w:w="1036" w:type="dxa"/>
            <w:tcBorders>
              <w:top w:val="nil"/>
            </w:tcBorders>
            <w:hideMark/>
          </w:tcPr>
          <w:p w14:paraId="660AF7EC" w14:textId="77777777" w:rsidR="00075D2E" w:rsidRPr="00BE1636" w:rsidRDefault="00075D2E" w:rsidP="00B4011D">
            <w:r w:rsidRPr="00BE1636">
              <w:t>REF</w:t>
            </w:r>
          </w:p>
        </w:tc>
        <w:tc>
          <w:tcPr>
            <w:tcW w:w="1633" w:type="dxa"/>
            <w:tcBorders>
              <w:top w:val="nil"/>
              <w:right w:val="nil"/>
            </w:tcBorders>
          </w:tcPr>
          <w:p w14:paraId="4DD60F7F" w14:textId="77777777" w:rsidR="00075D2E" w:rsidRPr="00365A3B" w:rsidRDefault="00075D2E" w:rsidP="00B4011D">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None</w:t>
            </w:r>
          </w:p>
        </w:tc>
        <w:tc>
          <w:tcPr>
            <w:tcW w:w="2210" w:type="dxa"/>
            <w:tcBorders>
              <w:top w:val="nil"/>
              <w:left w:val="nil"/>
            </w:tcBorders>
          </w:tcPr>
          <w:p w14:paraId="281D5128" w14:textId="77777777" w:rsidR="00075D2E" w:rsidRPr="00365A3B" w:rsidRDefault="00075D2E" w:rsidP="00B4011D">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n/a</w:t>
            </w:r>
          </w:p>
        </w:tc>
        <w:tc>
          <w:tcPr>
            <w:tcW w:w="1120" w:type="dxa"/>
            <w:tcBorders>
              <w:top w:val="nil"/>
              <w:right w:val="nil"/>
            </w:tcBorders>
          </w:tcPr>
          <w:p w14:paraId="07BF3317" w14:textId="77777777" w:rsidR="00075D2E" w:rsidRPr="00BE1636" w:rsidRDefault="00075D2E" w:rsidP="00B4011D">
            <w:pPr>
              <w:jc w:val="center"/>
              <w:cnfStyle w:val="000000000000" w:firstRow="0" w:lastRow="0" w:firstColumn="0" w:lastColumn="0" w:oddVBand="0" w:evenVBand="0" w:oddHBand="0" w:evenHBand="0" w:firstRowFirstColumn="0" w:firstRowLastColumn="0" w:lastRowFirstColumn="0" w:lastRowLastColumn="0"/>
            </w:pPr>
            <w:r>
              <w:t>0%</w:t>
            </w:r>
          </w:p>
        </w:tc>
        <w:tc>
          <w:tcPr>
            <w:tcW w:w="1120" w:type="dxa"/>
            <w:tcBorders>
              <w:top w:val="nil"/>
              <w:left w:val="nil"/>
            </w:tcBorders>
          </w:tcPr>
          <w:p w14:paraId="4D17BEBD" w14:textId="77777777" w:rsidR="00075D2E" w:rsidRPr="00BE1636" w:rsidRDefault="00075D2E" w:rsidP="00B4011D">
            <w:pPr>
              <w:jc w:val="center"/>
              <w:cnfStyle w:val="000000000000" w:firstRow="0" w:lastRow="0" w:firstColumn="0" w:lastColumn="0" w:oddVBand="0" w:evenVBand="0" w:oddHBand="0" w:evenHBand="0" w:firstRowFirstColumn="0" w:firstRowLastColumn="0" w:lastRowFirstColumn="0" w:lastRowLastColumn="0"/>
            </w:pPr>
            <w:r>
              <w:t>0%</w:t>
            </w:r>
          </w:p>
        </w:tc>
        <w:tc>
          <w:tcPr>
            <w:tcW w:w="1120" w:type="dxa"/>
            <w:tcBorders>
              <w:top w:val="nil"/>
              <w:right w:val="nil"/>
            </w:tcBorders>
          </w:tcPr>
          <w:p w14:paraId="22FD3A25" w14:textId="2B398E22" w:rsidR="00075D2E" w:rsidRPr="00BE1636" w:rsidRDefault="00075D2E" w:rsidP="00B65973">
            <w:pPr>
              <w:cnfStyle w:val="000000000000" w:firstRow="0" w:lastRow="0" w:firstColumn="0" w:lastColumn="0" w:oddVBand="0" w:evenVBand="0" w:oddHBand="0" w:evenHBand="0" w:firstRowFirstColumn="0" w:firstRowLastColumn="0" w:lastRowFirstColumn="0" w:lastRowLastColumn="0"/>
            </w:pPr>
          </w:p>
        </w:tc>
        <w:tc>
          <w:tcPr>
            <w:tcW w:w="1121" w:type="dxa"/>
            <w:tcBorders>
              <w:top w:val="nil"/>
              <w:left w:val="nil"/>
            </w:tcBorders>
          </w:tcPr>
          <w:p w14:paraId="67AC5CFA" w14:textId="233802E4" w:rsidR="00075D2E" w:rsidRPr="00BE1636" w:rsidRDefault="00075D2E" w:rsidP="00B65973">
            <w:pPr>
              <w:cnfStyle w:val="000000000000" w:firstRow="0" w:lastRow="0" w:firstColumn="0" w:lastColumn="0" w:oddVBand="0" w:evenVBand="0" w:oddHBand="0" w:evenHBand="0" w:firstRowFirstColumn="0" w:firstRowLastColumn="0" w:lastRowFirstColumn="0" w:lastRowLastColumn="0"/>
            </w:pPr>
          </w:p>
        </w:tc>
      </w:tr>
      <w:tr w:rsidR="00075D2E" w:rsidRPr="00BE1636" w14:paraId="27E1F7F7" w14:textId="77777777" w:rsidTr="00B4011D">
        <w:trPr>
          <w:trHeight w:val="292"/>
        </w:trPr>
        <w:tc>
          <w:tcPr>
            <w:cnfStyle w:val="001000000000" w:firstRow="0" w:lastRow="0" w:firstColumn="1" w:lastColumn="0" w:oddVBand="0" w:evenVBand="0" w:oddHBand="0" w:evenHBand="0" w:firstRowFirstColumn="0" w:firstRowLastColumn="0" w:lastRowFirstColumn="0" w:lastRowLastColumn="0"/>
            <w:tcW w:w="1036" w:type="dxa"/>
            <w:hideMark/>
          </w:tcPr>
          <w:p w14:paraId="447B2CC8" w14:textId="77777777" w:rsidR="00075D2E" w:rsidRPr="00BE1636" w:rsidRDefault="00075D2E" w:rsidP="00B4011D">
            <w:r w:rsidRPr="00BE1636">
              <w:t xml:space="preserve">EU </w:t>
            </w:r>
            <w:r>
              <w:t>freeze</w:t>
            </w:r>
          </w:p>
        </w:tc>
        <w:tc>
          <w:tcPr>
            <w:tcW w:w="1633" w:type="dxa"/>
            <w:tcBorders>
              <w:right w:val="nil"/>
            </w:tcBorders>
          </w:tcPr>
          <w:p w14:paraId="4471D8D6" w14:textId="77777777" w:rsidR="00075D2E" w:rsidRPr="00365A3B" w:rsidRDefault="00075D2E" w:rsidP="00B4011D">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Ceiling on imports from deforesting regions at 2020 levels</w:t>
            </w:r>
          </w:p>
        </w:tc>
        <w:tc>
          <w:tcPr>
            <w:tcW w:w="2210" w:type="dxa"/>
            <w:tcBorders>
              <w:left w:val="nil"/>
            </w:tcBorders>
            <w:hideMark/>
          </w:tcPr>
          <w:p w14:paraId="5E985DF6" w14:textId="77777777" w:rsidR="00075D2E" w:rsidRPr="00365A3B" w:rsidRDefault="00075D2E" w:rsidP="00B4011D">
            <w:pPr>
              <w:cnfStyle w:val="000000000000" w:firstRow="0" w:lastRow="0" w:firstColumn="0" w:lastColumn="0" w:oddVBand="0" w:evenVBand="0" w:oddHBand="0" w:evenHBand="0" w:firstRowFirstColumn="0" w:firstRowLastColumn="0" w:lastRowFirstColumn="0" w:lastRowLastColumn="0"/>
              <w:rPr>
                <w:sz w:val="18"/>
                <w:szCs w:val="18"/>
              </w:rPr>
            </w:pPr>
            <w:r w:rsidRPr="00365A3B">
              <w:rPr>
                <w:sz w:val="18"/>
                <w:szCs w:val="18"/>
              </w:rPr>
              <w:t>EU</w:t>
            </w:r>
          </w:p>
        </w:tc>
        <w:tc>
          <w:tcPr>
            <w:tcW w:w="1120" w:type="dxa"/>
            <w:tcBorders>
              <w:right w:val="nil"/>
            </w:tcBorders>
            <w:hideMark/>
          </w:tcPr>
          <w:p w14:paraId="16598681" w14:textId="77777777" w:rsidR="00075D2E" w:rsidRPr="00BE1636" w:rsidRDefault="00075D2E" w:rsidP="00B4011D">
            <w:pPr>
              <w:jc w:val="center"/>
              <w:cnfStyle w:val="000000000000" w:firstRow="0" w:lastRow="0" w:firstColumn="0" w:lastColumn="0" w:oddVBand="0" w:evenVBand="0" w:oddHBand="0" w:evenHBand="0" w:firstRowFirstColumn="0" w:firstRowLastColumn="0" w:lastRowFirstColumn="0" w:lastRowLastColumn="0"/>
            </w:pPr>
            <w:r w:rsidRPr="00BE1636">
              <w:t>20%</w:t>
            </w:r>
          </w:p>
        </w:tc>
        <w:tc>
          <w:tcPr>
            <w:tcW w:w="1120" w:type="dxa"/>
            <w:tcBorders>
              <w:left w:val="nil"/>
            </w:tcBorders>
            <w:hideMark/>
          </w:tcPr>
          <w:p w14:paraId="0389B811" w14:textId="77777777" w:rsidR="00075D2E" w:rsidRPr="00BE1636" w:rsidRDefault="00075D2E" w:rsidP="00B4011D">
            <w:pPr>
              <w:jc w:val="center"/>
              <w:cnfStyle w:val="000000000000" w:firstRow="0" w:lastRow="0" w:firstColumn="0" w:lastColumn="0" w:oddVBand="0" w:evenVBand="0" w:oddHBand="0" w:evenHBand="0" w:firstRowFirstColumn="0" w:firstRowLastColumn="0" w:lastRowFirstColumn="0" w:lastRowLastColumn="0"/>
            </w:pPr>
            <w:r>
              <w:t>18%</w:t>
            </w:r>
          </w:p>
        </w:tc>
        <w:tc>
          <w:tcPr>
            <w:tcW w:w="1120" w:type="dxa"/>
            <w:tcBorders>
              <w:right w:val="nil"/>
            </w:tcBorders>
          </w:tcPr>
          <w:p w14:paraId="5567164D" w14:textId="77777777" w:rsidR="00075D2E" w:rsidRPr="00BE1636" w:rsidRDefault="00075D2E" w:rsidP="00B4011D">
            <w:pPr>
              <w:jc w:val="center"/>
              <w:cnfStyle w:val="000000000000" w:firstRow="0" w:lastRow="0" w:firstColumn="0" w:lastColumn="0" w:oddVBand="0" w:evenVBand="0" w:oddHBand="0" w:evenHBand="0" w:firstRowFirstColumn="0" w:firstRowLastColumn="0" w:lastRowFirstColumn="0" w:lastRowLastColumn="0"/>
            </w:pPr>
            <w:r>
              <w:t>-15%</w:t>
            </w:r>
          </w:p>
        </w:tc>
        <w:tc>
          <w:tcPr>
            <w:tcW w:w="1121" w:type="dxa"/>
            <w:tcBorders>
              <w:left w:val="nil"/>
            </w:tcBorders>
          </w:tcPr>
          <w:p w14:paraId="6ECF75AA" w14:textId="77777777" w:rsidR="00075D2E" w:rsidRPr="00BE1636" w:rsidRDefault="00075D2E" w:rsidP="00B4011D">
            <w:pPr>
              <w:jc w:val="center"/>
              <w:cnfStyle w:val="000000000000" w:firstRow="0" w:lastRow="0" w:firstColumn="0" w:lastColumn="0" w:oddVBand="0" w:evenVBand="0" w:oddHBand="0" w:evenHBand="0" w:firstRowFirstColumn="0" w:firstRowLastColumn="0" w:lastRowFirstColumn="0" w:lastRowLastColumn="0"/>
            </w:pPr>
            <w:r>
              <w:t>38%</w:t>
            </w:r>
          </w:p>
        </w:tc>
      </w:tr>
      <w:tr w:rsidR="00075D2E" w:rsidRPr="00BE1636" w14:paraId="234437E9" w14:textId="77777777" w:rsidTr="00B4011D">
        <w:trPr>
          <w:trHeight w:val="292"/>
        </w:trPr>
        <w:tc>
          <w:tcPr>
            <w:cnfStyle w:val="001000000000" w:firstRow="0" w:lastRow="0" w:firstColumn="1" w:lastColumn="0" w:oddVBand="0" w:evenVBand="0" w:oddHBand="0" w:evenHBand="0" w:firstRowFirstColumn="0" w:firstRowLastColumn="0" w:lastRowFirstColumn="0" w:lastRowLastColumn="0"/>
            <w:tcW w:w="1036" w:type="dxa"/>
            <w:hideMark/>
          </w:tcPr>
          <w:p w14:paraId="22F2864A" w14:textId="77777777" w:rsidR="00075D2E" w:rsidRPr="00BE1636" w:rsidRDefault="00075D2E" w:rsidP="00B4011D">
            <w:r>
              <w:t>HighInc</w:t>
            </w:r>
            <w:r w:rsidRPr="00BE1636">
              <w:t xml:space="preserve"> </w:t>
            </w:r>
            <w:r>
              <w:t>freeze</w:t>
            </w:r>
          </w:p>
        </w:tc>
        <w:tc>
          <w:tcPr>
            <w:tcW w:w="1633" w:type="dxa"/>
            <w:tcBorders>
              <w:right w:val="nil"/>
            </w:tcBorders>
          </w:tcPr>
          <w:p w14:paraId="4D168A44" w14:textId="77777777" w:rsidR="00075D2E" w:rsidRPr="00365A3B" w:rsidRDefault="00075D2E" w:rsidP="00B4011D">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Ceiling on imports from deforesting regions at 2020 levels</w:t>
            </w:r>
          </w:p>
        </w:tc>
        <w:tc>
          <w:tcPr>
            <w:tcW w:w="2210" w:type="dxa"/>
            <w:tcBorders>
              <w:left w:val="nil"/>
            </w:tcBorders>
            <w:hideMark/>
          </w:tcPr>
          <w:p w14:paraId="74C3342F" w14:textId="77777777" w:rsidR="00075D2E" w:rsidRPr="00365A3B" w:rsidRDefault="00075D2E" w:rsidP="00B4011D">
            <w:pPr>
              <w:cnfStyle w:val="000000000000" w:firstRow="0" w:lastRow="0" w:firstColumn="0" w:lastColumn="0" w:oddVBand="0" w:evenVBand="0" w:oddHBand="0" w:evenHBand="0" w:firstRowFirstColumn="0" w:firstRowLastColumn="0" w:lastRowFirstColumn="0" w:lastRowLastColumn="0"/>
              <w:rPr>
                <w:sz w:val="18"/>
                <w:szCs w:val="18"/>
              </w:rPr>
            </w:pPr>
            <w:r w:rsidRPr="00365A3B">
              <w:rPr>
                <w:sz w:val="18"/>
                <w:szCs w:val="18"/>
              </w:rPr>
              <w:t xml:space="preserve">EU, rest of Europe (EFTA and Europe_Non_EU), </w:t>
            </w:r>
            <w:r>
              <w:rPr>
                <w:sz w:val="18"/>
                <w:szCs w:val="18"/>
              </w:rPr>
              <w:t xml:space="preserve">Argentina, </w:t>
            </w:r>
            <w:r w:rsidRPr="00365A3B">
              <w:rPr>
                <w:sz w:val="18"/>
                <w:szCs w:val="18"/>
              </w:rPr>
              <w:t xml:space="preserve">Australia_NZ, </w:t>
            </w:r>
            <w:r>
              <w:rPr>
                <w:sz w:val="18"/>
                <w:szCs w:val="18"/>
              </w:rPr>
              <w:t xml:space="preserve">Brazil, </w:t>
            </w:r>
            <w:r w:rsidRPr="00365A3B">
              <w:rPr>
                <w:sz w:val="18"/>
                <w:szCs w:val="18"/>
              </w:rPr>
              <w:t xml:space="preserve">Canada, </w:t>
            </w:r>
            <w:r>
              <w:rPr>
                <w:sz w:val="18"/>
                <w:szCs w:val="18"/>
              </w:rPr>
              <w:t xml:space="preserve">China, </w:t>
            </w:r>
            <w:r w:rsidRPr="00365A3B">
              <w:rPr>
                <w:sz w:val="18"/>
                <w:szCs w:val="18"/>
              </w:rPr>
              <w:t>Japan,</w:t>
            </w:r>
            <w:r>
              <w:rPr>
                <w:sz w:val="18"/>
                <w:szCs w:val="18"/>
              </w:rPr>
              <w:t xml:space="preserve"> Mexico, Middle East, </w:t>
            </w:r>
            <w:r w:rsidRPr="00365A3B">
              <w:rPr>
                <w:sz w:val="18"/>
                <w:szCs w:val="18"/>
              </w:rPr>
              <w:t>Russia, South Korea, Taiwan</w:t>
            </w:r>
            <w:r>
              <w:rPr>
                <w:sz w:val="18"/>
                <w:szCs w:val="18"/>
              </w:rPr>
              <w:t xml:space="preserve">, </w:t>
            </w:r>
            <w:r w:rsidRPr="00365A3B">
              <w:rPr>
                <w:sz w:val="18"/>
                <w:szCs w:val="18"/>
              </w:rPr>
              <w:t>USA</w:t>
            </w:r>
          </w:p>
        </w:tc>
        <w:tc>
          <w:tcPr>
            <w:tcW w:w="1120" w:type="dxa"/>
            <w:tcBorders>
              <w:right w:val="nil"/>
            </w:tcBorders>
          </w:tcPr>
          <w:p w14:paraId="7FB5D4F9" w14:textId="77777777" w:rsidR="00075D2E" w:rsidRPr="00BE1636" w:rsidRDefault="00075D2E" w:rsidP="00B4011D">
            <w:pPr>
              <w:jc w:val="center"/>
              <w:cnfStyle w:val="000000000000" w:firstRow="0" w:lastRow="0" w:firstColumn="0" w:lastColumn="0" w:oddVBand="0" w:evenVBand="0" w:oddHBand="0" w:evenHBand="0" w:firstRowFirstColumn="0" w:firstRowLastColumn="0" w:lastRowFirstColumn="0" w:lastRowLastColumn="0"/>
            </w:pPr>
            <w:r>
              <w:t>51%</w:t>
            </w:r>
          </w:p>
        </w:tc>
        <w:tc>
          <w:tcPr>
            <w:tcW w:w="1120" w:type="dxa"/>
            <w:tcBorders>
              <w:left w:val="nil"/>
            </w:tcBorders>
          </w:tcPr>
          <w:p w14:paraId="7DB855DB" w14:textId="77777777" w:rsidR="00075D2E" w:rsidRPr="00BE1636" w:rsidRDefault="00075D2E" w:rsidP="00B4011D">
            <w:pPr>
              <w:jc w:val="center"/>
              <w:cnfStyle w:val="000000000000" w:firstRow="0" w:lastRow="0" w:firstColumn="0" w:lastColumn="0" w:oddVBand="0" w:evenVBand="0" w:oddHBand="0" w:evenHBand="0" w:firstRowFirstColumn="0" w:firstRowLastColumn="0" w:lastRowFirstColumn="0" w:lastRowLastColumn="0"/>
            </w:pPr>
            <w:r>
              <w:t>77%</w:t>
            </w:r>
          </w:p>
        </w:tc>
        <w:tc>
          <w:tcPr>
            <w:tcW w:w="1120" w:type="dxa"/>
            <w:tcBorders>
              <w:right w:val="nil"/>
            </w:tcBorders>
          </w:tcPr>
          <w:p w14:paraId="23C2A713" w14:textId="77777777" w:rsidR="00075D2E" w:rsidRPr="00BE1636" w:rsidRDefault="00075D2E" w:rsidP="00B4011D">
            <w:pPr>
              <w:jc w:val="center"/>
              <w:cnfStyle w:val="000000000000" w:firstRow="0" w:lastRow="0" w:firstColumn="0" w:lastColumn="0" w:oddVBand="0" w:evenVBand="0" w:oddHBand="0" w:evenHBand="0" w:firstRowFirstColumn="0" w:firstRowLastColumn="0" w:lastRowFirstColumn="0" w:lastRowLastColumn="0"/>
            </w:pPr>
            <w:r>
              <w:t>13%</w:t>
            </w:r>
          </w:p>
        </w:tc>
        <w:tc>
          <w:tcPr>
            <w:tcW w:w="1121" w:type="dxa"/>
            <w:tcBorders>
              <w:left w:val="nil"/>
            </w:tcBorders>
          </w:tcPr>
          <w:p w14:paraId="7D9048C2" w14:textId="77777777" w:rsidR="00075D2E" w:rsidRPr="00BE1636" w:rsidRDefault="00075D2E" w:rsidP="00B4011D">
            <w:pPr>
              <w:jc w:val="center"/>
              <w:cnfStyle w:val="000000000000" w:firstRow="0" w:lastRow="0" w:firstColumn="0" w:lastColumn="0" w:oddVBand="0" w:evenVBand="0" w:oddHBand="0" w:evenHBand="0" w:firstRowFirstColumn="0" w:firstRowLastColumn="0" w:lastRowFirstColumn="0" w:lastRowLastColumn="0"/>
            </w:pPr>
            <w:r>
              <w:t>50%</w:t>
            </w:r>
          </w:p>
        </w:tc>
      </w:tr>
      <w:tr w:rsidR="00075D2E" w:rsidRPr="00BE1636" w14:paraId="692E3025" w14:textId="77777777" w:rsidTr="00B4011D">
        <w:trPr>
          <w:trHeight w:val="1995"/>
        </w:trPr>
        <w:tc>
          <w:tcPr>
            <w:cnfStyle w:val="001000000000" w:firstRow="0" w:lastRow="0" w:firstColumn="1" w:lastColumn="0" w:oddVBand="0" w:evenVBand="0" w:oddHBand="0" w:evenHBand="0" w:firstRowFirstColumn="0" w:firstRowLastColumn="0" w:lastRowFirstColumn="0" w:lastRowLastColumn="0"/>
            <w:tcW w:w="1036" w:type="dxa"/>
            <w:hideMark/>
          </w:tcPr>
          <w:p w14:paraId="0B219BD2" w14:textId="77777777" w:rsidR="00075D2E" w:rsidRPr="00BE1636" w:rsidRDefault="00075D2E" w:rsidP="00B4011D">
            <w:r w:rsidRPr="00BE1636">
              <w:t xml:space="preserve">EU/Top </w:t>
            </w:r>
            <w:r>
              <w:t>5 freeze</w:t>
            </w:r>
          </w:p>
        </w:tc>
        <w:tc>
          <w:tcPr>
            <w:tcW w:w="1633" w:type="dxa"/>
            <w:tcBorders>
              <w:right w:val="nil"/>
            </w:tcBorders>
          </w:tcPr>
          <w:p w14:paraId="23638748" w14:textId="77777777" w:rsidR="00075D2E" w:rsidRPr="00365A3B" w:rsidRDefault="00075D2E" w:rsidP="00B4011D">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Ceiling on imports from deforesting regions at 2020 levels</w:t>
            </w:r>
          </w:p>
        </w:tc>
        <w:tc>
          <w:tcPr>
            <w:tcW w:w="2210" w:type="dxa"/>
            <w:tcBorders>
              <w:left w:val="nil"/>
            </w:tcBorders>
            <w:hideMark/>
          </w:tcPr>
          <w:p w14:paraId="3C498D47" w14:textId="77777777" w:rsidR="00075D2E" w:rsidRPr="00365A3B" w:rsidRDefault="00075D2E" w:rsidP="00B4011D">
            <w:pPr>
              <w:cnfStyle w:val="000000000000" w:firstRow="0" w:lastRow="0" w:firstColumn="0" w:lastColumn="0" w:oddVBand="0" w:evenVBand="0" w:oddHBand="0" w:evenHBand="0" w:firstRowFirstColumn="0" w:firstRowLastColumn="0" w:lastRowFirstColumn="0" w:lastRowLastColumn="0"/>
              <w:rPr>
                <w:sz w:val="18"/>
                <w:szCs w:val="18"/>
              </w:rPr>
            </w:pPr>
            <w:r w:rsidRPr="00365A3B">
              <w:rPr>
                <w:sz w:val="18"/>
                <w:szCs w:val="18"/>
              </w:rPr>
              <w:t>EU and top 5 net importers for oil palm and soy:</w:t>
            </w:r>
          </w:p>
          <w:p w14:paraId="6CBDB881" w14:textId="77777777" w:rsidR="00075D2E" w:rsidRPr="00365A3B" w:rsidRDefault="00075D2E" w:rsidP="00B4011D">
            <w:pPr>
              <w:cnfStyle w:val="000000000000" w:firstRow="0" w:lastRow="0" w:firstColumn="0" w:lastColumn="0" w:oddVBand="0" w:evenVBand="0" w:oddHBand="0" w:evenHBand="0" w:firstRowFirstColumn="0" w:firstRowLastColumn="0" w:lastRowFirstColumn="0" w:lastRowLastColumn="0"/>
              <w:rPr>
                <w:sz w:val="18"/>
                <w:szCs w:val="18"/>
              </w:rPr>
            </w:pPr>
            <w:r w:rsidRPr="00365A3B">
              <w:rPr>
                <w:sz w:val="18"/>
                <w:szCs w:val="18"/>
              </w:rPr>
              <w:t> </w:t>
            </w:r>
          </w:p>
          <w:p w14:paraId="455C134A" w14:textId="77777777" w:rsidR="00075D2E" w:rsidRPr="00365A3B" w:rsidRDefault="00075D2E" w:rsidP="00B4011D">
            <w:pPr>
              <w:cnfStyle w:val="000000000000" w:firstRow="0" w:lastRow="0" w:firstColumn="0" w:lastColumn="0" w:oddVBand="0" w:evenVBand="0" w:oddHBand="0" w:evenHBand="0" w:firstRowFirstColumn="0" w:firstRowLastColumn="0" w:lastRowFirstColumn="0" w:lastRowLastColumn="0"/>
              <w:rPr>
                <w:sz w:val="18"/>
                <w:szCs w:val="18"/>
              </w:rPr>
            </w:pPr>
            <w:r w:rsidRPr="00365A3B">
              <w:rPr>
                <w:sz w:val="18"/>
                <w:szCs w:val="18"/>
              </w:rPr>
              <w:t>For oil palm: EU, India, China, Pakistan, Middle East, Australia_NZ</w:t>
            </w:r>
          </w:p>
          <w:p w14:paraId="785CE368" w14:textId="77777777" w:rsidR="00075D2E" w:rsidRPr="00365A3B" w:rsidRDefault="00075D2E" w:rsidP="00B4011D">
            <w:pPr>
              <w:cnfStyle w:val="000000000000" w:firstRow="0" w:lastRow="0" w:firstColumn="0" w:lastColumn="0" w:oddVBand="0" w:evenVBand="0" w:oddHBand="0" w:evenHBand="0" w:firstRowFirstColumn="0" w:firstRowLastColumn="0" w:lastRowFirstColumn="0" w:lastRowLastColumn="0"/>
              <w:rPr>
                <w:sz w:val="18"/>
                <w:szCs w:val="18"/>
              </w:rPr>
            </w:pPr>
            <w:r w:rsidRPr="00365A3B">
              <w:rPr>
                <w:sz w:val="18"/>
                <w:szCs w:val="18"/>
              </w:rPr>
              <w:t> </w:t>
            </w:r>
          </w:p>
          <w:p w14:paraId="1E8D11B5" w14:textId="77777777" w:rsidR="00075D2E" w:rsidRPr="00365A3B" w:rsidRDefault="00075D2E" w:rsidP="00B4011D">
            <w:pPr>
              <w:cnfStyle w:val="000000000000" w:firstRow="0" w:lastRow="0" w:firstColumn="0" w:lastColumn="0" w:oddVBand="0" w:evenVBand="0" w:oddHBand="0" w:evenHBand="0" w:firstRowFirstColumn="0" w:firstRowLastColumn="0" w:lastRowFirstColumn="0" w:lastRowLastColumn="0"/>
              <w:rPr>
                <w:sz w:val="18"/>
                <w:szCs w:val="18"/>
              </w:rPr>
            </w:pPr>
            <w:r w:rsidRPr="00365A3B">
              <w:rPr>
                <w:sz w:val="18"/>
                <w:szCs w:val="18"/>
              </w:rPr>
              <w:t xml:space="preserve">For soybean: EU, China, </w:t>
            </w:r>
            <w:r>
              <w:rPr>
                <w:sz w:val="18"/>
                <w:szCs w:val="18"/>
              </w:rPr>
              <w:t xml:space="preserve">rest of </w:t>
            </w:r>
            <w:r w:rsidRPr="00365A3B">
              <w:rPr>
                <w:sz w:val="18"/>
                <w:szCs w:val="18"/>
              </w:rPr>
              <w:t>Southeast Asia, Middle East, Africa_Northern, Indonesia</w:t>
            </w:r>
          </w:p>
        </w:tc>
        <w:tc>
          <w:tcPr>
            <w:tcW w:w="1120" w:type="dxa"/>
            <w:tcBorders>
              <w:right w:val="nil"/>
            </w:tcBorders>
            <w:hideMark/>
          </w:tcPr>
          <w:p w14:paraId="24ED0939" w14:textId="77777777" w:rsidR="00075D2E" w:rsidRPr="00BE1636" w:rsidRDefault="00075D2E" w:rsidP="00B4011D">
            <w:pPr>
              <w:jc w:val="center"/>
              <w:cnfStyle w:val="000000000000" w:firstRow="0" w:lastRow="0" w:firstColumn="0" w:lastColumn="0" w:oddVBand="0" w:evenVBand="0" w:oddHBand="0" w:evenHBand="0" w:firstRowFirstColumn="0" w:firstRowLastColumn="0" w:lastRowFirstColumn="0" w:lastRowLastColumn="0"/>
            </w:pPr>
            <w:r w:rsidRPr="00BE1636">
              <w:t>6</w:t>
            </w:r>
            <w:r>
              <w:t>4</w:t>
            </w:r>
            <w:r w:rsidRPr="00BE1636">
              <w:t>%</w:t>
            </w:r>
          </w:p>
        </w:tc>
        <w:tc>
          <w:tcPr>
            <w:tcW w:w="1120" w:type="dxa"/>
            <w:tcBorders>
              <w:left w:val="nil"/>
            </w:tcBorders>
            <w:hideMark/>
          </w:tcPr>
          <w:p w14:paraId="34879996" w14:textId="77777777" w:rsidR="00075D2E" w:rsidRPr="00BE1636" w:rsidRDefault="00075D2E" w:rsidP="00B4011D">
            <w:pPr>
              <w:jc w:val="center"/>
              <w:cnfStyle w:val="000000000000" w:firstRow="0" w:lastRow="0" w:firstColumn="0" w:lastColumn="0" w:oddVBand="0" w:evenVBand="0" w:oddHBand="0" w:evenHBand="0" w:firstRowFirstColumn="0" w:firstRowLastColumn="0" w:lastRowFirstColumn="0" w:lastRowLastColumn="0"/>
            </w:pPr>
            <w:r>
              <w:t>78%</w:t>
            </w:r>
          </w:p>
        </w:tc>
        <w:tc>
          <w:tcPr>
            <w:tcW w:w="1120" w:type="dxa"/>
            <w:tcBorders>
              <w:right w:val="nil"/>
            </w:tcBorders>
          </w:tcPr>
          <w:p w14:paraId="511BED14" w14:textId="77777777" w:rsidR="00075D2E" w:rsidRPr="00BE1636" w:rsidRDefault="00075D2E" w:rsidP="00B4011D">
            <w:pPr>
              <w:jc w:val="center"/>
              <w:cnfStyle w:val="000000000000" w:firstRow="0" w:lastRow="0" w:firstColumn="0" w:lastColumn="0" w:oddVBand="0" w:evenVBand="0" w:oddHBand="0" w:evenHBand="0" w:firstRowFirstColumn="0" w:firstRowLastColumn="0" w:lastRowFirstColumn="0" w:lastRowLastColumn="0"/>
            </w:pPr>
            <w:r>
              <w:t>33%</w:t>
            </w:r>
          </w:p>
        </w:tc>
        <w:tc>
          <w:tcPr>
            <w:tcW w:w="1121" w:type="dxa"/>
            <w:tcBorders>
              <w:left w:val="nil"/>
            </w:tcBorders>
          </w:tcPr>
          <w:p w14:paraId="3762ED16" w14:textId="77777777" w:rsidR="00075D2E" w:rsidRPr="00BE1636" w:rsidRDefault="00075D2E" w:rsidP="00B4011D">
            <w:pPr>
              <w:jc w:val="center"/>
              <w:cnfStyle w:val="000000000000" w:firstRow="0" w:lastRow="0" w:firstColumn="0" w:lastColumn="0" w:oddVBand="0" w:evenVBand="0" w:oddHBand="0" w:evenHBand="0" w:firstRowFirstColumn="0" w:firstRowLastColumn="0" w:lastRowFirstColumn="0" w:lastRowLastColumn="0"/>
            </w:pPr>
            <w:r>
              <w:t>61%</w:t>
            </w:r>
          </w:p>
        </w:tc>
      </w:tr>
      <w:tr w:rsidR="00075D2E" w:rsidRPr="00BE1636" w14:paraId="15111003" w14:textId="77777777" w:rsidTr="00B4011D">
        <w:trPr>
          <w:trHeight w:val="357"/>
        </w:trPr>
        <w:tc>
          <w:tcPr>
            <w:cnfStyle w:val="001000000000" w:firstRow="0" w:lastRow="0" w:firstColumn="1" w:lastColumn="0" w:oddVBand="0" w:evenVBand="0" w:oddHBand="0" w:evenHBand="0" w:firstRowFirstColumn="0" w:firstRowLastColumn="0" w:lastRowFirstColumn="0" w:lastRowLastColumn="0"/>
            <w:tcW w:w="1036" w:type="dxa"/>
          </w:tcPr>
          <w:p w14:paraId="2BF9DC66" w14:textId="77777777" w:rsidR="00075D2E" w:rsidRPr="00C20266" w:rsidRDefault="00075D2E" w:rsidP="00B4011D">
            <w:r w:rsidRPr="00C20266">
              <w:t>EU ban</w:t>
            </w:r>
          </w:p>
        </w:tc>
        <w:tc>
          <w:tcPr>
            <w:tcW w:w="1633" w:type="dxa"/>
            <w:tcBorders>
              <w:right w:val="nil"/>
            </w:tcBorders>
          </w:tcPr>
          <w:p w14:paraId="2B89108B" w14:textId="77777777" w:rsidR="00075D2E" w:rsidRDefault="00075D2E" w:rsidP="00B4011D">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Full ban on imports from deforesting regions </w:t>
            </w:r>
          </w:p>
        </w:tc>
        <w:tc>
          <w:tcPr>
            <w:tcW w:w="2210" w:type="dxa"/>
            <w:tcBorders>
              <w:left w:val="nil"/>
            </w:tcBorders>
          </w:tcPr>
          <w:p w14:paraId="444C7605" w14:textId="77777777" w:rsidR="00075D2E" w:rsidRPr="00365A3B" w:rsidRDefault="00075D2E" w:rsidP="00B4011D">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EU</w:t>
            </w:r>
          </w:p>
        </w:tc>
        <w:tc>
          <w:tcPr>
            <w:tcW w:w="1120" w:type="dxa"/>
            <w:tcBorders>
              <w:right w:val="nil"/>
            </w:tcBorders>
          </w:tcPr>
          <w:p w14:paraId="44586945" w14:textId="77777777" w:rsidR="00075D2E" w:rsidRPr="00BE1636" w:rsidRDefault="00075D2E" w:rsidP="00B4011D">
            <w:pPr>
              <w:jc w:val="center"/>
              <w:cnfStyle w:val="000000000000" w:firstRow="0" w:lastRow="0" w:firstColumn="0" w:lastColumn="0" w:oddVBand="0" w:evenVBand="0" w:oddHBand="0" w:evenHBand="0" w:firstRowFirstColumn="0" w:firstRowLastColumn="0" w:lastRowFirstColumn="0" w:lastRowLastColumn="0"/>
            </w:pPr>
            <w:r>
              <w:t>20%</w:t>
            </w:r>
          </w:p>
        </w:tc>
        <w:tc>
          <w:tcPr>
            <w:tcW w:w="1120" w:type="dxa"/>
            <w:tcBorders>
              <w:left w:val="nil"/>
            </w:tcBorders>
          </w:tcPr>
          <w:p w14:paraId="0ECB5289" w14:textId="77777777" w:rsidR="00075D2E" w:rsidRDefault="00075D2E" w:rsidP="00B4011D">
            <w:pPr>
              <w:jc w:val="center"/>
              <w:cnfStyle w:val="000000000000" w:firstRow="0" w:lastRow="0" w:firstColumn="0" w:lastColumn="0" w:oddVBand="0" w:evenVBand="0" w:oddHBand="0" w:evenHBand="0" w:firstRowFirstColumn="0" w:firstRowLastColumn="0" w:lastRowFirstColumn="0" w:lastRowLastColumn="0"/>
            </w:pPr>
            <w:r>
              <w:t>18%</w:t>
            </w:r>
          </w:p>
        </w:tc>
        <w:tc>
          <w:tcPr>
            <w:tcW w:w="1120" w:type="dxa"/>
            <w:tcBorders>
              <w:right w:val="nil"/>
            </w:tcBorders>
          </w:tcPr>
          <w:p w14:paraId="292A1CC6" w14:textId="77777777" w:rsidR="00075D2E" w:rsidRPr="00BE1636" w:rsidRDefault="00075D2E" w:rsidP="00B4011D">
            <w:pPr>
              <w:jc w:val="center"/>
              <w:cnfStyle w:val="000000000000" w:firstRow="0" w:lastRow="0" w:firstColumn="0" w:lastColumn="0" w:oddVBand="0" w:evenVBand="0" w:oddHBand="0" w:evenHBand="0" w:firstRowFirstColumn="0" w:firstRowLastColumn="0" w:lastRowFirstColumn="0" w:lastRowLastColumn="0"/>
            </w:pPr>
            <w:r>
              <w:t>-15%</w:t>
            </w:r>
          </w:p>
        </w:tc>
        <w:tc>
          <w:tcPr>
            <w:tcW w:w="1121" w:type="dxa"/>
            <w:tcBorders>
              <w:left w:val="nil"/>
            </w:tcBorders>
          </w:tcPr>
          <w:p w14:paraId="4F9EAAF3" w14:textId="77777777" w:rsidR="00075D2E" w:rsidRPr="00BE1636" w:rsidRDefault="00075D2E" w:rsidP="00B4011D">
            <w:pPr>
              <w:jc w:val="center"/>
              <w:cnfStyle w:val="000000000000" w:firstRow="0" w:lastRow="0" w:firstColumn="0" w:lastColumn="0" w:oddVBand="0" w:evenVBand="0" w:oddHBand="0" w:evenHBand="0" w:firstRowFirstColumn="0" w:firstRowLastColumn="0" w:lastRowFirstColumn="0" w:lastRowLastColumn="0"/>
            </w:pPr>
            <w:r>
              <w:t>38%</w:t>
            </w:r>
          </w:p>
        </w:tc>
      </w:tr>
      <w:tr w:rsidR="00075D2E" w:rsidRPr="00BE1636" w14:paraId="5D404A79" w14:textId="77777777" w:rsidTr="00B4011D">
        <w:trPr>
          <w:trHeight w:val="357"/>
        </w:trPr>
        <w:tc>
          <w:tcPr>
            <w:cnfStyle w:val="001000000000" w:firstRow="0" w:lastRow="0" w:firstColumn="1" w:lastColumn="0" w:oddVBand="0" w:evenVBand="0" w:oddHBand="0" w:evenHBand="0" w:firstRowFirstColumn="0" w:firstRowLastColumn="0" w:lastRowFirstColumn="0" w:lastRowLastColumn="0"/>
            <w:tcW w:w="1036" w:type="dxa"/>
          </w:tcPr>
          <w:p w14:paraId="4A9FED80" w14:textId="77777777" w:rsidR="00075D2E" w:rsidRPr="00C20266" w:rsidRDefault="00075D2E" w:rsidP="00B4011D">
            <w:r w:rsidRPr="00C20266">
              <w:t xml:space="preserve">Land </w:t>
            </w:r>
            <w:proofErr w:type="gramStart"/>
            <w:r w:rsidRPr="00C20266">
              <w:t>protect</w:t>
            </w:r>
            <w:proofErr w:type="gramEnd"/>
          </w:p>
        </w:tc>
        <w:tc>
          <w:tcPr>
            <w:tcW w:w="1633" w:type="dxa"/>
            <w:tcBorders>
              <w:right w:val="nil"/>
            </w:tcBorders>
          </w:tcPr>
          <w:p w14:paraId="746719FE" w14:textId="77777777" w:rsidR="00075D2E" w:rsidRPr="00C5079D" w:rsidRDefault="00075D2E" w:rsidP="00B4011D">
            <w:pPr>
              <w:cnfStyle w:val="000000000000" w:firstRow="0" w:lastRow="0" w:firstColumn="0" w:lastColumn="0" w:oddVBand="0" w:evenVBand="0" w:oddHBand="0" w:evenHBand="0" w:firstRowFirstColumn="0" w:firstRowLastColumn="0" w:lastRowFirstColumn="0" w:lastRowLastColumn="0"/>
              <w:rPr>
                <w:i/>
                <w:iCs/>
                <w:sz w:val="18"/>
                <w:szCs w:val="18"/>
              </w:rPr>
            </w:pPr>
            <w:r>
              <w:rPr>
                <w:sz w:val="18"/>
                <w:szCs w:val="18"/>
              </w:rPr>
              <w:t xml:space="preserve">Protect forest land in each deforesting region equivalent to land reduced from oil palm and soy production in </w:t>
            </w:r>
            <w:r>
              <w:rPr>
                <w:i/>
                <w:iCs/>
                <w:sz w:val="18"/>
                <w:szCs w:val="18"/>
              </w:rPr>
              <w:t>HighInc freeze -</w:t>
            </w:r>
            <w:r>
              <w:rPr>
                <w:sz w:val="18"/>
                <w:szCs w:val="18"/>
              </w:rPr>
              <w:t xml:space="preserve"> </w:t>
            </w:r>
            <w:r>
              <w:rPr>
                <w:i/>
                <w:iCs/>
                <w:sz w:val="18"/>
                <w:szCs w:val="18"/>
              </w:rPr>
              <w:t>REF</w:t>
            </w:r>
          </w:p>
        </w:tc>
        <w:tc>
          <w:tcPr>
            <w:tcW w:w="2210" w:type="dxa"/>
            <w:tcBorders>
              <w:left w:val="nil"/>
            </w:tcBorders>
          </w:tcPr>
          <w:p w14:paraId="325D24F4" w14:textId="77777777" w:rsidR="00075D2E" w:rsidRDefault="00075D2E" w:rsidP="00B4011D">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n/a</w:t>
            </w:r>
          </w:p>
        </w:tc>
        <w:tc>
          <w:tcPr>
            <w:tcW w:w="1120" w:type="dxa"/>
            <w:tcBorders>
              <w:right w:val="nil"/>
            </w:tcBorders>
          </w:tcPr>
          <w:p w14:paraId="3A5F6BE6" w14:textId="77777777" w:rsidR="00075D2E" w:rsidRDefault="00075D2E" w:rsidP="00B4011D">
            <w:pPr>
              <w:jc w:val="center"/>
              <w:cnfStyle w:val="000000000000" w:firstRow="0" w:lastRow="0" w:firstColumn="0" w:lastColumn="0" w:oddVBand="0" w:evenVBand="0" w:oddHBand="0" w:evenHBand="0" w:firstRowFirstColumn="0" w:firstRowLastColumn="0" w:lastRowFirstColumn="0" w:lastRowLastColumn="0"/>
            </w:pPr>
          </w:p>
        </w:tc>
        <w:tc>
          <w:tcPr>
            <w:tcW w:w="1120" w:type="dxa"/>
            <w:tcBorders>
              <w:left w:val="nil"/>
            </w:tcBorders>
          </w:tcPr>
          <w:p w14:paraId="79BB266D" w14:textId="77777777" w:rsidR="00075D2E" w:rsidRDefault="00075D2E" w:rsidP="00B4011D">
            <w:pPr>
              <w:jc w:val="center"/>
              <w:cnfStyle w:val="000000000000" w:firstRow="0" w:lastRow="0" w:firstColumn="0" w:lastColumn="0" w:oddVBand="0" w:evenVBand="0" w:oddHBand="0" w:evenHBand="0" w:firstRowFirstColumn="0" w:firstRowLastColumn="0" w:lastRowFirstColumn="0" w:lastRowLastColumn="0"/>
            </w:pPr>
          </w:p>
        </w:tc>
        <w:tc>
          <w:tcPr>
            <w:tcW w:w="1120" w:type="dxa"/>
            <w:tcBorders>
              <w:right w:val="nil"/>
            </w:tcBorders>
          </w:tcPr>
          <w:p w14:paraId="1BBE1591" w14:textId="77777777" w:rsidR="00075D2E" w:rsidRDefault="00075D2E" w:rsidP="00B4011D">
            <w:pPr>
              <w:jc w:val="center"/>
              <w:cnfStyle w:val="000000000000" w:firstRow="0" w:lastRow="0" w:firstColumn="0" w:lastColumn="0" w:oddVBand="0" w:evenVBand="0" w:oddHBand="0" w:evenHBand="0" w:firstRowFirstColumn="0" w:firstRowLastColumn="0" w:lastRowFirstColumn="0" w:lastRowLastColumn="0"/>
            </w:pPr>
          </w:p>
        </w:tc>
        <w:tc>
          <w:tcPr>
            <w:tcW w:w="1121" w:type="dxa"/>
            <w:tcBorders>
              <w:left w:val="nil"/>
            </w:tcBorders>
          </w:tcPr>
          <w:p w14:paraId="664E19CA" w14:textId="77777777" w:rsidR="00075D2E" w:rsidRDefault="00075D2E" w:rsidP="00B4011D">
            <w:pPr>
              <w:jc w:val="center"/>
              <w:cnfStyle w:val="000000000000" w:firstRow="0" w:lastRow="0" w:firstColumn="0" w:lastColumn="0" w:oddVBand="0" w:evenVBand="0" w:oddHBand="0" w:evenHBand="0" w:firstRowFirstColumn="0" w:firstRowLastColumn="0" w:lastRowFirstColumn="0" w:lastRowLastColumn="0"/>
            </w:pPr>
          </w:p>
        </w:tc>
      </w:tr>
    </w:tbl>
    <w:p w14:paraId="0CC323FB" w14:textId="77777777" w:rsidR="00075D2E" w:rsidRPr="00075D2E" w:rsidRDefault="00075D2E" w:rsidP="00075D2E"/>
    <w:p w14:paraId="184C5AE4" w14:textId="052955F0" w:rsidR="007777D1" w:rsidRDefault="00774B2E">
      <w:r>
        <w:t>A</w:t>
      </w:r>
      <w:r w:rsidR="00355ED9">
        <w:t xml:space="preserve"> key insight from our study</w:t>
      </w:r>
      <w:r>
        <w:t xml:space="preserve"> is </w:t>
      </w:r>
      <w:r w:rsidR="00355ED9">
        <w:t>that EU-only policy (</w:t>
      </w:r>
      <w:r w:rsidR="00355ED9">
        <w:rPr>
          <w:i/>
          <w:iCs/>
        </w:rPr>
        <w:t>EU freeze</w:t>
      </w:r>
      <w:r w:rsidR="00355ED9">
        <w:t xml:space="preserve"> scenario</w:t>
      </w:r>
      <w:r w:rsidR="00355ED9">
        <w:rPr>
          <w:i/>
          <w:iCs/>
        </w:rPr>
        <w:t xml:space="preserve">) </w:t>
      </w:r>
      <w:r w:rsidR="00355ED9">
        <w:t>has minimal impact i</w:t>
      </w:r>
      <w:r>
        <w:t>n reducing oil palm and soy production from deforesting regions</w:t>
      </w:r>
      <w:r w:rsidR="0037172E">
        <w:t xml:space="preserve"> relative to our </w:t>
      </w:r>
      <w:r w:rsidR="0037172E">
        <w:rPr>
          <w:i/>
          <w:iCs/>
        </w:rPr>
        <w:t xml:space="preserve">REF </w:t>
      </w:r>
      <w:r w:rsidR="0037172E">
        <w:t>scenario</w:t>
      </w:r>
      <w:r>
        <w:t xml:space="preserve">, and consequently, minimal impacts on </w:t>
      </w:r>
      <w:r w:rsidR="00000A7F">
        <w:t xml:space="preserve">land-use changes, LUC emissions, and economic impacts. The key </w:t>
      </w:r>
      <w:r w:rsidR="00563168">
        <w:t xml:space="preserve">reason driving this </w:t>
      </w:r>
      <w:r w:rsidR="00563168">
        <w:lastRenderedPageBreak/>
        <w:t xml:space="preserve">outcome is that the EU region alone </w:t>
      </w:r>
      <w:r w:rsidR="00791232">
        <w:t>makes up a small fraction</w:t>
      </w:r>
      <w:r w:rsidR="00BE7D8F">
        <w:t xml:space="preserve"> </w:t>
      </w:r>
      <w:r w:rsidR="00791232">
        <w:t xml:space="preserve">of demand for palm and soy (see </w:t>
      </w:r>
      <w:r w:rsidR="007777D1">
        <w:t xml:space="preserve">column (A) </w:t>
      </w:r>
      <w:r w:rsidR="00791232">
        <w:t xml:space="preserve">in </w:t>
      </w:r>
      <w:r w:rsidR="00791232" w:rsidRPr="007777D1">
        <w:rPr>
          <w:b/>
          <w:bCs/>
        </w:rPr>
        <w:t>Table S4</w:t>
      </w:r>
      <w:r w:rsidR="00791232">
        <w:t xml:space="preserve"> above)</w:t>
      </w:r>
      <w:r w:rsidR="00BE7D8F">
        <w:t xml:space="preserve">. In contrast, when additional regions impose import restrictions (as in the </w:t>
      </w:r>
      <w:r w:rsidR="00BE7D8F">
        <w:rPr>
          <w:i/>
          <w:iCs/>
        </w:rPr>
        <w:t>HighInc freeze</w:t>
      </w:r>
      <w:r w:rsidR="00BE7D8F">
        <w:t xml:space="preserve"> and </w:t>
      </w:r>
      <w:r w:rsidR="00BE7D8F">
        <w:rPr>
          <w:i/>
          <w:iCs/>
        </w:rPr>
        <w:t>EU/Top5 freeze</w:t>
      </w:r>
      <w:r w:rsidR="00BE7D8F">
        <w:t xml:space="preserve"> scenarios), </w:t>
      </w:r>
      <w:r w:rsidR="003A1C51">
        <w:t>larger fractions of import demand are constrained.</w:t>
      </w:r>
      <w:r w:rsidR="00BE7D8F">
        <w:t xml:space="preserve"> </w:t>
      </w:r>
      <w:r w:rsidR="0077648A">
        <w:t xml:space="preserve">Furthermore, the EU region </w:t>
      </w:r>
      <w:r w:rsidR="007628E7">
        <w:t>has smaller increases in soy demand</w:t>
      </w:r>
      <w:r w:rsidR="00E96882">
        <w:t xml:space="preserve"> an</w:t>
      </w:r>
      <w:r w:rsidR="00BE7E92">
        <w:t>d</w:t>
      </w:r>
      <w:r w:rsidR="00E96882">
        <w:t xml:space="preserve"> has decreases in </w:t>
      </w:r>
      <w:r w:rsidR="003A1C51">
        <w:t xml:space="preserve">palm demand, compared to the set of import-restricting regions in the </w:t>
      </w:r>
      <w:r w:rsidR="003A1C51">
        <w:rPr>
          <w:i/>
          <w:iCs/>
        </w:rPr>
        <w:t>HighInc freeze</w:t>
      </w:r>
      <w:r w:rsidR="003A1C51">
        <w:t xml:space="preserve"> and </w:t>
      </w:r>
      <w:r w:rsidR="003A1C51">
        <w:rPr>
          <w:i/>
          <w:iCs/>
        </w:rPr>
        <w:t>EU/Top5 freeze</w:t>
      </w:r>
      <w:r w:rsidR="003A1C51">
        <w:t xml:space="preserve"> scenarios (</w:t>
      </w:r>
      <w:r w:rsidR="007777D1">
        <w:t xml:space="preserve">see column (B) in </w:t>
      </w:r>
      <w:r w:rsidR="007777D1" w:rsidRPr="007777D1">
        <w:rPr>
          <w:b/>
          <w:bCs/>
        </w:rPr>
        <w:t>Table S4</w:t>
      </w:r>
      <w:r w:rsidR="007777D1">
        <w:t xml:space="preserve"> above). </w:t>
      </w:r>
    </w:p>
    <w:p w14:paraId="70546121" w14:textId="0867179D" w:rsidR="00BD28DB" w:rsidRDefault="005558F7">
      <w:r>
        <w:t>EU’s</w:t>
      </w:r>
      <w:r w:rsidR="007777D1">
        <w:t xml:space="preserve"> small and diminishing share of </w:t>
      </w:r>
      <w:r>
        <w:t>global demand for palm and soy is driven by underlying demographic changes, as high-income regions in the EU are projected to have declining population in the coming decades</w:t>
      </w:r>
      <w:r w:rsidR="0047709A">
        <w:t>, leading to decreased demand</w:t>
      </w:r>
      <w:r w:rsidR="00301CF5">
        <w:t xml:space="preserve"> for oil crops.</w:t>
      </w:r>
      <w:r w:rsidR="0047709A">
        <w:t xml:space="preserve"> Furthermore,</w:t>
      </w:r>
      <w:r w:rsidR="000A3E27">
        <w:t xml:space="preserve"> given the EU’s stringent NDC </w:t>
      </w:r>
      <w:r w:rsidR="00A17A53">
        <w:t xml:space="preserve">targets, our scenarios project increased electrification and therefore lower demand for </w:t>
      </w:r>
      <w:r w:rsidR="00A0081F">
        <w:t xml:space="preserve">1G-based bio-liquids. </w:t>
      </w:r>
      <w:r w:rsidR="00F12FDD">
        <w:t xml:space="preserve">These underlying trends, which are </w:t>
      </w:r>
      <w:r w:rsidR="00B16AC5">
        <w:t xml:space="preserve">already reflected in our baseline </w:t>
      </w:r>
      <w:r w:rsidR="00B16AC5">
        <w:rPr>
          <w:i/>
          <w:iCs/>
        </w:rPr>
        <w:t>REF</w:t>
      </w:r>
      <w:r w:rsidR="00B16AC5">
        <w:t xml:space="preserve"> scenario explain why the </w:t>
      </w:r>
      <w:r w:rsidR="00B16AC5">
        <w:rPr>
          <w:i/>
          <w:iCs/>
        </w:rPr>
        <w:t>EU freeze</w:t>
      </w:r>
      <w:r w:rsidR="00B16AC5">
        <w:t xml:space="preserve"> scenario has minimal impact.</w:t>
      </w:r>
      <w:r w:rsidR="0047709A">
        <w:t xml:space="preserve"> </w:t>
      </w:r>
    </w:p>
    <w:p w14:paraId="760194C2" w14:textId="77777777" w:rsidR="00BD28DB" w:rsidRDefault="00BD28DB">
      <w:r>
        <w:br w:type="page"/>
      </w:r>
    </w:p>
    <w:p w14:paraId="655FEA15" w14:textId="7E21C375" w:rsidR="000D2B4E" w:rsidRDefault="008A3FD0" w:rsidP="008A3FD0">
      <w:pPr>
        <w:pStyle w:val="Heading2"/>
      </w:pPr>
      <w:bookmarkStart w:id="2" w:name="_Toc175849300"/>
      <w:r>
        <w:lastRenderedPageBreak/>
        <w:t>S2.</w:t>
      </w:r>
      <w:r w:rsidR="00586157">
        <w:t>1</w:t>
      </w:r>
      <w:r>
        <w:t xml:space="preserve"> </w:t>
      </w:r>
      <w:r w:rsidR="008B33AE">
        <w:t>Reference scenario</w:t>
      </w:r>
      <w:bookmarkEnd w:id="2"/>
    </w:p>
    <w:p w14:paraId="17A313B4" w14:textId="42392B11" w:rsidR="008B33AE" w:rsidRDefault="004B5139" w:rsidP="004B5139">
      <w:pPr>
        <w:ind w:firstLine="720"/>
        <w:rPr>
          <w:rFonts w:cstheme="minorHAnsi"/>
        </w:rPr>
      </w:pPr>
      <w:r>
        <w:t xml:space="preserve">Our baseline </w:t>
      </w:r>
      <w:r>
        <w:rPr>
          <w:i/>
          <w:iCs/>
        </w:rPr>
        <w:t xml:space="preserve">REF </w:t>
      </w:r>
      <w:r>
        <w:t>scenario is consistent with limiting warming to 2</w:t>
      </w:r>
      <w:r w:rsidRPr="00191A97">
        <w:rPr>
          <w:rFonts w:cstheme="minorHAnsi"/>
        </w:rPr>
        <w:t>°C</w:t>
      </w:r>
      <w:r>
        <w:rPr>
          <w:rFonts w:cstheme="minorHAnsi"/>
        </w:rPr>
        <w:t xml:space="preserve"> by 2100. This</w:t>
      </w:r>
      <w:r>
        <w:rPr>
          <w:rFonts w:cstheme="minorHAnsi"/>
          <w:i/>
          <w:iCs/>
        </w:rPr>
        <w:t xml:space="preserve"> </w:t>
      </w:r>
      <w:r>
        <w:rPr>
          <w:rFonts w:cstheme="minorHAnsi"/>
        </w:rPr>
        <w:t>scenario includes emission constraints on FFI emissions for each GCAM region, consistent with “NDC++” pathways in Iyer et al. (2022)</w:t>
      </w:r>
      <w:r w:rsidR="00BD3382">
        <w:rPr>
          <w:rFonts w:cstheme="minorHAnsi"/>
        </w:rPr>
        <w:fldChar w:fldCharType="begin"/>
      </w:r>
      <w:r w:rsidR="00435480">
        <w:rPr>
          <w:rFonts w:cstheme="minorHAnsi"/>
        </w:rPr>
        <w:instrText xml:space="preserve"> ADDIN ZOTERO_ITEM CSL_CITATION {"citationID":"1kniwt7x","properties":{"formattedCitation":"\\super 15\\nosupersub{}","plainCitation":"15","noteIndex":0},"citationItems":[{"id":161,"uris":["http://zotero.org/users/11039783/items/5K2Z8SF2"],"itemData":{"id":161,"type":"article-journal","container-title":"Nature Climate Change","DOI":"10.1038/s41558-022-01508-0","ISSN":"1758-678X, 1758-6798","issue":"12","journalAbbreviation":"Nat. Clim. Chang.","language":"en","page":"1129-1135","source":"DOI.org (Crossref)","title":"Ratcheting of climate pledges needed to limit peak global warming","volume":"12","author":[{"family":"Iyer","given":"Gokul"},{"family":"Ou","given":"Yang"},{"family":"Edmonds","given":"James"},{"family":"Fawcett","given":"Allen A."},{"family":"Hultman","given":"Nathan"},{"family":"McFarland","given":"James"},{"family":"Fuhrman","given":"Jay"},{"family":"Waldhoff","given":"Stephanie"},{"family":"McJeon","given":"Haewon"}],"issued":{"date-parts":[["2022",12]]}}}],"schema":"https://github.com/citation-style-language/schema/raw/master/csl-citation.json"} </w:instrText>
      </w:r>
      <w:r w:rsidR="00BD3382">
        <w:rPr>
          <w:rFonts w:cstheme="minorHAnsi"/>
        </w:rPr>
        <w:fldChar w:fldCharType="separate"/>
      </w:r>
      <w:r w:rsidR="00435480" w:rsidRPr="00435480">
        <w:rPr>
          <w:rFonts w:ascii="Calibri" w:hAnsi="Calibri" w:cs="Calibri"/>
          <w:szCs w:val="24"/>
          <w:vertAlign w:val="superscript"/>
        </w:rPr>
        <w:t>15</w:t>
      </w:r>
      <w:r w:rsidR="00BD3382">
        <w:rPr>
          <w:rFonts w:cstheme="minorHAnsi"/>
        </w:rPr>
        <w:fldChar w:fldCharType="end"/>
      </w:r>
      <w:r>
        <w:rPr>
          <w:rFonts w:cstheme="minorHAnsi"/>
        </w:rPr>
        <w:t>. Further, we included a global bioenergy constraint, limiting 1</w:t>
      </w:r>
      <w:r w:rsidRPr="0092564D">
        <w:rPr>
          <w:rFonts w:cstheme="minorHAnsi"/>
          <w:vertAlign w:val="superscript"/>
        </w:rPr>
        <w:t>st</w:t>
      </w:r>
      <w:r>
        <w:rPr>
          <w:rFonts w:cstheme="minorHAnsi"/>
        </w:rPr>
        <w:t xml:space="preserve"> and 2</w:t>
      </w:r>
      <w:r w:rsidRPr="0092564D">
        <w:rPr>
          <w:rFonts w:cstheme="minorHAnsi"/>
          <w:vertAlign w:val="superscript"/>
        </w:rPr>
        <w:t>nd</w:t>
      </w:r>
      <w:r>
        <w:rPr>
          <w:rFonts w:cstheme="minorHAnsi"/>
        </w:rPr>
        <w:t xml:space="preserve"> generation bioenergy to less than 33.4 EJ in 2020, increasing linearly to 41.7 EJ in 2030</w:t>
      </w:r>
      <w:r w:rsidR="00B65973">
        <w:rPr>
          <w:rFonts w:cstheme="minorHAnsi"/>
        </w:rPr>
        <w:t xml:space="preserve"> and</w:t>
      </w:r>
      <w:r>
        <w:rPr>
          <w:rFonts w:cstheme="minorHAnsi"/>
        </w:rPr>
        <w:t xml:space="preserve"> 58.4 EJ in 2050</w:t>
      </w:r>
      <w:r w:rsidR="00B65973">
        <w:rPr>
          <w:rFonts w:cstheme="minorHAnsi"/>
        </w:rPr>
        <w:t xml:space="preserve"> (100 EJ in 2100).</w:t>
      </w:r>
    </w:p>
    <w:p w14:paraId="78645EB6" w14:textId="21DA104D" w:rsidR="00650F77" w:rsidRDefault="000620CC" w:rsidP="004B5139">
      <w:pPr>
        <w:ind w:firstLine="720"/>
        <w:rPr>
          <w:rFonts w:cstheme="minorHAnsi"/>
          <w:b/>
          <w:bCs/>
        </w:rPr>
      </w:pPr>
      <w:r>
        <w:rPr>
          <w:rFonts w:cstheme="minorHAnsi"/>
          <w:noProof/>
        </w:rPr>
        <w:drawing>
          <wp:inline distT="0" distB="0" distL="0" distR="0" wp14:anchorId="3CF72C40" wp14:editId="072E20FD">
            <wp:extent cx="5096178" cy="3638259"/>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108702" cy="3647200"/>
                    </a:xfrm>
                    <a:prstGeom prst="rect">
                      <a:avLst/>
                    </a:prstGeom>
                    <a:noFill/>
                    <a:ln>
                      <a:noFill/>
                    </a:ln>
                  </pic:spPr>
                </pic:pic>
              </a:graphicData>
            </a:graphic>
          </wp:inline>
        </w:drawing>
      </w:r>
    </w:p>
    <w:p w14:paraId="3F76BF84" w14:textId="56DDE562" w:rsidR="008C2AB7" w:rsidRPr="008C2AB7" w:rsidRDefault="008C2AB7" w:rsidP="004B5139">
      <w:pPr>
        <w:ind w:firstLine="720"/>
        <w:rPr>
          <w:rFonts w:cstheme="minorHAnsi"/>
          <w:b/>
          <w:bCs/>
        </w:rPr>
      </w:pPr>
      <w:r>
        <w:rPr>
          <w:rFonts w:cstheme="minorHAnsi"/>
          <w:b/>
          <w:bCs/>
        </w:rPr>
        <w:t xml:space="preserve">Figure S2. Global 1G and 2G biomass liquids production in </w:t>
      </w:r>
      <w:r>
        <w:rPr>
          <w:rFonts w:cstheme="minorHAnsi"/>
          <w:b/>
          <w:bCs/>
          <w:i/>
          <w:iCs/>
        </w:rPr>
        <w:t>REF</w:t>
      </w:r>
      <w:r>
        <w:rPr>
          <w:rFonts w:cstheme="minorHAnsi"/>
          <w:b/>
          <w:bCs/>
        </w:rPr>
        <w:t xml:space="preserve"> scenario. </w:t>
      </w:r>
    </w:p>
    <w:p w14:paraId="79D1F622" w14:textId="195BA3AA" w:rsidR="00AB1A10" w:rsidRDefault="00AB1A10" w:rsidP="00AB1A10">
      <w:pPr>
        <w:ind w:firstLine="720"/>
        <w:rPr>
          <w:rFonts w:cstheme="minorHAnsi"/>
        </w:rPr>
      </w:pPr>
      <w:r>
        <w:rPr>
          <w:rFonts w:cstheme="minorHAnsi"/>
        </w:rPr>
        <w:t xml:space="preserve">The trajectory of first- versus second-generation liquid biofuels in our </w:t>
      </w:r>
      <w:r>
        <w:rPr>
          <w:rFonts w:cstheme="minorHAnsi"/>
          <w:i/>
          <w:iCs/>
        </w:rPr>
        <w:t>REF</w:t>
      </w:r>
      <w:r>
        <w:rPr>
          <w:rFonts w:cstheme="minorHAnsi"/>
        </w:rPr>
        <w:t xml:space="preserve"> scenario </w:t>
      </w:r>
      <w:r>
        <w:rPr>
          <w:rFonts w:cstheme="minorHAnsi"/>
          <w:b/>
          <w:bCs/>
        </w:rPr>
        <w:t xml:space="preserve">(Figure S2) </w:t>
      </w:r>
      <w:r>
        <w:rPr>
          <w:rFonts w:cstheme="minorHAnsi"/>
        </w:rPr>
        <w:t>has important implications for near-term versus longer-term (</w:t>
      </w:r>
      <w:r w:rsidR="00AF5146">
        <w:rPr>
          <w:rFonts w:cstheme="minorHAnsi"/>
        </w:rPr>
        <w:t>i.e.,</w:t>
      </w:r>
      <w:r>
        <w:rPr>
          <w:rFonts w:cstheme="minorHAnsi"/>
        </w:rPr>
        <w:t xml:space="preserve"> 2030 versus 2050) in our results (see discussion in </w:t>
      </w:r>
      <w:r w:rsidRPr="009812C8">
        <w:rPr>
          <w:rFonts w:cstheme="minorHAnsi"/>
          <w:b/>
          <w:bCs/>
        </w:rPr>
        <w:t>section S3</w:t>
      </w:r>
      <w:r>
        <w:rPr>
          <w:rFonts w:cstheme="minorHAnsi"/>
        </w:rPr>
        <w:t xml:space="preserve"> below). Changes in production of first-generation biodiesel from oil crops (soy, palm oil, or other oil crops) are minimal over the coming decades, with small declines in 2050 relative to 2020 levels. In contrast, production of second-generation liquid biofuels grows significantly from 2035 onward.  </w:t>
      </w:r>
    </w:p>
    <w:p w14:paraId="56E2BAC4" w14:textId="77777777" w:rsidR="00D15A24" w:rsidRDefault="00D15A24">
      <w:pPr>
        <w:rPr>
          <w:rFonts w:asciiTheme="majorHAnsi" w:eastAsiaTheme="majorEastAsia" w:hAnsiTheme="majorHAnsi" w:cstheme="majorBidi"/>
          <w:color w:val="2F5496" w:themeColor="accent1" w:themeShade="BF"/>
          <w:sz w:val="26"/>
          <w:szCs w:val="26"/>
        </w:rPr>
      </w:pPr>
      <w:r>
        <w:br w:type="page"/>
      </w:r>
    </w:p>
    <w:p w14:paraId="7E57709E" w14:textId="1AE82511" w:rsidR="0050736D" w:rsidRDefault="0050736D" w:rsidP="0050736D">
      <w:pPr>
        <w:pStyle w:val="Heading2"/>
      </w:pPr>
      <w:bookmarkStart w:id="3" w:name="_Toc175849301"/>
      <w:r>
        <w:lastRenderedPageBreak/>
        <w:t>S2.</w:t>
      </w:r>
      <w:r w:rsidR="00586157">
        <w:t>2</w:t>
      </w:r>
      <w:r>
        <w:t xml:space="preserve"> Import restriction </w:t>
      </w:r>
      <w:proofErr w:type="gramStart"/>
      <w:r>
        <w:t>scenarios</w:t>
      </w:r>
      <w:bookmarkEnd w:id="3"/>
      <w:proofErr w:type="gramEnd"/>
    </w:p>
    <w:p w14:paraId="0248DF37" w14:textId="160EC953" w:rsidR="008A384C" w:rsidRPr="008A384C" w:rsidRDefault="008A384C" w:rsidP="008A21FE">
      <w:pPr>
        <w:ind w:firstLine="720"/>
        <w:rPr>
          <w:b/>
          <w:bCs/>
        </w:rPr>
      </w:pPr>
      <w:r>
        <w:t xml:space="preserve">The import restriction scenarios were modeled by including import constraints between source and destination markets for oil palm and soybean trade. Restricted export markets were defined as regions deforesting between 2015-2050 in the </w:t>
      </w:r>
      <w:r>
        <w:rPr>
          <w:i/>
          <w:iCs/>
        </w:rPr>
        <w:t xml:space="preserve">REF </w:t>
      </w:r>
      <w:r>
        <w:t>scenario (</w:t>
      </w:r>
      <w:r>
        <w:rPr>
          <w:b/>
          <w:bCs/>
        </w:rPr>
        <w:t>Figure S3).</w:t>
      </w:r>
    </w:p>
    <w:p w14:paraId="43E18A14" w14:textId="45D05FB4" w:rsidR="0099501C" w:rsidRDefault="0072736E">
      <w:r>
        <w:rPr>
          <w:noProof/>
        </w:rPr>
        <w:drawing>
          <wp:inline distT="0" distB="0" distL="0" distR="0" wp14:anchorId="22D728CD" wp14:editId="1E4A5D70">
            <wp:extent cx="5943600" cy="3459211"/>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51893" cy="3464038"/>
                    </a:xfrm>
                    <a:prstGeom prst="rect">
                      <a:avLst/>
                    </a:prstGeom>
                    <a:noFill/>
                  </pic:spPr>
                </pic:pic>
              </a:graphicData>
            </a:graphic>
          </wp:inline>
        </w:drawing>
      </w:r>
    </w:p>
    <w:p w14:paraId="1699CFB7" w14:textId="3FF99ED9" w:rsidR="00E11F20" w:rsidRDefault="00E11F20" w:rsidP="00C72965">
      <w:r w:rsidRPr="00E4300E">
        <w:rPr>
          <w:b/>
          <w:bCs/>
        </w:rPr>
        <w:t>Figure S</w:t>
      </w:r>
      <w:r w:rsidR="00657F82">
        <w:rPr>
          <w:b/>
          <w:bCs/>
        </w:rPr>
        <w:t>3</w:t>
      </w:r>
      <w:r w:rsidRPr="00E4300E">
        <w:rPr>
          <w:b/>
          <w:bCs/>
        </w:rPr>
        <w:t>.</w:t>
      </w:r>
      <w:r w:rsidR="00E4300E" w:rsidRPr="00E4300E">
        <w:rPr>
          <w:b/>
          <w:bCs/>
        </w:rPr>
        <w:t xml:space="preserve"> </w:t>
      </w:r>
      <w:r w:rsidR="005F4448">
        <w:rPr>
          <w:b/>
          <w:bCs/>
        </w:rPr>
        <w:t>Restricted</w:t>
      </w:r>
      <w:r w:rsidR="00747365">
        <w:rPr>
          <w:b/>
          <w:bCs/>
        </w:rPr>
        <w:t xml:space="preserve"> </w:t>
      </w:r>
      <w:r w:rsidR="005F4448">
        <w:rPr>
          <w:b/>
          <w:bCs/>
        </w:rPr>
        <w:t>export</w:t>
      </w:r>
      <w:r w:rsidR="00E4300E" w:rsidRPr="00E4300E">
        <w:rPr>
          <w:b/>
          <w:bCs/>
        </w:rPr>
        <w:t xml:space="preserve"> market regions </w:t>
      </w:r>
      <w:r w:rsidR="00D83A04">
        <w:rPr>
          <w:b/>
          <w:bCs/>
        </w:rPr>
        <w:t xml:space="preserve">under </w:t>
      </w:r>
      <w:r w:rsidR="005F4448">
        <w:rPr>
          <w:b/>
          <w:bCs/>
        </w:rPr>
        <w:t>import restric</w:t>
      </w:r>
      <w:r w:rsidR="00655836">
        <w:rPr>
          <w:b/>
          <w:bCs/>
        </w:rPr>
        <w:t xml:space="preserve">tion </w:t>
      </w:r>
      <w:r w:rsidR="00E4300E" w:rsidRPr="00E4300E">
        <w:rPr>
          <w:b/>
          <w:bCs/>
        </w:rPr>
        <w:t>scenarios</w:t>
      </w:r>
      <w:r w:rsidR="00847F0D">
        <w:rPr>
          <w:b/>
          <w:bCs/>
        </w:rPr>
        <w:t xml:space="preserve"> </w:t>
      </w:r>
      <w:r w:rsidR="00847F0D" w:rsidRPr="00D83A04">
        <w:t>(shown in blue)</w:t>
      </w:r>
      <w:r w:rsidR="00E4300E" w:rsidRPr="00D83A04">
        <w:t>.</w:t>
      </w:r>
      <w:r w:rsidRPr="00D83A04">
        <w:t xml:space="preserve"> </w:t>
      </w:r>
      <w:r w:rsidR="00747365">
        <w:t xml:space="preserve">These regions </w:t>
      </w:r>
      <w:r w:rsidR="00C72965">
        <w:t>are</w:t>
      </w:r>
      <w:r w:rsidR="00747365">
        <w:t xml:space="preserve"> defined as those GCAM regions that had net deforestation between 2015 and 2050 in the </w:t>
      </w:r>
      <w:r w:rsidR="00747365">
        <w:rPr>
          <w:i/>
          <w:iCs/>
        </w:rPr>
        <w:t xml:space="preserve">REF </w:t>
      </w:r>
      <w:r w:rsidR="00747365">
        <w:t xml:space="preserve">scenario. </w:t>
      </w:r>
      <w:r w:rsidR="00C72965">
        <w:t xml:space="preserve">These regions </w:t>
      </w:r>
      <w:r w:rsidR="009E6D7E">
        <w:t>are</w:t>
      </w:r>
      <w:r w:rsidR="00C72965">
        <w:t xml:space="preserve"> </w:t>
      </w:r>
      <w:r w:rsidR="0048146D">
        <w:t xml:space="preserve">Africa_Eastern, Africa_Southern, </w:t>
      </w:r>
      <w:r w:rsidR="00C72965">
        <w:t>Africa_Western, Argentina, Brazil, Canada, Central America and Caribbean,</w:t>
      </w:r>
      <w:r w:rsidR="000357F9">
        <w:t xml:space="preserve"> Central Asia,</w:t>
      </w:r>
      <w:r w:rsidR="00C72965">
        <w:t xml:space="preserve"> Colombia, Europe_Eastern, European Free Trade Association,</w:t>
      </w:r>
      <w:r w:rsidR="000357F9">
        <w:t xml:space="preserve"> India,</w:t>
      </w:r>
      <w:r w:rsidR="00C72965">
        <w:t xml:space="preserve"> Indonesia, Japan, Mexico, South America_Northern, South America_Southern, </w:t>
      </w:r>
      <w:r w:rsidR="00E50B9D">
        <w:t xml:space="preserve">South Asia, </w:t>
      </w:r>
      <w:r w:rsidR="00B4182E">
        <w:t xml:space="preserve">rest of </w:t>
      </w:r>
      <w:r w:rsidR="00C72965">
        <w:t>Southeast Asia</w:t>
      </w:r>
    </w:p>
    <w:p w14:paraId="2E942C77" w14:textId="71E92F8F" w:rsidR="00AB5116" w:rsidRPr="00CD41DC" w:rsidRDefault="00F90963" w:rsidP="00B62DE4">
      <w:pPr>
        <w:ind w:firstLine="720"/>
      </w:pPr>
      <w:r w:rsidRPr="00F90963">
        <w:t>EU’s currently enacted deforestation regulations restrict the specific imports (at a supply-chain level) linked to deforestation</w:t>
      </w:r>
      <w:r w:rsidR="002A0EDB">
        <w:fldChar w:fldCharType="begin"/>
      </w:r>
      <w:r w:rsidR="002A0EDB">
        <w:instrText xml:space="preserve"> ADDIN ZOTERO_ITEM CSL_CITATION {"citationID":"fUrlUaFM","properties":{"formattedCitation":"\\super 16\\nosupersub{}","plainCitation":"16","noteIndex":0},"citationItems":[{"id":202,"uris":["http://zotero.org/users/11039783/items/A78A8SS4"],"itemData":{"id":202,"type":"personal_communication","title":"Joint Letter on European Union Proposal for a Regulation on Deforestation-free Products Submission by Indonesia and Brazil to Committee on Agriculture, World Trade Organization.","URL":"https://docs.wto.org/dol2fe/Pages/SS/directdoc.aspx?filename=q:/G/AG/GEN213.pdf&amp;Open=True","accessed":{"date-parts":[["2023",11,6]]},"issued":{"date-parts":[["2022",11,29]]}}}],"schema":"https://github.com/citation-style-language/schema/raw/master/csl-citation.json"} </w:instrText>
      </w:r>
      <w:r w:rsidR="002A0EDB">
        <w:fldChar w:fldCharType="separate"/>
      </w:r>
      <w:r w:rsidR="002A0EDB" w:rsidRPr="002A0EDB">
        <w:rPr>
          <w:rFonts w:ascii="Calibri" w:hAnsi="Calibri" w:cs="Calibri"/>
          <w:szCs w:val="24"/>
          <w:vertAlign w:val="superscript"/>
        </w:rPr>
        <w:t>16</w:t>
      </w:r>
      <w:r w:rsidR="002A0EDB">
        <w:fldChar w:fldCharType="end"/>
      </w:r>
      <w:r w:rsidRPr="00F90963">
        <w:t>. In this analysis, we do not consider the impact of import restrictions on finer-spatial scale regions or targeting specific producers</w:t>
      </w:r>
      <w:r w:rsidR="00FC3C8F">
        <w:t>,</w:t>
      </w:r>
      <w:r w:rsidRPr="00F90963">
        <w:t xml:space="preserve"> which could be considered a more direct interpretation of EU’s current policy. Given that our trade flows are modeled at a regional level, we therefore interpret th</w:t>
      </w:r>
      <w:r w:rsidR="00FC3C8F">
        <w:t xml:space="preserve">e existing </w:t>
      </w:r>
      <w:r w:rsidRPr="00F90963">
        <w:t>regulation as a “freeze”, holding exports from these deforesting regions constant at 2020 levels, thus preventing future deforestation and land</w:t>
      </w:r>
      <w:r w:rsidR="00C72123">
        <w:t>-</w:t>
      </w:r>
      <w:r w:rsidRPr="00F90963">
        <w:t xml:space="preserve"> use changes to accommodate increased exports to import-restricting regions.</w:t>
      </w:r>
      <w:r w:rsidR="00FF2515">
        <w:t xml:space="preserve"> The current EU regulation is modeled as the </w:t>
      </w:r>
      <w:r w:rsidR="00FF2515">
        <w:rPr>
          <w:i/>
          <w:iCs/>
        </w:rPr>
        <w:t>EU freeze</w:t>
      </w:r>
      <w:r w:rsidR="00FF2515">
        <w:t xml:space="preserve"> scenario, with extensions to other import-restricting regions in the </w:t>
      </w:r>
      <w:r w:rsidR="00E26EE6">
        <w:rPr>
          <w:i/>
          <w:iCs/>
        </w:rPr>
        <w:t>HighInc freeze</w:t>
      </w:r>
      <w:r w:rsidR="00E26EE6">
        <w:t xml:space="preserve"> and </w:t>
      </w:r>
      <w:r w:rsidR="00E26EE6">
        <w:rPr>
          <w:i/>
          <w:iCs/>
        </w:rPr>
        <w:t>EU/Top 5 freeze</w:t>
      </w:r>
      <w:r w:rsidR="00E26EE6">
        <w:t xml:space="preserve"> scenarios. Meanwhile, the </w:t>
      </w:r>
      <w:r w:rsidR="00E26EE6">
        <w:rPr>
          <w:i/>
          <w:iCs/>
        </w:rPr>
        <w:t>EU ban</w:t>
      </w:r>
      <w:r w:rsidR="00CD41DC">
        <w:t xml:space="preserve"> scenario represents an extension </w:t>
      </w:r>
      <w:r w:rsidR="00612EEA">
        <w:t xml:space="preserve">along another dimension, </w:t>
      </w:r>
      <w:r w:rsidR="00CD41DC">
        <w:t>in which the EU fully bans all imports of oil palm and soy from deforesting regions</w:t>
      </w:r>
      <w:r w:rsidR="00612EEA">
        <w:t>.</w:t>
      </w:r>
    </w:p>
    <w:p w14:paraId="35775B80" w14:textId="77777777" w:rsidR="000A4627" w:rsidRDefault="000A4627" w:rsidP="00C72965"/>
    <w:p w14:paraId="73C1E56C" w14:textId="054DA730" w:rsidR="009A20C3" w:rsidRDefault="009A20C3" w:rsidP="009A20C3">
      <w:pPr>
        <w:pStyle w:val="Heading2"/>
      </w:pPr>
      <w:bookmarkStart w:id="4" w:name="_Toc175849302"/>
      <w:r>
        <w:lastRenderedPageBreak/>
        <w:t>S2.</w:t>
      </w:r>
      <w:r w:rsidR="00586157">
        <w:t>3</w:t>
      </w:r>
      <w:r>
        <w:t xml:space="preserve"> Land protect </w:t>
      </w:r>
      <w:proofErr w:type="gramStart"/>
      <w:r>
        <w:t>scenario</w:t>
      </w:r>
      <w:bookmarkEnd w:id="4"/>
      <w:proofErr w:type="gramEnd"/>
    </w:p>
    <w:p w14:paraId="0AD62897" w14:textId="13801781" w:rsidR="004B0845" w:rsidRDefault="002F0D3E" w:rsidP="008A21FE">
      <w:pPr>
        <w:ind w:firstLine="720"/>
      </w:pPr>
      <w:r>
        <w:t xml:space="preserve">The </w:t>
      </w:r>
      <w:r>
        <w:rPr>
          <w:i/>
          <w:iCs/>
        </w:rPr>
        <w:t>Land Protect</w:t>
      </w:r>
      <w:r>
        <w:t xml:space="preserve"> scenario is intended to </w:t>
      </w:r>
      <w:r w:rsidR="00694503">
        <w:t>be a poli</w:t>
      </w:r>
      <w:r w:rsidR="00E71848">
        <w:t xml:space="preserve">cy of comparable magnitude </w:t>
      </w:r>
      <w:r w:rsidR="002D7550">
        <w:t xml:space="preserve">to the </w:t>
      </w:r>
      <w:r w:rsidR="003F5023">
        <w:rPr>
          <w:i/>
          <w:iCs/>
        </w:rPr>
        <w:t>HighInc freeze</w:t>
      </w:r>
      <w:r w:rsidR="003F5023">
        <w:t xml:space="preserve"> scenario</w:t>
      </w:r>
      <w:r w:rsidR="004B0845">
        <w:t xml:space="preserve">. This scenario was modeled by calculating the reduction in oil palm or soybean land in each deforesting (export-restricted) region under the </w:t>
      </w:r>
      <w:r w:rsidR="004B0845">
        <w:rPr>
          <w:i/>
          <w:iCs/>
        </w:rPr>
        <w:t>HighInc freeze</w:t>
      </w:r>
      <w:r w:rsidR="004B0845">
        <w:t xml:space="preserve"> scenario. This value was added to forest land value in the </w:t>
      </w:r>
      <w:r w:rsidR="004B0845">
        <w:rPr>
          <w:i/>
          <w:iCs/>
        </w:rPr>
        <w:t>REF</w:t>
      </w:r>
      <w:r w:rsidR="004B0845">
        <w:t xml:space="preserve"> scenario in each region to form a set of explicit land protection constraints for each deforesting region from 2025 to 2050.</w:t>
      </w:r>
    </w:p>
    <w:p w14:paraId="415F4993" w14:textId="12D7D3A1" w:rsidR="00490837" w:rsidRDefault="00490837" w:rsidP="00490837">
      <w:pPr>
        <w:ind w:firstLine="720"/>
      </w:pPr>
      <w:r>
        <w:t xml:space="preserve">In comparing the cumulative economic impact changes </w:t>
      </w:r>
      <w:r>
        <w:rPr>
          <w:b/>
          <w:bCs/>
        </w:rPr>
        <w:t>(Figure 4)</w:t>
      </w:r>
      <w:r>
        <w:t xml:space="preserve"> under import restriction scenarios and the </w:t>
      </w:r>
      <w:r>
        <w:rPr>
          <w:i/>
          <w:iCs/>
        </w:rPr>
        <w:t>Land Protect</w:t>
      </w:r>
      <w:r>
        <w:t xml:space="preserve"> scenario, we note that economic impacts on agricultural producers and consumers are just one aspect of the economic costs of each policy. Import restriction policies or direct land protection policies could have other economic costs, such as those related to measurement, reporting, and verification (MRV). A full comparison of the costs of import restriction policies versus direct forest protection policies is outside the scope of this study. However, we note that import restrictions (as currently structured in the EU), which rely on deforestation-free certification of specific commodity supply chains (from specific regions) </w:t>
      </w:r>
      <w:proofErr w:type="gramStart"/>
      <w:r>
        <w:t>in order to</w:t>
      </w:r>
      <w:proofErr w:type="gramEnd"/>
      <w:r>
        <w:t xml:space="preserve"> allow imports could also face issues with MRV</w:t>
      </w:r>
      <w:r w:rsidR="009907F9">
        <w:t>,</w:t>
      </w:r>
      <w:r>
        <w:t xml:space="preserve"> comparable to those of direct land protection policies.</w:t>
      </w:r>
    </w:p>
    <w:p w14:paraId="20F7623D" w14:textId="77777777" w:rsidR="00D15A24" w:rsidRDefault="00D15A24" w:rsidP="00490837">
      <w:pPr>
        <w:ind w:firstLine="720"/>
      </w:pPr>
    </w:p>
    <w:p w14:paraId="34797F5B" w14:textId="14B8C827" w:rsidR="00CE0E6C" w:rsidRPr="00C661FC" w:rsidRDefault="00CE0E6C" w:rsidP="00CE0E6C">
      <w:pPr>
        <w:pStyle w:val="Heading2"/>
      </w:pPr>
      <w:bookmarkStart w:id="5" w:name="_Toc175849303"/>
      <w:r>
        <w:t xml:space="preserve">S2.4 </w:t>
      </w:r>
      <w:r w:rsidR="0006155C">
        <w:t>Uncertainty in our scenarios</w:t>
      </w:r>
      <w:bookmarkEnd w:id="5"/>
    </w:p>
    <w:p w14:paraId="4F061334" w14:textId="631825D2" w:rsidR="00093440" w:rsidRPr="00890016" w:rsidRDefault="0019503A" w:rsidP="00093440">
      <w:pPr>
        <w:ind w:firstLine="720"/>
        <w:rPr>
          <w:rFonts w:cstheme="minorHAnsi"/>
        </w:rPr>
      </w:pPr>
      <w:r>
        <w:rPr>
          <w:rFonts w:cstheme="minorHAnsi"/>
        </w:rPr>
        <w:t xml:space="preserve">There are several dimensions of uncertainty that could be important in </w:t>
      </w:r>
      <w:r w:rsidR="009954EC">
        <w:rPr>
          <w:rFonts w:cstheme="minorHAnsi"/>
        </w:rPr>
        <w:t xml:space="preserve">affecting the magnitudes of </w:t>
      </w:r>
      <w:r w:rsidR="00D4023E">
        <w:rPr>
          <w:rFonts w:cstheme="minorHAnsi"/>
        </w:rPr>
        <w:t xml:space="preserve">changes </w:t>
      </w:r>
      <w:r w:rsidR="00773456">
        <w:rPr>
          <w:rFonts w:cstheme="minorHAnsi"/>
        </w:rPr>
        <w:t>in outcomes</w:t>
      </w:r>
      <w:r w:rsidR="00D4023E">
        <w:rPr>
          <w:rFonts w:cstheme="minorHAnsi"/>
        </w:rPr>
        <w:t xml:space="preserve"> </w:t>
      </w:r>
      <w:r w:rsidR="007538EB">
        <w:rPr>
          <w:rFonts w:cstheme="minorHAnsi"/>
        </w:rPr>
        <w:t xml:space="preserve">we report in this study. </w:t>
      </w:r>
      <w:r w:rsidR="00A17759">
        <w:rPr>
          <w:rFonts w:cstheme="minorHAnsi"/>
        </w:rPr>
        <w:t xml:space="preserve">For example, </w:t>
      </w:r>
      <w:r w:rsidR="00857443">
        <w:rPr>
          <w:rFonts w:cstheme="minorHAnsi"/>
        </w:rPr>
        <w:t xml:space="preserve">different </w:t>
      </w:r>
      <w:r w:rsidR="00F53A41">
        <w:rPr>
          <w:rFonts w:cstheme="minorHAnsi"/>
        </w:rPr>
        <w:t xml:space="preserve">choices in </w:t>
      </w:r>
      <w:r w:rsidR="00857443">
        <w:rPr>
          <w:rFonts w:cstheme="minorHAnsi"/>
        </w:rPr>
        <w:t>land-</w:t>
      </w:r>
      <w:r w:rsidR="00CD23F3">
        <w:rPr>
          <w:rFonts w:cstheme="minorHAnsi"/>
        </w:rPr>
        <w:t xml:space="preserve">based </w:t>
      </w:r>
      <w:r w:rsidR="00F53A41">
        <w:rPr>
          <w:rFonts w:cstheme="minorHAnsi"/>
        </w:rPr>
        <w:t>mitigation strategies</w:t>
      </w:r>
      <w:r w:rsidR="00CD23F3">
        <w:rPr>
          <w:rFonts w:cstheme="minorHAnsi"/>
        </w:rPr>
        <w:fldChar w:fldCharType="begin"/>
      </w:r>
      <w:r w:rsidR="002A0EDB">
        <w:rPr>
          <w:rFonts w:cstheme="minorHAnsi"/>
        </w:rPr>
        <w:instrText xml:space="preserve"> ADDIN ZOTERO_ITEM CSL_CITATION {"citationID":"eXnpNZaK","properties":{"formattedCitation":"\\super 17\\nosupersub{}","plainCitation":"17","noteIndex":0},"citationItems":[{"id":1066,"uris":["http://zotero.org/users/11039783/items/CGMH695C"],"itemData":{"id":1066,"type":"article-journal","abstract":"Land-based carbon removals, specifically afforestation/reforestation and bioenergy with carbon capture and storage (BECCS), vary widely in 1.5 °C and 2 °C scenarios generated by integrated assessment models. Because underlying drivers are difficult to assess, we use a well-known integrated assessment model, GCAM, to demonstrate that land-based carbon removals are sensitive to the strength and scope of land-based mitigation policies. We find that while cumulative afforestation/reforestation and BECCS deployment are inversely related, they are both typically part of cost-effective mitigation pathways, with forestry options deployed earlier. While the CO2 removal intensity (removal per unit land) of BECCS is typically higher than afforestation/reforestation over long time horizons, the BECCS removal intensity is sensitive to feedstock and technology choices whereas the afforestation/reforestation removal intensity is sensitive to land policy choices. Finally, we find a generally positive relationship between agricultural prices and removal effectiveness of land-based mitigation, suggesting that some trade-offs may be difficult to avoid.","container-title":"Nature Communications","DOI":"10.1038/s41467-024-46575-3","ISSN":"2041-1723","issue":"1","journalAbbreviation":"Nat Commun","language":"en","license":"2024 The Author(s)","note":"publisher: Nature Publishing Group","page":"2297","source":"www.nature.com","title":"Trade-offs in land-based carbon removal measures under 1.5 °C and 2 °C futures","volume":"15","author":[{"family":"Zhao","given":"Xin"},{"family":"Mignone","given":"Bryan K."},{"family":"Wise","given":"Marshall A."},{"family":"McJeon","given":"Haewon C."}],"issued":{"date-parts":[["2024",3,14]]}}}],"schema":"https://github.com/citation-style-language/schema/raw/master/csl-citation.json"} </w:instrText>
      </w:r>
      <w:r w:rsidR="00CD23F3">
        <w:rPr>
          <w:rFonts w:cstheme="minorHAnsi"/>
        </w:rPr>
        <w:fldChar w:fldCharType="separate"/>
      </w:r>
      <w:r w:rsidR="002A0EDB" w:rsidRPr="002A0EDB">
        <w:rPr>
          <w:rFonts w:ascii="Calibri" w:hAnsi="Calibri" w:cs="Calibri"/>
          <w:szCs w:val="24"/>
          <w:vertAlign w:val="superscript"/>
        </w:rPr>
        <w:t>17</w:t>
      </w:r>
      <w:r w:rsidR="00CD23F3">
        <w:rPr>
          <w:rFonts w:cstheme="minorHAnsi"/>
        </w:rPr>
        <w:fldChar w:fldCharType="end"/>
      </w:r>
      <w:r w:rsidR="00F53A41">
        <w:rPr>
          <w:rFonts w:cstheme="minorHAnsi"/>
        </w:rPr>
        <w:t xml:space="preserve"> could have significant </w:t>
      </w:r>
      <w:r w:rsidR="00A17759">
        <w:rPr>
          <w:rFonts w:cstheme="minorHAnsi"/>
        </w:rPr>
        <w:t>u</w:t>
      </w:r>
      <w:r w:rsidR="00093440">
        <w:rPr>
          <w:rFonts w:cstheme="minorHAnsi"/>
        </w:rPr>
        <w:t>ncertainty i</w:t>
      </w:r>
      <w:r w:rsidR="007538EB">
        <w:rPr>
          <w:rFonts w:cstheme="minorHAnsi"/>
        </w:rPr>
        <w:t>n biofuel trajectories</w:t>
      </w:r>
      <w:r w:rsidR="00CD23F3">
        <w:rPr>
          <w:rFonts w:cstheme="minorHAnsi"/>
        </w:rPr>
        <w:t>, which</w:t>
      </w:r>
      <w:r w:rsidR="00BD0460">
        <w:rPr>
          <w:rFonts w:cstheme="minorHAnsi"/>
        </w:rPr>
        <w:t xml:space="preserve"> </w:t>
      </w:r>
      <w:r w:rsidR="00093440">
        <w:rPr>
          <w:rFonts w:cstheme="minorHAnsi"/>
        </w:rPr>
        <w:t>could have important implications for our results in</w:t>
      </w:r>
      <w:r w:rsidR="00BD0460">
        <w:rPr>
          <w:rFonts w:cstheme="minorHAnsi"/>
        </w:rPr>
        <w:t xml:space="preserve"> </w:t>
      </w:r>
      <w:r w:rsidR="00093440">
        <w:rPr>
          <w:rFonts w:cstheme="minorHAnsi"/>
        </w:rPr>
        <w:t>import restriction scenarios. If growth of second-generation biofuels is lower than</w:t>
      </w:r>
      <w:r w:rsidR="0059590D">
        <w:rPr>
          <w:rFonts w:cstheme="minorHAnsi"/>
        </w:rPr>
        <w:t xml:space="preserve"> assumed in our </w:t>
      </w:r>
      <w:r w:rsidR="00C05836">
        <w:rPr>
          <w:rFonts w:cstheme="minorHAnsi"/>
          <w:i/>
          <w:iCs/>
        </w:rPr>
        <w:t xml:space="preserve">REF </w:t>
      </w:r>
      <w:r w:rsidR="00C05836">
        <w:rPr>
          <w:rFonts w:cstheme="minorHAnsi"/>
        </w:rPr>
        <w:t>baseline (</w:t>
      </w:r>
      <w:r w:rsidR="00C05836" w:rsidRPr="00C114A6">
        <w:rPr>
          <w:rFonts w:cstheme="minorHAnsi"/>
          <w:b/>
          <w:bCs/>
        </w:rPr>
        <w:t>section</w:t>
      </w:r>
      <w:r w:rsidR="00C05836">
        <w:rPr>
          <w:rFonts w:cstheme="minorHAnsi"/>
        </w:rPr>
        <w:t xml:space="preserve"> </w:t>
      </w:r>
      <w:r w:rsidR="00C05836">
        <w:rPr>
          <w:rFonts w:cstheme="minorHAnsi"/>
          <w:b/>
          <w:bCs/>
        </w:rPr>
        <w:t>S2.1)</w:t>
      </w:r>
      <w:r w:rsidR="00093440">
        <w:rPr>
          <w:rFonts w:cstheme="minorHAnsi"/>
        </w:rPr>
        <w:t xml:space="preserve">, there would be higher levels of first-generation biofuels in the </w:t>
      </w:r>
      <w:r w:rsidR="00093440">
        <w:rPr>
          <w:rFonts w:cstheme="minorHAnsi"/>
          <w:i/>
          <w:iCs/>
        </w:rPr>
        <w:t>REF</w:t>
      </w:r>
      <w:r w:rsidR="00093440">
        <w:rPr>
          <w:rFonts w:cstheme="minorHAnsi"/>
        </w:rPr>
        <w:t xml:space="preserve"> scenari</w:t>
      </w:r>
      <w:r w:rsidR="00C114A6">
        <w:rPr>
          <w:rFonts w:cstheme="minorHAnsi"/>
        </w:rPr>
        <w:t>o. C</w:t>
      </w:r>
      <w:r w:rsidR="00093440">
        <w:rPr>
          <w:rFonts w:cstheme="minorHAnsi"/>
        </w:rPr>
        <w:t xml:space="preserve">onsequently, </w:t>
      </w:r>
      <w:r w:rsidR="00C114A6">
        <w:rPr>
          <w:rFonts w:cstheme="minorHAnsi"/>
        </w:rPr>
        <w:t xml:space="preserve">there would be </w:t>
      </w:r>
      <w:r w:rsidR="00093440">
        <w:rPr>
          <w:rFonts w:cstheme="minorHAnsi"/>
        </w:rPr>
        <w:t xml:space="preserve">larger </w:t>
      </w:r>
      <w:r w:rsidR="00C114A6">
        <w:rPr>
          <w:rFonts w:cstheme="minorHAnsi"/>
        </w:rPr>
        <w:t>chan</w:t>
      </w:r>
      <w:r w:rsidR="00B75DDA">
        <w:rPr>
          <w:rFonts w:cstheme="minorHAnsi"/>
        </w:rPr>
        <w:t xml:space="preserve">ges in </w:t>
      </w:r>
      <w:r w:rsidR="00093440">
        <w:rPr>
          <w:rFonts w:cstheme="minorHAnsi"/>
        </w:rPr>
        <w:t>oil crop trade flows and higher effectiveness in reducing deforestation and LUC emissions under import restriction scenarios</w:t>
      </w:r>
      <w:r w:rsidR="00B75DDA">
        <w:rPr>
          <w:rFonts w:cstheme="minorHAnsi"/>
        </w:rPr>
        <w:t xml:space="preserve"> relative to </w:t>
      </w:r>
      <w:r w:rsidR="00B75DDA">
        <w:rPr>
          <w:rFonts w:cstheme="minorHAnsi"/>
          <w:i/>
          <w:iCs/>
        </w:rPr>
        <w:t>REF.</w:t>
      </w:r>
    </w:p>
    <w:p w14:paraId="229CCAFA" w14:textId="43C44E48" w:rsidR="00CE0E6C" w:rsidRDefault="000074C4" w:rsidP="00CE0E6C">
      <w:pPr>
        <w:ind w:firstLine="720"/>
        <w:rPr>
          <w:rFonts w:cstheme="minorHAnsi"/>
        </w:rPr>
      </w:pPr>
      <w:r>
        <w:t xml:space="preserve"> </w:t>
      </w:r>
      <w:r w:rsidR="00CE0E6C">
        <w:rPr>
          <w:rFonts w:cstheme="minorHAnsi"/>
        </w:rPr>
        <w:t xml:space="preserve">Given the high rates of land-switching leakage under import restriction scenarios observed in our results (see </w:t>
      </w:r>
      <w:r w:rsidR="00CE0E6C" w:rsidRPr="0030758B">
        <w:rPr>
          <w:rFonts w:cstheme="minorHAnsi"/>
          <w:i/>
          <w:iCs/>
        </w:rPr>
        <w:t>‘Land-use and emissions implication of import restrictions’</w:t>
      </w:r>
      <w:r w:rsidR="00CE0E6C">
        <w:rPr>
          <w:rFonts w:cstheme="minorHAnsi"/>
        </w:rPr>
        <w:t xml:space="preserve"> section in </w:t>
      </w:r>
      <w:r w:rsidR="00CE0E6C" w:rsidRPr="0030758B">
        <w:rPr>
          <w:rFonts w:cstheme="minorHAnsi"/>
          <w:b/>
          <w:bCs/>
        </w:rPr>
        <w:t>Results</w:t>
      </w:r>
      <w:r w:rsidR="00CE0E6C">
        <w:rPr>
          <w:rFonts w:cstheme="minorHAnsi"/>
        </w:rPr>
        <w:t xml:space="preserve">), another key area of uncertainty in our </w:t>
      </w:r>
      <w:r w:rsidR="00CE0E6C">
        <w:rPr>
          <w:rFonts w:cstheme="minorHAnsi"/>
          <w:i/>
          <w:iCs/>
        </w:rPr>
        <w:t xml:space="preserve">REF </w:t>
      </w:r>
      <w:r w:rsidR="00CE0E6C">
        <w:rPr>
          <w:rFonts w:cstheme="minorHAnsi"/>
        </w:rPr>
        <w:t>baseline relates to land-switching logit parameters. If these parameters maintain</w:t>
      </w:r>
      <w:r w:rsidR="00B63457">
        <w:rPr>
          <w:rFonts w:cstheme="minorHAnsi"/>
        </w:rPr>
        <w:t>ed</w:t>
      </w:r>
      <w:r w:rsidR="00CE0E6C">
        <w:rPr>
          <w:rFonts w:cstheme="minorHAnsi"/>
        </w:rPr>
        <w:t xml:space="preserve"> more rigidity in land use allocation, land-switching leakage rates might be lower, resulting in</w:t>
      </w:r>
      <w:r w:rsidR="00CE0E6C" w:rsidRPr="001E2638">
        <w:rPr>
          <w:rFonts w:cstheme="minorHAnsi"/>
        </w:rPr>
        <w:t xml:space="preserve"> </w:t>
      </w:r>
      <w:r w:rsidR="00CE0E6C">
        <w:rPr>
          <w:rFonts w:cstheme="minorHAnsi"/>
        </w:rPr>
        <w:t xml:space="preserve">higher effectiveness in reducing deforestation and LUC emissions under import restriction scenarios. </w:t>
      </w:r>
    </w:p>
    <w:p w14:paraId="25FAA911" w14:textId="29F00D21" w:rsidR="00306F22" w:rsidRDefault="00306F22" w:rsidP="00CE0E6C">
      <w:pPr>
        <w:ind w:firstLine="720"/>
        <w:rPr>
          <w:rFonts w:cstheme="minorHAnsi"/>
        </w:rPr>
      </w:pPr>
      <w:r w:rsidRPr="00306F22">
        <w:rPr>
          <w:rFonts w:cstheme="minorHAnsi"/>
        </w:rPr>
        <w:t>GCAM accounts for land intensification exogenously over time (i.e., increasing agricultural yields), as well as endogenous land intensification in response to prices (i.e., increase in yield due to higher-cost inputs like irrigation and fertilizer). However, our scenario construction does not assume additional explicit policies focused on intensification of existing oil crop land in deforestation-linked oil crop exporting regions in response to import restrictions, which could allow for increased production without expanding of land footprint. Accounting for such land intensification policies explicitly could reduce market-switching leakage and land-switching leakage and reduce overall deforestation and LUC emissions. Thus, in the absence of such land intensification policies, our scenarios can be considered an upper bound to the level of global emissions leakage possible and a lower bound to how much benefit import restriction policies can provide, in reducing deforestation and LUC emissions.</w:t>
      </w:r>
    </w:p>
    <w:p w14:paraId="74239A28" w14:textId="60706DF8" w:rsidR="00CE0E6C" w:rsidRDefault="00CC41A7" w:rsidP="00CE0E6C">
      <w:pPr>
        <w:ind w:firstLine="720"/>
        <w:rPr>
          <w:rFonts w:cstheme="minorHAnsi"/>
        </w:rPr>
      </w:pPr>
      <w:r>
        <w:rPr>
          <w:rFonts w:cstheme="minorHAnsi"/>
        </w:rPr>
        <w:lastRenderedPageBreak/>
        <w:t xml:space="preserve">Other sources of uncertainty, such as </w:t>
      </w:r>
      <w:r w:rsidR="00B63457">
        <w:rPr>
          <w:rFonts w:cstheme="minorHAnsi"/>
        </w:rPr>
        <w:t>broader socioeconomic trends</w:t>
      </w:r>
      <w:r w:rsidR="00664E36">
        <w:rPr>
          <w:rFonts w:cstheme="minorHAnsi"/>
        </w:rPr>
        <w:t>,</w:t>
      </w:r>
      <w:r w:rsidR="00B63457">
        <w:rPr>
          <w:rFonts w:cstheme="minorHAnsi"/>
        </w:rPr>
        <w:t xml:space="preserve"> could also</w:t>
      </w:r>
      <w:r w:rsidR="00A61989">
        <w:rPr>
          <w:rFonts w:cstheme="minorHAnsi"/>
        </w:rPr>
        <w:t xml:space="preserve"> play a role in determining the</w:t>
      </w:r>
      <w:r w:rsidR="00625E5F">
        <w:rPr>
          <w:rFonts w:cstheme="minorHAnsi"/>
        </w:rPr>
        <w:t xml:space="preserve"> exact</w:t>
      </w:r>
      <w:r w:rsidR="00A61989">
        <w:rPr>
          <w:rFonts w:cstheme="minorHAnsi"/>
        </w:rPr>
        <w:t xml:space="preserve"> magnitudes of changes in oil crop production and trade volumes, land</w:t>
      </w:r>
      <w:r w:rsidR="00C72123">
        <w:rPr>
          <w:rFonts w:cstheme="minorHAnsi"/>
        </w:rPr>
        <w:t>-</w:t>
      </w:r>
      <w:r w:rsidR="00A61989">
        <w:rPr>
          <w:rFonts w:cstheme="minorHAnsi"/>
        </w:rPr>
        <w:t xml:space="preserve">use changes, and LUC emissions. </w:t>
      </w:r>
      <w:r w:rsidR="00625E5F">
        <w:rPr>
          <w:rFonts w:cstheme="minorHAnsi"/>
        </w:rPr>
        <w:t xml:space="preserve">Overall, </w:t>
      </w:r>
      <w:r w:rsidR="00911BF4">
        <w:rPr>
          <w:rFonts w:cstheme="minorHAnsi"/>
        </w:rPr>
        <w:t>the key takeaways from our study a</w:t>
      </w:r>
      <w:r w:rsidR="006A7469">
        <w:rPr>
          <w:rFonts w:cstheme="minorHAnsi"/>
        </w:rPr>
        <w:t>r</w:t>
      </w:r>
      <w:r w:rsidR="00911BF4">
        <w:rPr>
          <w:rFonts w:cstheme="minorHAnsi"/>
        </w:rPr>
        <w:t xml:space="preserve">e </w:t>
      </w:r>
      <w:r w:rsidR="006A7469">
        <w:rPr>
          <w:rFonts w:cstheme="minorHAnsi"/>
        </w:rPr>
        <w:t>not the exact magnitudes</w:t>
      </w:r>
      <w:r w:rsidR="00025E89">
        <w:rPr>
          <w:rFonts w:cstheme="minorHAnsi"/>
        </w:rPr>
        <w:t xml:space="preserve">, but rather the broad trends and insights that </w:t>
      </w:r>
      <w:r w:rsidR="009072FE">
        <w:rPr>
          <w:rFonts w:cstheme="minorHAnsi"/>
        </w:rPr>
        <w:t xml:space="preserve">result under each of the policy scenarios compared to </w:t>
      </w:r>
      <w:r w:rsidR="009072FE">
        <w:rPr>
          <w:rFonts w:cstheme="minorHAnsi"/>
          <w:i/>
          <w:iCs/>
        </w:rPr>
        <w:t xml:space="preserve">REF. </w:t>
      </w:r>
      <w:r w:rsidR="00625E5F">
        <w:rPr>
          <w:rFonts w:cstheme="minorHAnsi"/>
        </w:rPr>
        <w:t xml:space="preserve"> </w:t>
      </w:r>
      <w:r w:rsidR="00EA0F6C">
        <w:rPr>
          <w:rFonts w:cstheme="minorHAnsi"/>
        </w:rPr>
        <w:t>A more detailed uncertainty quantification of multiple parameters could be considered for future work. Nevertheless, we believe that t</w:t>
      </w:r>
      <w:r w:rsidR="00625E5F">
        <w:rPr>
          <w:rFonts w:cstheme="minorHAnsi"/>
        </w:rPr>
        <w:t xml:space="preserve">he key insights observed in our </w:t>
      </w:r>
      <w:r w:rsidR="00EA0F6C">
        <w:rPr>
          <w:rFonts w:cstheme="minorHAnsi"/>
        </w:rPr>
        <w:t xml:space="preserve">scenario results </w:t>
      </w:r>
      <w:r w:rsidR="00107BE7">
        <w:rPr>
          <w:rFonts w:cstheme="minorHAnsi"/>
        </w:rPr>
        <w:t>reveal important considerations for broader policymaking</w:t>
      </w:r>
      <w:r w:rsidR="00CE0E6C">
        <w:rPr>
          <w:rFonts w:cstheme="minorHAnsi"/>
        </w:rPr>
        <w:t>.</w:t>
      </w:r>
      <w:r w:rsidR="00F56E8C">
        <w:rPr>
          <w:rFonts w:cstheme="minorHAnsi"/>
        </w:rPr>
        <w:t xml:space="preserve"> </w:t>
      </w:r>
    </w:p>
    <w:p w14:paraId="1B1F4E3F" w14:textId="14DDD95C" w:rsidR="00EF23D8" w:rsidRDefault="00EF23D8">
      <w:pPr>
        <w:rPr>
          <w:b/>
          <w:bCs/>
        </w:rPr>
      </w:pPr>
      <w:r>
        <w:rPr>
          <w:b/>
          <w:bCs/>
        </w:rPr>
        <w:br w:type="page"/>
      </w:r>
    </w:p>
    <w:p w14:paraId="4F7AF3C9" w14:textId="2F3E2990" w:rsidR="001E6AA9" w:rsidRPr="004B5139" w:rsidRDefault="001E6AA9" w:rsidP="001E6AA9">
      <w:pPr>
        <w:pStyle w:val="Heading1"/>
      </w:pPr>
      <w:bookmarkStart w:id="6" w:name="_Toc175849304"/>
      <w:r>
        <w:lastRenderedPageBreak/>
        <w:t>S3 Additional results</w:t>
      </w:r>
      <w:bookmarkEnd w:id="6"/>
    </w:p>
    <w:p w14:paraId="3D7ADE8A" w14:textId="0E063C00" w:rsidR="00CB2E16" w:rsidRDefault="003E5A53">
      <w:pPr>
        <w:rPr>
          <w:b/>
          <w:bCs/>
        </w:rPr>
      </w:pPr>
      <w:r w:rsidRPr="003E5A53">
        <w:rPr>
          <w:noProof/>
        </w:rPr>
        <w:drawing>
          <wp:inline distT="0" distB="0" distL="0" distR="0" wp14:anchorId="20387AAF" wp14:editId="6958437B">
            <wp:extent cx="5943600" cy="46894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4689475"/>
                    </a:xfrm>
                    <a:prstGeom prst="rect">
                      <a:avLst/>
                    </a:prstGeom>
                  </pic:spPr>
                </pic:pic>
              </a:graphicData>
            </a:graphic>
          </wp:inline>
        </w:drawing>
      </w:r>
    </w:p>
    <w:p w14:paraId="6736D6D7" w14:textId="2A3B2323" w:rsidR="005216EC" w:rsidRDefault="005216EC">
      <w:pPr>
        <w:rPr>
          <w:b/>
          <w:bCs/>
        </w:rPr>
      </w:pPr>
      <w:r>
        <w:rPr>
          <w:b/>
          <w:bCs/>
        </w:rPr>
        <w:t>Figure S</w:t>
      </w:r>
      <w:r w:rsidR="00BC0AC2">
        <w:rPr>
          <w:b/>
          <w:bCs/>
        </w:rPr>
        <w:t>4</w:t>
      </w:r>
      <w:r>
        <w:rPr>
          <w:b/>
          <w:bCs/>
        </w:rPr>
        <w:t>.</w:t>
      </w:r>
      <w:r w:rsidR="00042B60">
        <w:rPr>
          <w:b/>
          <w:bCs/>
        </w:rPr>
        <w:t xml:space="preserve"> </w:t>
      </w:r>
      <w:r w:rsidR="008F20C1">
        <w:rPr>
          <w:b/>
          <w:bCs/>
        </w:rPr>
        <w:t xml:space="preserve">Oil palm and soybean production </w:t>
      </w:r>
      <w:r w:rsidR="008F20C1">
        <w:t>(domestic and bilaterally traded flows). T</w:t>
      </w:r>
      <w:r w:rsidR="00042B60">
        <w:t xml:space="preserve">op) oil palm and bottom) soybean production volumes by region across scenarios (million tons). The left panel for each region shows total production in 2015 and 2030 </w:t>
      </w:r>
      <w:r w:rsidR="00042B60">
        <w:rPr>
          <w:i/>
          <w:iCs/>
        </w:rPr>
        <w:t>REF</w:t>
      </w:r>
      <w:r w:rsidR="00042B60">
        <w:t xml:space="preserve"> and the right panel for each region shows the change in production between each import restriction scenario and </w:t>
      </w:r>
      <w:r w:rsidR="00042B60">
        <w:rPr>
          <w:i/>
          <w:iCs/>
        </w:rPr>
        <w:t xml:space="preserve">REF </w:t>
      </w:r>
      <w:r w:rsidR="00042B60">
        <w:t>in 2030</w:t>
      </w:r>
      <w:r w:rsidR="00042B60">
        <w:rPr>
          <w:i/>
          <w:iCs/>
        </w:rPr>
        <w:t>.</w:t>
      </w:r>
      <w:r w:rsidR="00042B60">
        <w:t xml:space="preserve">  Domestic production volumes are consumed within the indicated producing region.</w:t>
      </w:r>
    </w:p>
    <w:p w14:paraId="254DA136" w14:textId="285A5860" w:rsidR="009743D2" w:rsidRDefault="00AA7191">
      <w:pPr>
        <w:rPr>
          <w:b/>
          <w:bCs/>
        </w:rPr>
      </w:pPr>
      <w:r>
        <w:rPr>
          <w:noProof/>
        </w:rPr>
        <w:lastRenderedPageBreak/>
        <w:drawing>
          <wp:inline distT="0" distB="0" distL="0" distR="0" wp14:anchorId="2E059370" wp14:editId="2CFD267B">
            <wp:extent cx="5943600" cy="2373630"/>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2373630"/>
                    </a:xfrm>
                    <a:prstGeom prst="rect">
                      <a:avLst/>
                    </a:prstGeom>
                    <a:noFill/>
                    <a:ln>
                      <a:noFill/>
                    </a:ln>
                  </pic:spPr>
                </pic:pic>
              </a:graphicData>
            </a:graphic>
          </wp:inline>
        </w:drawing>
      </w:r>
    </w:p>
    <w:p w14:paraId="253F53CA" w14:textId="462C797C" w:rsidR="008F20C1" w:rsidRPr="001D4F8D" w:rsidRDefault="008F20C1">
      <w:r>
        <w:rPr>
          <w:b/>
          <w:bCs/>
        </w:rPr>
        <w:t>Figure S</w:t>
      </w:r>
      <w:r w:rsidR="00BC0AC2">
        <w:rPr>
          <w:b/>
          <w:bCs/>
        </w:rPr>
        <w:t>5</w:t>
      </w:r>
      <w:r>
        <w:rPr>
          <w:b/>
          <w:bCs/>
        </w:rPr>
        <w:t xml:space="preserve">. </w:t>
      </w:r>
      <w:r w:rsidR="001D4F8D">
        <w:rPr>
          <w:b/>
          <w:bCs/>
        </w:rPr>
        <w:t>Land</w:t>
      </w:r>
      <w:r w:rsidR="00F64EB9">
        <w:rPr>
          <w:b/>
          <w:bCs/>
        </w:rPr>
        <w:t>-</w:t>
      </w:r>
      <w:r w:rsidR="001D4F8D">
        <w:rPr>
          <w:b/>
          <w:bCs/>
        </w:rPr>
        <w:t xml:space="preserve">use change. </w:t>
      </w:r>
      <w:r w:rsidR="001D4F8D">
        <w:t xml:space="preserve">The panels show changes in land use across scenarios relative to </w:t>
      </w:r>
      <w:r w:rsidR="001D4F8D">
        <w:rPr>
          <w:i/>
          <w:iCs/>
        </w:rPr>
        <w:t>REF</w:t>
      </w:r>
      <w:r w:rsidR="001D4F8D">
        <w:t xml:space="preserve"> in 2030 (million ha). </w:t>
      </w:r>
    </w:p>
    <w:p w14:paraId="0B7A5558" w14:textId="6666D935" w:rsidR="00973046" w:rsidRPr="00E43A4C" w:rsidRDefault="00973046" w:rsidP="00E96A91">
      <w:pPr>
        <w:ind w:firstLine="720"/>
        <w:rPr>
          <w:b/>
          <w:bCs/>
        </w:rPr>
      </w:pPr>
      <w:r>
        <w:t>In the near term (2030), the EU substitutes other oil crops (</w:t>
      </w:r>
      <w:r w:rsidR="009E6D7E">
        <w:t>e.g.,</w:t>
      </w:r>
      <w:r>
        <w:t xml:space="preserve"> rapeseed and sunflower oils) to meet biofuel demands, grown domestically or imported from other regions, particularly in the </w:t>
      </w:r>
      <w:r>
        <w:rPr>
          <w:i/>
          <w:iCs/>
        </w:rPr>
        <w:t>EU ban</w:t>
      </w:r>
      <w:r>
        <w:t xml:space="preserve"> case in which there is a total phaseout of palm and soybean imports from deforesting regions </w:t>
      </w:r>
      <w:r>
        <w:rPr>
          <w:b/>
          <w:bCs/>
        </w:rPr>
        <w:t>(Figure S3)</w:t>
      </w:r>
      <w:r>
        <w:t xml:space="preserve">. By 2050, land substituted for other oil crops is greatly reduced as the use of all first-generation biofuels in the EU is reduced in the baseline </w:t>
      </w:r>
      <w:r>
        <w:rPr>
          <w:i/>
          <w:iCs/>
        </w:rPr>
        <w:t>REF</w:t>
      </w:r>
      <w:r>
        <w:t xml:space="preserve"> scenario</w:t>
      </w:r>
      <w:r w:rsidR="00006531">
        <w:t xml:space="preserve"> </w:t>
      </w:r>
      <w:r w:rsidR="00006531">
        <w:rPr>
          <w:b/>
          <w:bCs/>
        </w:rPr>
        <w:t>(Figure 2)</w:t>
      </w:r>
      <w:r>
        <w:t>.</w:t>
      </w:r>
    </w:p>
    <w:p w14:paraId="5D1FB60B" w14:textId="54158327" w:rsidR="00E47CC5" w:rsidRDefault="00E47CC5">
      <w:pPr>
        <w:rPr>
          <w:b/>
          <w:bCs/>
        </w:rPr>
      </w:pPr>
      <w:r>
        <w:rPr>
          <w:b/>
          <w:bCs/>
        </w:rPr>
        <w:br w:type="page"/>
      </w:r>
    </w:p>
    <w:p w14:paraId="06DBDAC5" w14:textId="71A56278" w:rsidR="00F66A14" w:rsidRDefault="00F66A14" w:rsidP="00F66A14">
      <w:pPr>
        <w:rPr>
          <w:b/>
          <w:bCs/>
          <w:i/>
          <w:iCs/>
        </w:rPr>
      </w:pPr>
      <w:r>
        <w:rPr>
          <w:b/>
          <w:bCs/>
        </w:rPr>
        <w:lastRenderedPageBreak/>
        <w:t xml:space="preserve">Table S5. Cumulative LUC emissions changes. </w:t>
      </w:r>
      <w:r w:rsidRPr="00345362">
        <w:t>Percent change in cumulative LUC emissions</w:t>
      </w:r>
      <w:r>
        <w:t xml:space="preserve"> (a) 202</w:t>
      </w:r>
      <w:r w:rsidR="00056399">
        <w:t>0</w:t>
      </w:r>
      <w:r>
        <w:t>-2050, (b) 202</w:t>
      </w:r>
      <w:r w:rsidR="00056399">
        <w:t>0</w:t>
      </w:r>
      <w:r>
        <w:t>-2075, (c) 202</w:t>
      </w:r>
      <w:r w:rsidR="00056399">
        <w:t>0</w:t>
      </w:r>
      <w:r>
        <w:t>-2100)</w:t>
      </w:r>
      <w:r w:rsidRPr="00345362">
        <w:t xml:space="preserve"> in key deforestation-prone oil crop exporting regions and globally compared to </w:t>
      </w:r>
      <w:r w:rsidRPr="00345362">
        <w:rPr>
          <w:i/>
          <w:iCs/>
        </w:rPr>
        <w:t>REF</w:t>
      </w:r>
      <w:r>
        <w:rPr>
          <w:b/>
          <w:bCs/>
          <w:i/>
          <w:iCs/>
        </w:rPr>
        <w:t>.</w:t>
      </w:r>
    </w:p>
    <w:tbl>
      <w:tblPr>
        <w:tblW w:w="9344" w:type="dxa"/>
        <w:tblCellMar>
          <w:left w:w="0" w:type="dxa"/>
          <w:right w:w="0" w:type="dxa"/>
        </w:tblCellMar>
        <w:tblLook w:val="04A0" w:firstRow="1" w:lastRow="0" w:firstColumn="1" w:lastColumn="0" w:noHBand="0" w:noVBand="1"/>
      </w:tblPr>
      <w:tblGrid>
        <w:gridCol w:w="1984"/>
        <w:gridCol w:w="1643"/>
        <w:gridCol w:w="1602"/>
        <w:gridCol w:w="1515"/>
        <w:gridCol w:w="1224"/>
        <w:gridCol w:w="1376"/>
      </w:tblGrid>
      <w:tr w:rsidR="00AA22A3" w:rsidRPr="0071081E" w14:paraId="71F309FD" w14:textId="77777777" w:rsidTr="002035F8">
        <w:trPr>
          <w:trHeight w:val="360"/>
        </w:trPr>
        <w:tc>
          <w:tcPr>
            <w:tcW w:w="1984" w:type="dxa"/>
            <w:tcBorders>
              <w:top w:val="single" w:sz="6" w:space="0" w:color="000000"/>
              <w:left w:val="single" w:sz="6" w:space="0" w:color="000000"/>
              <w:bottom w:val="single" w:sz="6" w:space="0" w:color="000000"/>
              <w:right w:val="single" w:sz="4" w:space="0" w:color="auto"/>
            </w:tcBorders>
            <w:shd w:val="clear" w:color="auto" w:fill="000000"/>
            <w:tcMar>
              <w:top w:w="15" w:type="dxa"/>
              <w:left w:w="108" w:type="dxa"/>
              <w:bottom w:w="0" w:type="dxa"/>
              <w:right w:w="108" w:type="dxa"/>
            </w:tcMar>
            <w:hideMark/>
          </w:tcPr>
          <w:p w14:paraId="7C7D52DB" w14:textId="0DF231BD" w:rsidR="00AA22A3" w:rsidRPr="0071081E" w:rsidRDefault="00AA22A3" w:rsidP="002035F8">
            <w:pPr>
              <w:pStyle w:val="ListParagraph"/>
              <w:numPr>
                <w:ilvl w:val="0"/>
                <w:numId w:val="24"/>
              </w:numPr>
              <w:spacing w:after="0"/>
            </w:pPr>
            <w:r w:rsidRPr="00225F83">
              <w:rPr>
                <w:b/>
                <w:bCs/>
              </w:rPr>
              <w:br w:type="page"/>
            </w:r>
            <w:r>
              <w:rPr>
                <w:b/>
                <w:bCs/>
              </w:rPr>
              <w:t>Cumulative 202</w:t>
            </w:r>
            <w:r w:rsidR="00F02C1B">
              <w:rPr>
                <w:b/>
                <w:bCs/>
              </w:rPr>
              <w:t>0</w:t>
            </w:r>
            <w:r>
              <w:rPr>
                <w:b/>
                <w:bCs/>
              </w:rPr>
              <w:t>-</w:t>
            </w:r>
            <w:r w:rsidRPr="00225F83">
              <w:rPr>
                <w:b/>
                <w:bCs/>
              </w:rPr>
              <w:t>2050</w:t>
            </w:r>
          </w:p>
        </w:tc>
        <w:tc>
          <w:tcPr>
            <w:tcW w:w="1643" w:type="dxa"/>
            <w:tcBorders>
              <w:top w:val="single" w:sz="4" w:space="0" w:color="auto"/>
              <w:left w:val="single" w:sz="4" w:space="0" w:color="auto"/>
              <w:bottom w:val="single" w:sz="4" w:space="0" w:color="auto"/>
              <w:right w:val="single" w:sz="4" w:space="0" w:color="auto"/>
            </w:tcBorders>
            <w:shd w:val="clear" w:color="auto" w:fill="000000"/>
            <w:tcMar>
              <w:top w:w="15" w:type="dxa"/>
              <w:left w:w="108" w:type="dxa"/>
              <w:bottom w:w="0" w:type="dxa"/>
              <w:right w:w="108" w:type="dxa"/>
            </w:tcMar>
          </w:tcPr>
          <w:p w14:paraId="6EE09BE9" w14:textId="77777777" w:rsidR="00AA22A3" w:rsidRPr="007A55E4" w:rsidRDefault="00AA22A3" w:rsidP="002035F8">
            <w:pPr>
              <w:spacing w:after="0"/>
              <w:jc w:val="center"/>
              <w:rPr>
                <w:b/>
                <w:bCs/>
              </w:rPr>
            </w:pPr>
            <w:r>
              <w:rPr>
                <w:b/>
                <w:bCs/>
              </w:rPr>
              <w:t>EU freeze</w:t>
            </w:r>
          </w:p>
        </w:tc>
        <w:tc>
          <w:tcPr>
            <w:tcW w:w="1602" w:type="dxa"/>
            <w:tcBorders>
              <w:top w:val="single" w:sz="4" w:space="0" w:color="auto"/>
              <w:left w:val="single" w:sz="4" w:space="0" w:color="auto"/>
              <w:bottom w:val="single" w:sz="4" w:space="0" w:color="auto"/>
              <w:right w:val="single" w:sz="4" w:space="0" w:color="auto"/>
            </w:tcBorders>
            <w:shd w:val="clear" w:color="auto" w:fill="000000"/>
          </w:tcPr>
          <w:p w14:paraId="39CA1954" w14:textId="77777777" w:rsidR="00AA22A3" w:rsidRDefault="00AA22A3" w:rsidP="002035F8">
            <w:pPr>
              <w:spacing w:after="0"/>
              <w:jc w:val="center"/>
              <w:rPr>
                <w:b/>
                <w:bCs/>
              </w:rPr>
            </w:pPr>
            <w:r>
              <w:rPr>
                <w:b/>
                <w:bCs/>
              </w:rPr>
              <w:t>HighInc freeze</w:t>
            </w:r>
          </w:p>
        </w:tc>
        <w:tc>
          <w:tcPr>
            <w:tcW w:w="1515" w:type="dxa"/>
            <w:tcBorders>
              <w:top w:val="single" w:sz="4" w:space="0" w:color="auto"/>
              <w:left w:val="single" w:sz="4" w:space="0" w:color="auto"/>
              <w:bottom w:val="single" w:sz="4" w:space="0" w:color="auto"/>
              <w:right w:val="single" w:sz="4" w:space="0" w:color="auto"/>
            </w:tcBorders>
            <w:shd w:val="clear" w:color="auto" w:fill="000000"/>
          </w:tcPr>
          <w:p w14:paraId="193A83B5" w14:textId="77777777" w:rsidR="00AA22A3" w:rsidRDefault="00AA22A3" w:rsidP="002035F8">
            <w:pPr>
              <w:spacing w:after="0"/>
              <w:jc w:val="center"/>
              <w:rPr>
                <w:b/>
                <w:bCs/>
              </w:rPr>
            </w:pPr>
            <w:r>
              <w:rPr>
                <w:b/>
                <w:bCs/>
              </w:rPr>
              <w:t>EU/Top 5 freeze</w:t>
            </w:r>
          </w:p>
        </w:tc>
        <w:tc>
          <w:tcPr>
            <w:tcW w:w="1224" w:type="dxa"/>
            <w:tcBorders>
              <w:top w:val="single" w:sz="4" w:space="0" w:color="auto"/>
              <w:left w:val="single" w:sz="4" w:space="0" w:color="auto"/>
              <w:bottom w:val="single" w:sz="4" w:space="0" w:color="auto"/>
              <w:right w:val="single" w:sz="4" w:space="0" w:color="auto"/>
            </w:tcBorders>
            <w:shd w:val="clear" w:color="auto" w:fill="000000"/>
          </w:tcPr>
          <w:p w14:paraId="74DB8893" w14:textId="77777777" w:rsidR="00AA22A3" w:rsidRDefault="00AA22A3" w:rsidP="002035F8">
            <w:pPr>
              <w:spacing w:after="0"/>
              <w:jc w:val="center"/>
              <w:rPr>
                <w:b/>
                <w:bCs/>
              </w:rPr>
            </w:pPr>
            <w:r>
              <w:rPr>
                <w:b/>
                <w:bCs/>
              </w:rPr>
              <w:t>EU ban</w:t>
            </w:r>
          </w:p>
        </w:tc>
        <w:tc>
          <w:tcPr>
            <w:tcW w:w="1376" w:type="dxa"/>
            <w:tcBorders>
              <w:top w:val="single" w:sz="4" w:space="0" w:color="auto"/>
              <w:left w:val="single" w:sz="4" w:space="0" w:color="auto"/>
              <w:bottom w:val="single" w:sz="4" w:space="0" w:color="auto"/>
              <w:right w:val="single" w:sz="4" w:space="0" w:color="auto"/>
            </w:tcBorders>
            <w:shd w:val="clear" w:color="auto" w:fill="000000"/>
          </w:tcPr>
          <w:p w14:paraId="251356BB" w14:textId="77777777" w:rsidR="00AA22A3" w:rsidRDefault="00AA22A3" w:rsidP="002035F8">
            <w:pPr>
              <w:spacing w:after="0"/>
              <w:jc w:val="center"/>
              <w:rPr>
                <w:b/>
                <w:bCs/>
              </w:rPr>
            </w:pPr>
            <w:r>
              <w:rPr>
                <w:b/>
                <w:bCs/>
              </w:rPr>
              <w:t xml:space="preserve">Land </w:t>
            </w:r>
            <w:proofErr w:type="gramStart"/>
            <w:r>
              <w:rPr>
                <w:b/>
                <w:bCs/>
              </w:rPr>
              <w:t>protect</w:t>
            </w:r>
            <w:proofErr w:type="gramEnd"/>
          </w:p>
        </w:tc>
      </w:tr>
      <w:tr w:rsidR="00AA22A3" w:rsidRPr="0071081E" w14:paraId="7AB3EAC2" w14:textId="77777777" w:rsidTr="002035F8">
        <w:trPr>
          <w:trHeight w:val="360"/>
        </w:trPr>
        <w:tc>
          <w:tcPr>
            <w:tcW w:w="1984" w:type="dxa"/>
            <w:tcBorders>
              <w:top w:val="single" w:sz="6" w:space="0" w:color="000000"/>
              <w:left w:val="single" w:sz="6" w:space="0" w:color="000000"/>
              <w:bottom w:val="single" w:sz="6" w:space="0" w:color="000000"/>
              <w:right w:val="single" w:sz="4" w:space="0" w:color="auto"/>
            </w:tcBorders>
            <w:shd w:val="clear" w:color="auto" w:fill="auto"/>
            <w:tcMar>
              <w:top w:w="15" w:type="dxa"/>
              <w:left w:w="108" w:type="dxa"/>
              <w:bottom w:w="0" w:type="dxa"/>
              <w:right w:w="108" w:type="dxa"/>
            </w:tcMar>
            <w:hideMark/>
          </w:tcPr>
          <w:p w14:paraId="13D328BF" w14:textId="77777777" w:rsidR="00AA22A3" w:rsidRPr="0071081E" w:rsidRDefault="00AA22A3" w:rsidP="002035F8">
            <w:pPr>
              <w:spacing w:after="0"/>
            </w:pPr>
            <w:r>
              <w:rPr>
                <w:b/>
                <w:bCs/>
              </w:rPr>
              <w:t>Indonesia</w:t>
            </w:r>
          </w:p>
        </w:tc>
        <w:tc>
          <w:tcPr>
            <w:tcW w:w="1643" w:type="dxa"/>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tcPr>
          <w:p w14:paraId="26CEE85A" w14:textId="77777777" w:rsidR="00AA22A3" w:rsidRPr="0071081E" w:rsidRDefault="00AA22A3" w:rsidP="002035F8">
            <w:pPr>
              <w:spacing w:after="0"/>
              <w:jc w:val="center"/>
            </w:pPr>
            <w:r>
              <w:t>+0.04%</w:t>
            </w:r>
          </w:p>
        </w:tc>
        <w:tc>
          <w:tcPr>
            <w:tcW w:w="1602" w:type="dxa"/>
            <w:tcBorders>
              <w:top w:val="single" w:sz="4" w:space="0" w:color="auto"/>
              <w:left w:val="single" w:sz="4" w:space="0" w:color="auto"/>
              <w:bottom w:val="single" w:sz="4" w:space="0" w:color="auto"/>
              <w:right w:val="single" w:sz="4" w:space="0" w:color="auto"/>
            </w:tcBorders>
          </w:tcPr>
          <w:p w14:paraId="6AB48AAD" w14:textId="77777777" w:rsidR="00AA22A3" w:rsidRPr="0071081E" w:rsidRDefault="00AA22A3" w:rsidP="002035F8">
            <w:pPr>
              <w:spacing w:after="0"/>
              <w:jc w:val="center"/>
            </w:pPr>
            <w:r>
              <w:t>-0.6%</w:t>
            </w:r>
          </w:p>
        </w:tc>
        <w:tc>
          <w:tcPr>
            <w:tcW w:w="1515" w:type="dxa"/>
            <w:tcBorders>
              <w:top w:val="single" w:sz="4" w:space="0" w:color="auto"/>
              <w:left w:val="single" w:sz="4" w:space="0" w:color="auto"/>
              <w:bottom w:val="single" w:sz="4" w:space="0" w:color="auto"/>
              <w:right w:val="single" w:sz="4" w:space="0" w:color="auto"/>
            </w:tcBorders>
          </w:tcPr>
          <w:p w14:paraId="2B3901B7" w14:textId="77777777" w:rsidR="00AA22A3" w:rsidRPr="0071081E" w:rsidRDefault="00AA22A3" w:rsidP="002035F8">
            <w:pPr>
              <w:spacing w:after="0"/>
              <w:jc w:val="center"/>
            </w:pPr>
            <w:r>
              <w:t>-1.2%</w:t>
            </w:r>
          </w:p>
        </w:tc>
        <w:tc>
          <w:tcPr>
            <w:tcW w:w="1224" w:type="dxa"/>
            <w:tcBorders>
              <w:top w:val="single" w:sz="4" w:space="0" w:color="auto"/>
              <w:left w:val="single" w:sz="4" w:space="0" w:color="auto"/>
              <w:bottom w:val="single" w:sz="4" w:space="0" w:color="auto"/>
              <w:right w:val="single" w:sz="4" w:space="0" w:color="auto"/>
            </w:tcBorders>
          </w:tcPr>
          <w:p w14:paraId="45038E6A" w14:textId="77777777" w:rsidR="00AA22A3" w:rsidRDefault="00AA22A3" w:rsidP="002035F8">
            <w:pPr>
              <w:spacing w:after="0"/>
              <w:jc w:val="center"/>
            </w:pPr>
            <w:r>
              <w:t>-1.6%</w:t>
            </w:r>
          </w:p>
        </w:tc>
        <w:tc>
          <w:tcPr>
            <w:tcW w:w="1376" w:type="dxa"/>
            <w:tcBorders>
              <w:top w:val="single" w:sz="4" w:space="0" w:color="auto"/>
              <w:left w:val="single" w:sz="4" w:space="0" w:color="auto"/>
              <w:bottom w:val="single" w:sz="4" w:space="0" w:color="auto"/>
              <w:right w:val="single" w:sz="4" w:space="0" w:color="auto"/>
            </w:tcBorders>
          </w:tcPr>
          <w:p w14:paraId="347B568B" w14:textId="77777777" w:rsidR="00AA22A3" w:rsidRPr="0071081E" w:rsidRDefault="00AA22A3" w:rsidP="002035F8">
            <w:pPr>
              <w:spacing w:after="0"/>
              <w:jc w:val="center"/>
            </w:pPr>
            <w:r>
              <w:t>-1.5%</w:t>
            </w:r>
          </w:p>
        </w:tc>
      </w:tr>
      <w:tr w:rsidR="00AA22A3" w:rsidRPr="0071081E" w14:paraId="01BE2DFC" w14:textId="77777777" w:rsidTr="002035F8">
        <w:trPr>
          <w:trHeight w:val="360"/>
        </w:trPr>
        <w:tc>
          <w:tcPr>
            <w:tcW w:w="1984" w:type="dxa"/>
            <w:tcBorders>
              <w:top w:val="single" w:sz="6" w:space="0" w:color="000000"/>
              <w:left w:val="single" w:sz="6" w:space="0" w:color="000000"/>
              <w:bottom w:val="single" w:sz="6" w:space="0" w:color="000000"/>
              <w:right w:val="single" w:sz="4" w:space="0" w:color="auto"/>
            </w:tcBorders>
            <w:shd w:val="clear" w:color="auto" w:fill="auto"/>
            <w:tcMar>
              <w:top w:w="15" w:type="dxa"/>
              <w:left w:w="108" w:type="dxa"/>
              <w:bottom w:w="0" w:type="dxa"/>
              <w:right w:w="108" w:type="dxa"/>
            </w:tcMar>
            <w:hideMark/>
          </w:tcPr>
          <w:p w14:paraId="634213A1" w14:textId="77777777" w:rsidR="00AA22A3" w:rsidRPr="0071081E" w:rsidRDefault="00AA22A3" w:rsidP="002035F8">
            <w:pPr>
              <w:spacing w:after="0"/>
            </w:pPr>
            <w:r>
              <w:rPr>
                <w:b/>
                <w:bCs/>
              </w:rPr>
              <w:t>RO SEAsia</w:t>
            </w:r>
          </w:p>
        </w:tc>
        <w:tc>
          <w:tcPr>
            <w:tcW w:w="1643" w:type="dxa"/>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tcPr>
          <w:p w14:paraId="78F7EAC4" w14:textId="77777777" w:rsidR="00AA22A3" w:rsidRPr="0071081E" w:rsidRDefault="00AA22A3" w:rsidP="002035F8">
            <w:pPr>
              <w:spacing w:after="0"/>
              <w:jc w:val="center"/>
            </w:pPr>
            <w:r>
              <w:t>+0.07%</w:t>
            </w:r>
          </w:p>
        </w:tc>
        <w:tc>
          <w:tcPr>
            <w:tcW w:w="1602" w:type="dxa"/>
            <w:tcBorders>
              <w:top w:val="single" w:sz="4" w:space="0" w:color="auto"/>
              <w:left w:val="single" w:sz="4" w:space="0" w:color="auto"/>
              <w:bottom w:val="single" w:sz="4" w:space="0" w:color="auto"/>
              <w:right w:val="single" w:sz="4" w:space="0" w:color="auto"/>
            </w:tcBorders>
          </w:tcPr>
          <w:p w14:paraId="59F654E4" w14:textId="77777777" w:rsidR="00AA22A3" w:rsidRPr="0071081E" w:rsidRDefault="00AA22A3" w:rsidP="002035F8">
            <w:pPr>
              <w:spacing w:after="0"/>
              <w:jc w:val="center"/>
            </w:pPr>
            <w:r>
              <w:t>-1.7%</w:t>
            </w:r>
          </w:p>
        </w:tc>
        <w:tc>
          <w:tcPr>
            <w:tcW w:w="1515" w:type="dxa"/>
            <w:tcBorders>
              <w:top w:val="single" w:sz="4" w:space="0" w:color="auto"/>
              <w:left w:val="single" w:sz="4" w:space="0" w:color="auto"/>
              <w:bottom w:val="single" w:sz="4" w:space="0" w:color="auto"/>
              <w:right w:val="single" w:sz="4" w:space="0" w:color="auto"/>
            </w:tcBorders>
          </w:tcPr>
          <w:p w14:paraId="5A239A0D" w14:textId="77777777" w:rsidR="00AA22A3" w:rsidRPr="0071081E" w:rsidRDefault="00AA22A3" w:rsidP="002035F8">
            <w:pPr>
              <w:spacing w:after="0"/>
              <w:jc w:val="center"/>
            </w:pPr>
            <w:r>
              <w:t>-0.5%</w:t>
            </w:r>
          </w:p>
        </w:tc>
        <w:tc>
          <w:tcPr>
            <w:tcW w:w="1224" w:type="dxa"/>
            <w:tcBorders>
              <w:top w:val="single" w:sz="4" w:space="0" w:color="auto"/>
              <w:left w:val="single" w:sz="4" w:space="0" w:color="auto"/>
              <w:bottom w:val="single" w:sz="4" w:space="0" w:color="auto"/>
              <w:right w:val="single" w:sz="4" w:space="0" w:color="auto"/>
            </w:tcBorders>
          </w:tcPr>
          <w:p w14:paraId="22D9BBCB" w14:textId="77777777" w:rsidR="00AA22A3" w:rsidRDefault="00AA22A3" w:rsidP="002035F8">
            <w:pPr>
              <w:spacing w:after="0"/>
              <w:jc w:val="center"/>
            </w:pPr>
            <w:r>
              <w:t>-2.1%</w:t>
            </w:r>
          </w:p>
        </w:tc>
        <w:tc>
          <w:tcPr>
            <w:tcW w:w="1376" w:type="dxa"/>
            <w:tcBorders>
              <w:top w:val="single" w:sz="4" w:space="0" w:color="auto"/>
              <w:left w:val="single" w:sz="4" w:space="0" w:color="auto"/>
              <w:bottom w:val="single" w:sz="4" w:space="0" w:color="auto"/>
              <w:right w:val="single" w:sz="4" w:space="0" w:color="auto"/>
            </w:tcBorders>
          </w:tcPr>
          <w:p w14:paraId="160610C6" w14:textId="77777777" w:rsidR="00AA22A3" w:rsidRPr="0071081E" w:rsidRDefault="00AA22A3" w:rsidP="002035F8">
            <w:pPr>
              <w:spacing w:after="0"/>
              <w:jc w:val="center"/>
            </w:pPr>
            <w:r>
              <w:t>-1.8%</w:t>
            </w:r>
          </w:p>
        </w:tc>
      </w:tr>
      <w:tr w:rsidR="00AA22A3" w:rsidRPr="0071081E" w14:paraId="728750EB" w14:textId="77777777" w:rsidTr="002035F8">
        <w:trPr>
          <w:trHeight w:val="360"/>
        </w:trPr>
        <w:tc>
          <w:tcPr>
            <w:tcW w:w="1984" w:type="dxa"/>
            <w:tcBorders>
              <w:top w:val="single" w:sz="6" w:space="0" w:color="000000"/>
              <w:left w:val="single" w:sz="6" w:space="0" w:color="000000"/>
              <w:bottom w:val="single" w:sz="6" w:space="0" w:color="000000"/>
              <w:right w:val="single" w:sz="4" w:space="0" w:color="auto"/>
            </w:tcBorders>
            <w:shd w:val="clear" w:color="auto" w:fill="auto"/>
            <w:tcMar>
              <w:top w:w="15" w:type="dxa"/>
              <w:left w:w="108" w:type="dxa"/>
              <w:bottom w:w="0" w:type="dxa"/>
              <w:right w:w="108" w:type="dxa"/>
            </w:tcMar>
            <w:hideMark/>
          </w:tcPr>
          <w:p w14:paraId="77F6DCE8" w14:textId="77777777" w:rsidR="00AA22A3" w:rsidRPr="007A55E4" w:rsidRDefault="00AA22A3" w:rsidP="002035F8">
            <w:pPr>
              <w:spacing w:after="0"/>
              <w:rPr>
                <w:b/>
                <w:bCs/>
              </w:rPr>
            </w:pPr>
            <w:r>
              <w:rPr>
                <w:b/>
                <w:bCs/>
              </w:rPr>
              <w:t>Brazil</w:t>
            </w:r>
          </w:p>
        </w:tc>
        <w:tc>
          <w:tcPr>
            <w:tcW w:w="1643" w:type="dxa"/>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tcPr>
          <w:p w14:paraId="5485B19C" w14:textId="77777777" w:rsidR="00AA22A3" w:rsidRPr="0071081E" w:rsidRDefault="00AA22A3" w:rsidP="002035F8">
            <w:pPr>
              <w:spacing w:after="0"/>
              <w:jc w:val="center"/>
            </w:pPr>
            <w:r>
              <w:t>-0.7%</w:t>
            </w:r>
          </w:p>
        </w:tc>
        <w:tc>
          <w:tcPr>
            <w:tcW w:w="1602" w:type="dxa"/>
            <w:tcBorders>
              <w:top w:val="single" w:sz="4" w:space="0" w:color="auto"/>
              <w:left w:val="single" w:sz="4" w:space="0" w:color="auto"/>
              <w:bottom w:val="single" w:sz="4" w:space="0" w:color="auto"/>
              <w:right w:val="single" w:sz="4" w:space="0" w:color="auto"/>
            </w:tcBorders>
          </w:tcPr>
          <w:p w14:paraId="27FB8BDC" w14:textId="77777777" w:rsidR="00AA22A3" w:rsidRPr="0071081E" w:rsidRDefault="00AA22A3" w:rsidP="002035F8">
            <w:pPr>
              <w:spacing w:after="0"/>
              <w:jc w:val="center"/>
            </w:pPr>
            <w:r>
              <w:t>-6.4%</w:t>
            </w:r>
          </w:p>
        </w:tc>
        <w:tc>
          <w:tcPr>
            <w:tcW w:w="1515" w:type="dxa"/>
            <w:tcBorders>
              <w:top w:val="single" w:sz="4" w:space="0" w:color="auto"/>
              <w:left w:val="single" w:sz="4" w:space="0" w:color="auto"/>
              <w:bottom w:val="single" w:sz="4" w:space="0" w:color="auto"/>
              <w:right w:val="single" w:sz="4" w:space="0" w:color="auto"/>
            </w:tcBorders>
          </w:tcPr>
          <w:p w14:paraId="783136C2" w14:textId="77777777" w:rsidR="00AA22A3" w:rsidRPr="0071081E" w:rsidRDefault="00AA22A3" w:rsidP="002035F8">
            <w:pPr>
              <w:spacing w:after="0"/>
              <w:jc w:val="center"/>
            </w:pPr>
            <w:r>
              <w:t>-8.3%</w:t>
            </w:r>
          </w:p>
        </w:tc>
        <w:tc>
          <w:tcPr>
            <w:tcW w:w="1224" w:type="dxa"/>
            <w:tcBorders>
              <w:top w:val="single" w:sz="4" w:space="0" w:color="auto"/>
              <w:left w:val="single" w:sz="4" w:space="0" w:color="auto"/>
              <w:bottom w:val="single" w:sz="4" w:space="0" w:color="auto"/>
              <w:right w:val="single" w:sz="4" w:space="0" w:color="auto"/>
            </w:tcBorders>
          </w:tcPr>
          <w:p w14:paraId="130EA764" w14:textId="77777777" w:rsidR="00AA22A3" w:rsidRDefault="00AA22A3" w:rsidP="002035F8">
            <w:pPr>
              <w:spacing w:after="0"/>
              <w:jc w:val="center"/>
            </w:pPr>
            <w:r>
              <w:t>-1.8%</w:t>
            </w:r>
          </w:p>
        </w:tc>
        <w:tc>
          <w:tcPr>
            <w:tcW w:w="1376" w:type="dxa"/>
            <w:tcBorders>
              <w:top w:val="single" w:sz="4" w:space="0" w:color="auto"/>
              <w:left w:val="single" w:sz="4" w:space="0" w:color="auto"/>
              <w:bottom w:val="single" w:sz="4" w:space="0" w:color="auto"/>
              <w:right w:val="single" w:sz="4" w:space="0" w:color="auto"/>
            </w:tcBorders>
          </w:tcPr>
          <w:p w14:paraId="343864FF" w14:textId="77777777" w:rsidR="00AA22A3" w:rsidRPr="0071081E" w:rsidRDefault="00AA22A3" w:rsidP="002035F8">
            <w:pPr>
              <w:spacing w:after="0"/>
              <w:jc w:val="center"/>
            </w:pPr>
            <w:r>
              <w:t>-11%</w:t>
            </w:r>
          </w:p>
        </w:tc>
      </w:tr>
      <w:tr w:rsidR="00AA22A3" w:rsidRPr="0071081E" w14:paraId="0F781E65" w14:textId="77777777" w:rsidTr="002035F8">
        <w:trPr>
          <w:trHeight w:val="360"/>
        </w:trPr>
        <w:tc>
          <w:tcPr>
            <w:tcW w:w="1984" w:type="dxa"/>
            <w:tcBorders>
              <w:top w:val="single" w:sz="6" w:space="0" w:color="000000"/>
              <w:left w:val="single" w:sz="6" w:space="0" w:color="000000"/>
              <w:bottom w:val="single" w:sz="6" w:space="0" w:color="000000"/>
              <w:right w:val="single" w:sz="4" w:space="0" w:color="auto"/>
            </w:tcBorders>
            <w:shd w:val="clear" w:color="auto" w:fill="auto"/>
            <w:tcMar>
              <w:top w:w="15" w:type="dxa"/>
              <w:left w:w="108" w:type="dxa"/>
              <w:bottom w:w="0" w:type="dxa"/>
              <w:right w:w="108" w:type="dxa"/>
            </w:tcMar>
          </w:tcPr>
          <w:p w14:paraId="4C382FBF" w14:textId="77777777" w:rsidR="00AA22A3" w:rsidRDefault="00AA22A3" w:rsidP="002035F8">
            <w:pPr>
              <w:spacing w:after="0"/>
              <w:rPr>
                <w:b/>
                <w:bCs/>
              </w:rPr>
            </w:pPr>
            <w:r>
              <w:rPr>
                <w:b/>
                <w:bCs/>
              </w:rPr>
              <w:t>Argentina</w:t>
            </w:r>
          </w:p>
        </w:tc>
        <w:tc>
          <w:tcPr>
            <w:tcW w:w="1643" w:type="dxa"/>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tcPr>
          <w:p w14:paraId="228C8D47" w14:textId="77777777" w:rsidR="00AA22A3" w:rsidRPr="0071081E" w:rsidRDefault="00AA22A3" w:rsidP="002035F8">
            <w:pPr>
              <w:spacing w:after="0"/>
              <w:jc w:val="center"/>
            </w:pPr>
            <w:r>
              <w:t>-0.1%</w:t>
            </w:r>
          </w:p>
        </w:tc>
        <w:tc>
          <w:tcPr>
            <w:tcW w:w="1602" w:type="dxa"/>
            <w:tcBorders>
              <w:top w:val="single" w:sz="4" w:space="0" w:color="auto"/>
              <w:left w:val="single" w:sz="4" w:space="0" w:color="auto"/>
              <w:bottom w:val="single" w:sz="4" w:space="0" w:color="auto"/>
              <w:right w:val="single" w:sz="4" w:space="0" w:color="auto"/>
            </w:tcBorders>
          </w:tcPr>
          <w:p w14:paraId="05149CEF" w14:textId="77777777" w:rsidR="00AA22A3" w:rsidRPr="0071081E" w:rsidRDefault="00AA22A3" w:rsidP="002035F8">
            <w:pPr>
              <w:spacing w:after="0"/>
              <w:jc w:val="center"/>
            </w:pPr>
            <w:r>
              <w:t>-1.2%</w:t>
            </w:r>
          </w:p>
        </w:tc>
        <w:tc>
          <w:tcPr>
            <w:tcW w:w="1515" w:type="dxa"/>
            <w:tcBorders>
              <w:top w:val="single" w:sz="4" w:space="0" w:color="auto"/>
              <w:left w:val="single" w:sz="4" w:space="0" w:color="auto"/>
              <w:bottom w:val="single" w:sz="4" w:space="0" w:color="auto"/>
              <w:right w:val="single" w:sz="4" w:space="0" w:color="auto"/>
            </w:tcBorders>
          </w:tcPr>
          <w:p w14:paraId="02D542E3" w14:textId="77777777" w:rsidR="00AA22A3" w:rsidRPr="0071081E" w:rsidRDefault="00AA22A3" w:rsidP="002035F8">
            <w:pPr>
              <w:spacing w:after="0"/>
              <w:jc w:val="center"/>
            </w:pPr>
            <w:r>
              <w:t>-4.6%</w:t>
            </w:r>
          </w:p>
        </w:tc>
        <w:tc>
          <w:tcPr>
            <w:tcW w:w="1224" w:type="dxa"/>
            <w:tcBorders>
              <w:top w:val="single" w:sz="4" w:space="0" w:color="auto"/>
              <w:left w:val="single" w:sz="4" w:space="0" w:color="auto"/>
              <w:bottom w:val="single" w:sz="4" w:space="0" w:color="auto"/>
              <w:right w:val="single" w:sz="4" w:space="0" w:color="auto"/>
            </w:tcBorders>
          </w:tcPr>
          <w:p w14:paraId="4A73AB92" w14:textId="77777777" w:rsidR="00AA22A3" w:rsidRDefault="00AA22A3" w:rsidP="002035F8">
            <w:pPr>
              <w:spacing w:after="0"/>
              <w:jc w:val="center"/>
            </w:pPr>
            <w:r>
              <w:t>-2.8%</w:t>
            </w:r>
          </w:p>
        </w:tc>
        <w:tc>
          <w:tcPr>
            <w:tcW w:w="1376" w:type="dxa"/>
            <w:tcBorders>
              <w:top w:val="single" w:sz="4" w:space="0" w:color="auto"/>
              <w:left w:val="single" w:sz="4" w:space="0" w:color="auto"/>
              <w:bottom w:val="single" w:sz="4" w:space="0" w:color="auto"/>
              <w:right w:val="single" w:sz="4" w:space="0" w:color="auto"/>
            </w:tcBorders>
          </w:tcPr>
          <w:p w14:paraId="5289E738" w14:textId="77777777" w:rsidR="00AA22A3" w:rsidRPr="0071081E" w:rsidRDefault="00AA22A3" w:rsidP="002035F8">
            <w:pPr>
              <w:spacing w:after="0"/>
              <w:jc w:val="center"/>
            </w:pPr>
            <w:r>
              <w:t>-4.5%</w:t>
            </w:r>
          </w:p>
        </w:tc>
      </w:tr>
      <w:tr w:rsidR="00AA22A3" w:rsidRPr="0071081E" w14:paraId="192FCA56" w14:textId="77777777" w:rsidTr="002035F8">
        <w:trPr>
          <w:trHeight w:val="360"/>
        </w:trPr>
        <w:tc>
          <w:tcPr>
            <w:tcW w:w="1984" w:type="dxa"/>
            <w:tcBorders>
              <w:top w:val="single" w:sz="6" w:space="0" w:color="000000"/>
              <w:left w:val="single" w:sz="6" w:space="0" w:color="000000"/>
              <w:bottom w:val="single" w:sz="6" w:space="0" w:color="000000"/>
              <w:right w:val="single" w:sz="4" w:space="0" w:color="auto"/>
            </w:tcBorders>
            <w:shd w:val="clear" w:color="auto" w:fill="auto"/>
            <w:tcMar>
              <w:top w:w="15" w:type="dxa"/>
              <w:left w:w="108" w:type="dxa"/>
              <w:bottom w:w="0" w:type="dxa"/>
              <w:right w:w="108" w:type="dxa"/>
            </w:tcMar>
          </w:tcPr>
          <w:p w14:paraId="0E32D45F" w14:textId="77777777" w:rsidR="00AA22A3" w:rsidRDefault="00AA22A3" w:rsidP="002035F8">
            <w:pPr>
              <w:spacing w:after="0"/>
              <w:rPr>
                <w:b/>
                <w:bCs/>
              </w:rPr>
            </w:pPr>
            <w:r>
              <w:rPr>
                <w:b/>
                <w:bCs/>
              </w:rPr>
              <w:t>Global</w:t>
            </w:r>
          </w:p>
        </w:tc>
        <w:tc>
          <w:tcPr>
            <w:tcW w:w="1643" w:type="dxa"/>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tcPr>
          <w:p w14:paraId="4F0A0585" w14:textId="77777777" w:rsidR="00AA22A3" w:rsidRPr="0071081E" w:rsidRDefault="00AA22A3" w:rsidP="002035F8">
            <w:pPr>
              <w:spacing w:after="0"/>
              <w:jc w:val="center"/>
            </w:pPr>
            <w:r>
              <w:t>-0.05%</w:t>
            </w:r>
          </w:p>
        </w:tc>
        <w:tc>
          <w:tcPr>
            <w:tcW w:w="1602" w:type="dxa"/>
            <w:tcBorders>
              <w:top w:val="single" w:sz="4" w:space="0" w:color="auto"/>
              <w:left w:val="single" w:sz="4" w:space="0" w:color="auto"/>
              <w:bottom w:val="single" w:sz="4" w:space="0" w:color="auto"/>
              <w:right w:val="single" w:sz="4" w:space="0" w:color="auto"/>
            </w:tcBorders>
          </w:tcPr>
          <w:p w14:paraId="4E82A452" w14:textId="77777777" w:rsidR="00AA22A3" w:rsidRPr="0071081E" w:rsidRDefault="00AA22A3" w:rsidP="002035F8">
            <w:pPr>
              <w:spacing w:after="0"/>
              <w:jc w:val="center"/>
            </w:pPr>
            <w:r>
              <w:t>-0.6%</w:t>
            </w:r>
          </w:p>
        </w:tc>
        <w:tc>
          <w:tcPr>
            <w:tcW w:w="1515" w:type="dxa"/>
            <w:tcBorders>
              <w:top w:val="single" w:sz="4" w:space="0" w:color="auto"/>
              <w:left w:val="single" w:sz="4" w:space="0" w:color="auto"/>
              <w:bottom w:val="single" w:sz="4" w:space="0" w:color="auto"/>
              <w:right w:val="single" w:sz="4" w:space="0" w:color="auto"/>
            </w:tcBorders>
          </w:tcPr>
          <w:p w14:paraId="04E6B1F0" w14:textId="77777777" w:rsidR="00AA22A3" w:rsidRPr="0071081E" w:rsidRDefault="00AA22A3" w:rsidP="002035F8">
            <w:pPr>
              <w:spacing w:after="0"/>
              <w:jc w:val="center"/>
            </w:pPr>
            <w:r>
              <w:t>-0.8%</w:t>
            </w:r>
          </w:p>
        </w:tc>
        <w:tc>
          <w:tcPr>
            <w:tcW w:w="1224" w:type="dxa"/>
            <w:tcBorders>
              <w:top w:val="single" w:sz="4" w:space="0" w:color="auto"/>
              <w:left w:val="single" w:sz="4" w:space="0" w:color="auto"/>
              <w:bottom w:val="single" w:sz="4" w:space="0" w:color="auto"/>
              <w:right w:val="single" w:sz="4" w:space="0" w:color="auto"/>
            </w:tcBorders>
          </w:tcPr>
          <w:p w14:paraId="2144F6FE" w14:textId="77777777" w:rsidR="00AA22A3" w:rsidRDefault="00AA22A3" w:rsidP="002035F8">
            <w:pPr>
              <w:spacing w:after="0"/>
              <w:jc w:val="center"/>
            </w:pPr>
            <w:r>
              <w:t>-0.00%</w:t>
            </w:r>
          </w:p>
        </w:tc>
        <w:tc>
          <w:tcPr>
            <w:tcW w:w="1376" w:type="dxa"/>
            <w:tcBorders>
              <w:top w:val="single" w:sz="4" w:space="0" w:color="auto"/>
              <w:left w:val="single" w:sz="4" w:space="0" w:color="auto"/>
              <w:bottom w:val="single" w:sz="4" w:space="0" w:color="auto"/>
              <w:right w:val="single" w:sz="4" w:space="0" w:color="auto"/>
            </w:tcBorders>
          </w:tcPr>
          <w:p w14:paraId="6DC42797" w14:textId="77777777" w:rsidR="00AA22A3" w:rsidRPr="0071081E" w:rsidRDefault="00AA22A3" w:rsidP="002035F8">
            <w:pPr>
              <w:spacing w:after="0"/>
              <w:jc w:val="center"/>
            </w:pPr>
            <w:r>
              <w:t>-2.2%</w:t>
            </w:r>
          </w:p>
        </w:tc>
      </w:tr>
      <w:tr w:rsidR="00AA22A3" w:rsidRPr="0071081E" w14:paraId="5AEC0267" w14:textId="77777777" w:rsidTr="002035F8">
        <w:trPr>
          <w:trHeight w:val="360"/>
        </w:trPr>
        <w:tc>
          <w:tcPr>
            <w:tcW w:w="1984" w:type="dxa"/>
            <w:tcBorders>
              <w:top w:val="single" w:sz="6" w:space="0" w:color="000000"/>
              <w:left w:val="single" w:sz="6" w:space="0" w:color="000000"/>
              <w:bottom w:val="single" w:sz="6" w:space="0" w:color="000000"/>
              <w:right w:val="single" w:sz="4" w:space="0" w:color="auto"/>
            </w:tcBorders>
            <w:shd w:val="clear" w:color="auto" w:fill="000000"/>
            <w:tcMar>
              <w:top w:w="15" w:type="dxa"/>
              <w:left w:w="108" w:type="dxa"/>
              <w:bottom w:w="0" w:type="dxa"/>
              <w:right w:w="108" w:type="dxa"/>
            </w:tcMar>
          </w:tcPr>
          <w:p w14:paraId="59721018" w14:textId="3B573A5A" w:rsidR="00AA22A3" w:rsidRPr="0071081E" w:rsidRDefault="00AA22A3" w:rsidP="002035F8">
            <w:pPr>
              <w:pStyle w:val="ListParagraph"/>
              <w:numPr>
                <w:ilvl w:val="0"/>
                <w:numId w:val="24"/>
              </w:numPr>
              <w:spacing w:after="0"/>
              <w:ind w:left="249"/>
              <w:jc w:val="center"/>
            </w:pPr>
            <w:r w:rsidRPr="008F303E">
              <w:rPr>
                <w:b/>
                <w:bCs/>
              </w:rPr>
              <w:t>Cumulative 202</w:t>
            </w:r>
            <w:r w:rsidR="00F02C1B">
              <w:rPr>
                <w:b/>
                <w:bCs/>
              </w:rPr>
              <w:t>0</w:t>
            </w:r>
            <w:r w:rsidRPr="008F303E">
              <w:rPr>
                <w:b/>
                <w:bCs/>
              </w:rPr>
              <w:t>-20</w:t>
            </w:r>
            <w:r>
              <w:rPr>
                <w:b/>
                <w:bCs/>
              </w:rPr>
              <w:t>75</w:t>
            </w:r>
          </w:p>
        </w:tc>
        <w:tc>
          <w:tcPr>
            <w:tcW w:w="1643" w:type="dxa"/>
            <w:tcBorders>
              <w:top w:val="single" w:sz="4" w:space="0" w:color="auto"/>
              <w:left w:val="single" w:sz="4" w:space="0" w:color="auto"/>
              <w:bottom w:val="single" w:sz="4" w:space="0" w:color="auto"/>
              <w:right w:val="single" w:sz="4" w:space="0" w:color="auto"/>
            </w:tcBorders>
            <w:shd w:val="clear" w:color="auto" w:fill="000000"/>
            <w:tcMar>
              <w:top w:w="15" w:type="dxa"/>
              <w:left w:w="108" w:type="dxa"/>
              <w:bottom w:w="0" w:type="dxa"/>
              <w:right w:w="108" w:type="dxa"/>
            </w:tcMar>
          </w:tcPr>
          <w:p w14:paraId="07E0542B" w14:textId="77777777" w:rsidR="00AA22A3" w:rsidRPr="007A55E4" w:rsidRDefault="00AA22A3" w:rsidP="002035F8">
            <w:pPr>
              <w:spacing w:after="0"/>
              <w:jc w:val="center"/>
              <w:rPr>
                <w:b/>
                <w:bCs/>
              </w:rPr>
            </w:pPr>
            <w:r>
              <w:rPr>
                <w:b/>
                <w:bCs/>
              </w:rPr>
              <w:t>EU freeze</w:t>
            </w:r>
          </w:p>
        </w:tc>
        <w:tc>
          <w:tcPr>
            <w:tcW w:w="1602" w:type="dxa"/>
            <w:tcBorders>
              <w:top w:val="single" w:sz="4" w:space="0" w:color="auto"/>
              <w:left w:val="single" w:sz="4" w:space="0" w:color="auto"/>
              <w:bottom w:val="single" w:sz="4" w:space="0" w:color="auto"/>
              <w:right w:val="single" w:sz="4" w:space="0" w:color="auto"/>
            </w:tcBorders>
            <w:shd w:val="clear" w:color="auto" w:fill="000000"/>
          </w:tcPr>
          <w:p w14:paraId="4409BB3B" w14:textId="77777777" w:rsidR="00AA22A3" w:rsidRDefault="00AA22A3" w:rsidP="002035F8">
            <w:pPr>
              <w:spacing w:after="0"/>
              <w:jc w:val="center"/>
              <w:rPr>
                <w:b/>
                <w:bCs/>
              </w:rPr>
            </w:pPr>
            <w:r>
              <w:rPr>
                <w:b/>
                <w:bCs/>
              </w:rPr>
              <w:t>HighInc freeze</w:t>
            </w:r>
          </w:p>
        </w:tc>
        <w:tc>
          <w:tcPr>
            <w:tcW w:w="1515" w:type="dxa"/>
            <w:tcBorders>
              <w:top w:val="single" w:sz="4" w:space="0" w:color="auto"/>
              <w:left w:val="single" w:sz="4" w:space="0" w:color="auto"/>
              <w:bottom w:val="single" w:sz="4" w:space="0" w:color="auto"/>
              <w:right w:val="single" w:sz="4" w:space="0" w:color="auto"/>
            </w:tcBorders>
            <w:shd w:val="clear" w:color="auto" w:fill="000000"/>
          </w:tcPr>
          <w:p w14:paraId="44609675" w14:textId="77777777" w:rsidR="00AA22A3" w:rsidRDefault="00AA22A3" w:rsidP="002035F8">
            <w:pPr>
              <w:spacing w:after="0"/>
              <w:jc w:val="center"/>
              <w:rPr>
                <w:b/>
                <w:bCs/>
              </w:rPr>
            </w:pPr>
            <w:r>
              <w:rPr>
                <w:b/>
                <w:bCs/>
              </w:rPr>
              <w:t>EU/Top 5 freeze</w:t>
            </w:r>
          </w:p>
        </w:tc>
        <w:tc>
          <w:tcPr>
            <w:tcW w:w="1224" w:type="dxa"/>
            <w:tcBorders>
              <w:top w:val="single" w:sz="4" w:space="0" w:color="auto"/>
              <w:left w:val="single" w:sz="4" w:space="0" w:color="auto"/>
              <w:bottom w:val="single" w:sz="4" w:space="0" w:color="auto"/>
              <w:right w:val="single" w:sz="4" w:space="0" w:color="auto"/>
            </w:tcBorders>
            <w:shd w:val="clear" w:color="auto" w:fill="000000"/>
          </w:tcPr>
          <w:p w14:paraId="4878E00B" w14:textId="77777777" w:rsidR="00AA22A3" w:rsidRDefault="00AA22A3" w:rsidP="002035F8">
            <w:pPr>
              <w:spacing w:after="0"/>
              <w:jc w:val="center"/>
              <w:rPr>
                <w:b/>
                <w:bCs/>
              </w:rPr>
            </w:pPr>
            <w:r>
              <w:rPr>
                <w:b/>
                <w:bCs/>
              </w:rPr>
              <w:t>EU ban</w:t>
            </w:r>
          </w:p>
        </w:tc>
        <w:tc>
          <w:tcPr>
            <w:tcW w:w="1376" w:type="dxa"/>
            <w:tcBorders>
              <w:top w:val="single" w:sz="4" w:space="0" w:color="auto"/>
              <w:left w:val="single" w:sz="4" w:space="0" w:color="auto"/>
              <w:bottom w:val="single" w:sz="4" w:space="0" w:color="auto"/>
              <w:right w:val="single" w:sz="4" w:space="0" w:color="auto"/>
            </w:tcBorders>
            <w:shd w:val="clear" w:color="auto" w:fill="000000"/>
          </w:tcPr>
          <w:p w14:paraId="6037E228" w14:textId="77777777" w:rsidR="00AA22A3" w:rsidRDefault="00AA22A3" w:rsidP="002035F8">
            <w:pPr>
              <w:spacing w:after="0"/>
              <w:jc w:val="center"/>
              <w:rPr>
                <w:b/>
                <w:bCs/>
              </w:rPr>
            </w:pPr>
            <w:r>
              <w:rPr>
                <w:b/>
                <w:bCs/>
              </w:rPr>
              <w:t xml:space="preserve">Land </w:t>
            </w:r>
            <w:proofErr w:type="gramStart"/>
            <w:r>
              <w:rPr>
                <w:b/>
                <w:bCs/>
              </w:rPr>
              <w:t>protect</w:t>
            </w:r>
            <w:proofErr w:type="gramEnd"/>
          </w:p>
        </w:tc>
      </w:tr>
      <w:tr w:rsidR="00AA22A3" w:rsidRPr="0071081E" w14:paraId="32F757A2" w14:textId="77777777" w:rsidTr="002035F8">
        <w:trPr>
          <w:trHeight w:val="360"/>
        </w:trPr>
        <w:tc>
          <w:tcPr>
            <w:tcW w:w="1984" w:type="dxa"/>
            <w:tcBorders>
              <w:top w:val="single" w:sz="6" w:space="0" w:color="000000"/>
              <w:left w:val="single" w:sz="6" w:space="0" w:color="000000"/>
              <w:bottom w:val="single" w:sz="6" w:space="0" w:color="000000"/>
              <w:right w:val="single" w:sz="4" w:space="0" w:color="auto"/>
            </w:tcBorders>
            <w:shd w:val="clear" w:color="auto" w:fill="auto"/>
            <w:tcMar>
              <w:top w:w="15" w:type="dxa"/>
              <w:left w:w="108" w:type="dxa"/>
              <w:bottom w:w="0" w:type="dxa"/>
              <w:right w:w="108" w:type="dxa"/>
            </w:tcMar>
            <w:hideMark/>
          </w:tcPr>
          <w:p w14:paraId="2B251C82" w14:textId="77777777" w:rsidR="00AA22A3" w:rsidRPr="0071081E" w:rsidRDefault="00AA22A3" w:rsidP="002035F8">
            <w:pPr>
              <w:spacing w:after="0"/>
            </w:pPr>
            <w:r>
              <w:rPr>
                <w:b/>
                <w:bCs/>
              </w:rPr>
              <w:t>Indonesia</w:t>
            </w:r>
          </w:p>
        </w:tc>
        <w:tc>
          <w:tcPr>
            <w:tcW w:w="1643" w:type="dxa"/>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tcPr>
          <w:p w14:paraId="49C38111" w14:textId="77777777" w:rsidR="00AA22A3" w:rsidRPr="0071081E" w:rsidRDefault="00AA22A3" w:rsidP="002035F8">
            <w:pPr>
              <w:spacing w:after="0"/>
              <w:jc w:val="center"/>
            </w:pPr>
            <w:r>
              <w:t>+0.03%</w:t>
            </w:r>
          </w:p>
        </w:tc>
        <w:tc>
          <w:tcPr>
            <w:tcW w:w="1602" w:type="dxa"/>
            <w:tcBorders>
              <w:top w:val="single" w:sz="4" w:space="0" w:color="auto"/>
              <w:left w:val="single" w:sz="4" w:space="0" w:color="auto"/>
              <w:bottom w:val="single" w:sz="4" w:space="0" w:color="auto"/>
              <w:right w:val="single" w:sz="4" w:space="0" w:color="auto"/>
            </w:tcBorders>
          </w:tcPr>
          <w:p w14:paraId="6C3B3AD8" w14:textId="77777777" w:rsidR="00AA22A3" w:rsidRPr="0071081E" w:rsidRDefault="00AA22A3" w:rsidP="002035F8">
            <w:pPr>
              <w:spacing w:after="0"/>
              <w:jc w:val="center"/>
            </w:pPr>
            <w:r>
              <w:t>-0.7%</w:t>
            </w:r>
          </w:p>
        </w:tc>
        <w:tc>
          <w:tcPr>
            <w:tcW w:w="1515" w:type="dxa"/>
            <w:tcBorders>
              <w:top w:val="single" w:sz="4" w:space="0" w:color="auto"/>
              <w:left w:val="single" w:sz="4" w:space="0" w:color="auto"/>
              <w:bottom w:val="single" w:sz="4" w:space="0" w:color="auto"/>
              <w:right w:val="single" w:sz="4" w:space="0" w:color="auto"/>
            </w:tcBorders>
          </w:tcPr>
          <w:p w14:paraId="374D7039" w14:textId="77777777" w:rsidR="00AA22A3" w:rsidRPr="0071081E" w:rsidRDefault="00AA22A3" w:rsidP="002035F8">
            <w:pPr>
              <w:spacing w:after="0"/>
              <w:jc w:val="center"/>
            </w:pPr>
            <w:r>
              <w:t>-1.5%</w:t>
            </w:r>
          </w:p>
        </w:tc>
        <w:tc>
          <w:tcPr>
            <w:tcW w:w="1224" w:type="dxa"/>
            <w:tcBorders>
              <w:top w:val="single" w:sz="4" w:space="0" w:color="auto"/>
              <w:left w:val="single" w:sz="4" w:space="0" w:color="auto"/>
              <w:bottom w:val="single" w:sz="4" w:space="0" w:color="auto"/>
              <w:right w:val="single" w:sz="4" w:space="0" w:color="auto"/>
            </w:tcBorders>
          </w:tcPr>
          <w:p w14:paraId="30D70902" w14:textId="77777777" w:rsidR="00AA22A3" w:rsidRDefault="00AA22A3" w:rsidP="002035F8">
            <w:pPr>
              <w:spacing w:after="0"/>
              <w:jc w:val="center"/>
            </w:pPr>
            <w:r>
              <w:t>-1.5%</w:t>
            </w:r>
          </w:p>
        </w:tc>
        <w:tc>
          <w:tcPr>
            <w:tcW w:w="1376" w:type="dxa"/>
            <w:tcBorders>
              <w:top w:val="single" w:sz="4" w:space="0" w:color="auto"/>
              <w:left w:val="single" w:sz="4" w:space="0" w:color="auto"/>
              <w:bottom w:val="single" w:sz="4" w:space="0" w:color="auto"/>
              <w:right w:val="single" w:sz="4" w:space="0" w:color="auto"/>
            </w:tcBorders>
          </w:tcPr>
          <w:p w14:paraId="44816473" w14:textId="77777777" w:rsidR="00AA22A3" w:rsidRPr="0071081E" w:rsidRDefault="00AA22A3" w:rsidP="002035F8">
            <w:pPr>
              <w:spacing w:after="0"/>
              <w:jc w:val="center"/>
            </w:pPr>
            <w:r>
              <w:t>-1.7%</w:t>
            </w:r>
          </w:p>
        </w:tc>
      </w:tr>
      <w:tr w:rsidR="00AA22A3" w:rsidRPr="0071081E" w14:paraId="0E67E5B7" w14:textId="77777777" w:rsidTr="002035F8">
        <w:trPr>
          <w:trHeight w:val="360"/>
        </w:trPr>
        <w:tc>
          <w:tcPr>
            <w:tcW w:w="1984" w:type="dxa"/>
            <w:tcBorders>
              <w:top w:val="single" w:sz="6" w:space="0" w:color="000000"/>
              <w:left w:val="single" w:sz="6" w:space="0" w:color="000000"/>
              <w:bottom w:val="single" w:sz="6" w:space="0" w:color="000000"/>
              <w:right w:val="single" w:sz="4" w:space="0" w:color="auto"/>
            </w:tcBorders>
            <w:shd w:val="clear" w:color="auto" w:fill="auto"/>
            <w:tcMar>
              <w:top w:w="15" w:type="dxa"/>
              <w:left w:w="108" w:type="dxa"/>
              <w:bottom w:w="0" w:type="dxa"/>
              <w:right w:w="108" w:type="dxa"/>
            </w:tcMar>
            <w:hideMark/>
          </w:tcPr>
          <w:p w14:paraId="55E9C31C" w14:textId="77777777" w:rsidR="00AA22A3" w:rsidRPr="0071081E" w:rsidRDefault="00AA22A3" w:rsidP="002035F8">
            <w:pPr>
              <w:spacing w:after="0"/>
            </w:pPr>
            <w:r>
              <w:rPr>
                <w:b/>
                <w:bCs/>
              </w:rPr>
              <w:t>RO SEAsia</w:t>
            </w:r>
          </w:p>
        </w:tc>
        <w:tc>
          <w:tcPr>
            <w:tcW w:w="1643" w:type="dxa"/>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tcPr>
          <w:p w14:paraId="03EEDA2C" w14:textId="77777777" w:rsidR="00AA22A3" w:rsidRPr="0071081E" w:rsidRDefault="00AA22A3" w:rsidP="002035F8">
            <w:pPr>
              <w:spacing w:after="0"/>
              <w:jc w:val="center"/>
            </w:pPr>
            <w:r>
              <w:t>+0.05%</w:t>
            </w:r>
          </w:p>
        </w:tc>
        <w:tc>
          <w:tcPr>
            <w:tcW w:w="1602" w:type="dxa"/>
            <w:tcBorders>
              <w:top w:val="single" w:sz="4" w:space="0" w:color="auto"/>
              <w:left w:val="single" w:sz="4" w:space="0" w:color="auto"/>
              <w:bottom w:val="single" w:sz="4" w:space="0" w:color="auto"/>
              <w:right w:val="single" w:sz="4" w:space="0" w:color="auto"/>
            </w:tcBorders>
          </w:tcPr>
          <w:p w14:paraId="7D348B05" w14:textId="77777777" w:rsidR="00AA22A3" w:rsidRPr="0071081E" w:rsidRDefault="00AA22A3" w:rsidP="002035F8">
            <w:pPr>
              <w:spacing w:after="0"/>
              <w:jc w:val="center"/>
            </w:pPr>
            <w:r>
              <w:t>-2.0%</w:t>
            </w:r>
          </w:p>
        </w:tc>
        <w:tc>
          <w:tcPr>
            <w:tcW w:w="1515" w:type="dxa"/>
            <w:tcBorders>
              <w:top w:val="single" w:sz="4" w:space="0" w:color="auto"/>
              <w:left w:val="single" w:sz="4" w:space="0" w:color="auto"/>
              <w:bottom w:val="single" w:sz="4" w:space="0" w:color="auto"/>
              <w:right w:val="single" w:sz="4" w:space="0" w:color="auto"/>
            </w:tcBorders>
          </w:tcPr>
          <w:p w14:paraId="63C63221" w14:textId="77777777" w:rsidR="00AA22A3" w:rsidRPr="0071081E" w:rsidRDefault="00AA22A3" w:rsidP="002035F8">
            <w:pPr>
              <w:spacing w:after="0"/>
              <w:jc w:val="center"/>
            </w:pPr>
            <w:r>
              <w:t>-1.1%</w:t>
            </w:r>
          </w:p>
        </w:tc>
        <w:tc>
          <w:tcPr>
            <w:tcW w:w="1224" w:type="dxa"/>
            <w:tcBorders>
              <w:top w:val="single" w:sz="4" w:space="0" w:color="auto"/>
              <w:left w:val="single" w:sz="4" w:space="0" w:color="auto"/>
              <w:bottom w:val="single" w:sz="4" w:space="0" w:color="auto"/>
              <w:right w:val="single" w:sz="4" w:space="0" w:color="auto"/>
            </w:tcBorders>
          </w:tcPr>
          <w:p w14:paraId="457E0ACF" w14:textId="77777777" w:rsidR="00AA22A3" w:rsidRDefault="00AA22A3" w:rsidP="002035F8">
            <w:pPr>
              <w:spacing w:after="0"/>
              <w:jc w:val="center"/>
            </w:pPr>
            <w:r>
              <w:t>-1.9%</w:t>
            </w:r>
          </w:p>
        </w:tc>
        <w:tc>
          <w:tcPr>
            <w:tcW w:w="1376" w:type="dxa"/>
            <w:tcBorders>
              <w:top w:val="single" w:sz="4" w:space="0" w:color="auto"/>
              <w:left w:val="single" w:sz="4" w:space="0" w:color="auto"/>
              <w:bottom w:val="single" w:sz="4" w:space="0" w:color="auto"/>
              <w:right w:val="single" w:sz="4" w:space="0" w:color="auto"/>
            </w:tcBorders>
          </w:tcPr>
          <w:p w14:paraId="0F71737B" w14:textId="77777777" w:rsidR="00AA22A3" w:rsidRPr="0071081E" w:rsidRDefault="00AA22A3" w:rsidP="002035F8">
            <w:pPr>
              <w:spacing w:after="0"/>
              <w:jc w:val="center"/>
            </w:pPr>
            <w:r>
              <w:t>-2.0%</w:t>
            </w:r>
          </w:p>
        </w:tc>
      </w:tr>
      <w:tr w:rsidR="00AA22A3" w:rsidRPr="0071081E" w14:paraId="4218E24E" w14:textId="77777777" w:rsidTr="002035F8">
        <w:trPr>
          <w:trHeight w:val="360"/>
        </w:trPr>
        <w:tc>
          <w:tcPr>
            <w:tcW w:w="1984" w:type="dxa"/>
            <w:tcBorders>
              <w:top w:val="single" w:sz="6" w:space="0" w:color="000000"/>
              <w:left w:val="single" w:sz="6" w:space="0" w:color="000000"/>
              <w:bottom w:val="single" w:sz="6" w:space="0" w:color="000000"/>
              <w:right w:val="single" w:sz="4" w:space="0" w:color="auto"/>
            </w:tcBorders>
            <w:shd w:val="clear" w:color="auto" w:fill="auto"/>
            <w:tcMar>
              <w:top w:w="15" w:type="dxa"/>
              <w:left w:w="108" w:type="dxa"/>
              <w:bottom w:w="0" w:type="dxa"/>
              <w:right w:w="108" w:type="dxa"/>
            </w:tcMar>
            <w:hideMark/>
          </w:tcPr>
          <w:p w14:paraId="42E46184" w14:textId="77777777" w:rsidR="00AA22A3" w:rsidRPr="007A55E4" w:rsidRDefault="00AA22A3" w:rsidP="002035F8">
            <w:pPr>
              <w:spacing w:after="0"/>
              <w:rPr>
                <w:b/>
                <w:bCs/>
              </w:rPr>
            </w:pPr>
            <w:r>
              <w:rPr>
                <w:b/>
                <w:bCs/>
              </w:rPr>
              <w:t>Brazil</w:t>
            </w:r>
          </w:p>
        </w:tc>
        <w:tc>
          <w:tcPr>
            <w:tcW w:w="1643" w:type="dxa"/>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tcPr>
          <w:p w14:paraId="4E7DDC18" w14:textId="77777777" w:rsidR="00AA22A3" w:rsidRPr="0071081E" w:rsidRDefault="00AA22A3" w:rsidP="002035F8">
            <w:pPr>
              <w:spacing w:after="0"/>
              <w:jc w:val="center"/>
            </w:pPr>
            <w:r>
              <w:t>-0.8%</w:t>
            </w:r>
          </w:p>
        </w:tc>
        <w:tc>
          <w:tcPr>
            <w:tcW w:w="1602" w:type="dxa"/>
            <w:tcBorders>
              <w:top w:val="single" w:sz="4" w:space="0" w:color="auto"/>
              <w:left w:val="single" w:sz="4" w:space="0" w:color="auto"/>
              <w:bottom w:val="single" w:sz="4" w:space="0" w:color="auto"/>
              <w:right w:val="single" w:sz="4" w:space="0" w:color="auto"/>
            </w:tcBorders>
          </w:tcPr>
          <w:p w14:paraId="4D716813" w14:textId="77777777" w:rsidR="00AA22A3" w:rsidRPr="0071081E" w:rsidRDefault="00AA22A3" w:rsidP="002035F8">
            <w:pPr>
              <w:spacing w:after="0"/>
              <w:jc w:val="center"/>
            </w:pPr>
            <w:r>
              <w:t>-6.6%</w:t>
            </w:r>
          </w:p>
        </w:tc>
        <w:tc>
          <w:tcPr>
            <w:tcW w:w="1515" w:type="dxa"/>
            <w:tcBorders>
              <w:top w:val="single" w:sz="4" w:space="0" w:color="auto"/>
              <w:left w:val="single" w:sz="4" w:space="0" w:color="auto"/>
              <w:bottom w:val="single" w:sz="4" w:space="0" w:color="auto"/>
              <w:right w:val="single" w:sz="4" w:space="0" w:color="auto"/>
            </w:tcBorders>
          </w:tcPr>
          <w:p w14:paraId="12B27533" w14:textId="77777777" w:rsidR="00AA22A3" w:rsidRPr="0071081E" w:rsidRDefault="00AA22A3" w:rsidP="002035F8">
            <w:pPr>
              <w:spacing w:after="0"/>
              <w:jc w:val="center"/>
            </w:pPr>
            <w:r>
              <w:t>-8.8%</w:t>
            </w:r>
          </w:p>
        </w:tc>
        <w:tc>
          <w:tcPr>
            <w:tcW w:w="1224" w:type="dxa"/>
            <w:tcBorders>
              <w:top w:val="single" w:sz="4" w:space="0" w:color="auto"/>
              <w:left w:val="single" w:sz="4" w:space="0" w:color="auto"/>
              <w:bottom w:val="single" w:sz="4" w:space="0" w:color="auto"/>
              <w:right w:val="single" w:sz="4" w:space="0" w:color="auto"/>
            </w:tcBorders>
          </w:tcPr>
          <w:p w14:paraId="6346E643" w14:textId="77777777" w:rsidR="00AA22A3" w:rsidRDefault="00AA22A3" w:rsidP="002035F8">
            <w:pPr>
              <w:spacing w:after="0"/>
              <w:jc w:val="center"/>
            </w:pPr>
            <w:r>
              <w:t>-1.8%</w:t>
            </w:r>
          </w:p>
        </w:tc>
        <w:tc>
          <w:tcPr>
            <w:tcW w:w="1376" w:type="dxa"/>
            <w:tcBorders>
              <w:top w:val="single" w:sz="4" w:space="0" w:color="auto"/>
              <w:left w:val="single" w:sz="4" w:space="0" w:color="auto"/>
              <w:bottom w:val="single" w:sz="4" w:space="0" w:color="auto"/>
              <w:right w:val="single" w:sz="4" w:space="0" w:color="auto"/>
            </w:tcBorders>
          </w:tcPr>
          <w:p w14:paraId="31FC9625" w14:textId="77777777" w:rsidR="00AA22A3" w:rsidRPr="0071081E" w:rsidRDefault="00AA22A3" w:rsidP="002035F8">
            <w:pPr>
              <w:spacing w:after="0"/>
              <w:jc w:val="center"/>
            </w:pPr>
            <w:r>
              <w:t>-12%</w:t>
            </w:r>
          </w:p>
        </w:tc>
      </w:tr>
      <w:tr w:rsidR="00AA22A3" w:rsidRPr="0071081E" w14:paraId="539E9297" w14:textId="77777777" w:rsidTr="002035F8">
        <w:trPr>
          <w:trHeight w:val="360"/>
        </w:trPr>
        <w:tc>
          <w:tcPr>
            <w:tcW w:w="1984" w:type="dxa"/>
            <w:tcBorders>
              <w:top w:val="single" w:sz="6" w:space="0" w:color="000000"/>
              <w:left w:val="single" w:sz="6" w:space="0" w:color="000000"/>
              <w:bottom w:val="single" w:sz="6" w:space="0" w:color="000000"/>
              <w:right w:val="single" w:sz="4" w:space="0" w:color="auto"/>
            </w:tcBorders>
            <w:shd w:val="clear" w:color="auto" w:fill="auto"/>
            <w:tcMar>
              <w:top w:w="15" w:type="dxa"/>
              <w:left w:w="108" w:type="dxa"/>
              <w:bottom w:w="0" w:type="dxa"/>
              <w:right w:w="108" w:type="dxa"/>
            </w:tcMar>
          </w:tcPr>
          <w:p w14:paraId="4FAEB482" w14:textId="77777777" w:rsidR="00AA22A3" w:rsidRDefault="00AA22A3" w:rsidP="002035F8">
            <w:pPr>
              <w:spacing w:after="0"/>
              <w:rPr>
                <w:b/>
                <w:bCs/>
              </w:rPr>
            </w:pPr>
            <w:r>
              <w:rPr>
                <w:b/>
                <w:bCs/>
              </w:rPr>
              <w:t>Argentina</w:t>
            </w:r>
          </w:p>
        </w:tc>
        <w:tc>
          <w:tcPr>
            <w:tcW w:w="1643" w:type="dxa"/>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tcPr>
          <w:p w14:paraId="7C4FC7D3" w14:textId="77777777" w:rsidR="00AA22A3" w:rsidRPr="0071081E" w:rsidRDefault="00AA22A3" w:rsidP="002035F8">
            <w:pPr>
              <w:spacing w:after="0"/>
              <w:jc w:val="center"/>
            </w:pPr>
            <w:r>
              <w:t>-0.00%</w:t>
            </w:r>
          </w:p>
        </w:tc>
        <w:tc>
          <w:tcPr>
            <w:tcW w:w="1602" w:type="dxa"/>
            <w:tcBorders>
              <w:top w:val="single" w:sz="4" w:space="0" w:color="auto"/>
              <w:left w:val="single" w:sz="4" w:space="0" w:color="auto"/>
              <w:bottom w:val="single" w:sz="4" w:space="0" w:color="auto"/>
              <w:right w:val="single" w:sz="4" w:space="0" w:color="auto"/>
            </w:tcBorders>
          </w:tcPr>
          <w:p w14:paraId="1BB1D95F" w14:textId="77777777" w:rsidR="00AA22A3" w:rsidRPr="0071081E" w:rsidRDefault="00AA22A3" w:rsidP="002035F8">
            <w:pPr>
              <w:spacing w:after="0"/>
              <w:jc w:val="center"/>
            </w:pPr>
            <w:r>
              <w:t>-1.0%</w:t>
            </w:r>
          </w:p>
        </w:tc>
        <w:tc>
          <w:tcPr>
            <w:tcW w:w="1515" w:type="dxa"/>
            <w:tcBorders>
              <w:top w:val="single" w:sz="4" w:space="0" w:color="auto"/>
              <w:left w:val="single" w:sz="4" w:space="0" w:color="auto"/>
              <w:bottom w:val="single" w:sz="4" w:space="0" w:color="auto"/>
              <w:right w:val="single" w:sz="4" w:space="0" w:color="auto"/>
            </w:tcBorders>
          </w:tcPr>
          <w:p w14:paraId="10ECE4C3" w14:textId="77777777" w:rsidR="00AA22A3" w:rsidRPr="0071081E" w:rsidRDefault="00AA22A3" w:rsidP="002035F8">
            <w:pPr>
              <w:spacing w:after="0"/>
              <w:jc w:val="center"/>
            </w:pPr>
            <w:r>
              <w:t>-4.3%</w:t>
            </w:r>
          </w:p>
        </w:tc>
        <w:tc>
          <w:tcPr>
            <w:tcW w:w="1224" w:type="dxa"/>
            <w:tcBorders>
              <w:top w:val="single" w:sz="4" w:space="0" w:color="auto"/>
              <w:left w:val="single" w:sz="4" w:space="0" w:color="auto"/>
              <w:bottom w:val="single" w:sz="4" w:space="0" w:color="auto"/>
              <w:right w:val="single" w:sz="4" w:space="0" w:color="auto"/>
            </w:tcBorders>
          </w:tcPr>
          <w:p w14:paraId="6B10B8BF" w14:textId="77777777" w:rsidR="00AA22A3" w:rsidRDefault="00AA22A3" w:rsidP="002035F8">
            <w:pPr>
              <w:spacing w:after="0"/>
              <w:jc w:val="center"/>
            </w:pPr>
            <w:r>
              <w:t>-2.5%</w:t>
            </w:r>
          </w:p>
        </w:tc>
        <w:tc>
          <w:tcPr>
            <w:tcW w:w="1376" w:type="dxa"/>
            <w:tcBorders>
              <w:top w:val="single" w:sz="4" w:space="0" w:color="auto"/>
              <w:left w:val="single" w:sz="4" w:space="0" w:color="auto"/>
              <w:bottom w:val="single" w:sz="4" w:space="0" w:color="auto"/>
              <w:right w:val="single" w:sz="4" w:space="0" w:color="auto"/>
            </w:tcBorders>
          </w:tcPr>
          <w:p w14:paraId="7B8C6228" w14:textId="77777777" w:rsidR="00AA22A3" w:rsidRPr="0071081E" w:rsidRDefault="00AA22A3" w:rsidP="002035F8">
            <w:pPr>
              <w:spacing w:after="0"/>
              <w:jc w:val="center"/>
            </w:pPr>
            <w:r>
              <w:t>-4.4%</w:t>
            </w:r>
          </w:p>
        </w:tc>
      </w:tr>
      <w:tr w:rsidR="00AA22A3" w:rsidRPr="0071081E" w14:paraId="6DB0E911" w14:textId="77777777" w:rsidTr="002035F8">
        <w:trPr>
          <w:trHeight w:val="360"/>
        </w:trPr>
        <w:tc>
          <w:tcPr>
            <w:tcW w:w="1984" w:type="dxa"/>
            <w:tcBorders>
              <w:top w:val="single" w:sz="6" w:space="0" w:color="000000"/>
              <w:left w:val="single" w:sz="6" w:space="0" w:color="000000"/>
              <w:bottom w:val="single" w:sz="6" w:space="0" w:color="000000"/>
              <w:right w:val="single" w:sz="4" w:space="0" w:color="auto"/>
            </w:tcBorders>
            <w:shd w:val="clear" w:color="auto" w:fill="auto"/>
            <w:tcMar>
              <w:top w:w="15" w:type="dxa"/>
              <w:left w:w="108" w:type="dxa"/>
              <w:bottom w:w="0" w:type="dxa"/>
              <w:right w:w="108" w:type="dxa"/>
            </w:tcMar>
          </w:tcPr>
          <w:p w14:paraId="056A80A7" w14:textId="77777777" w:rsidR="00AA22A3" w:rsidRDefault="00AA22A3" w:rsidP="002035F8">
            <w:pPr>
              <w:spacing w:after="0"/>
              <w:rPr>
                <w:b/>
                <w:bCs/>
              </w:rPr>
            </w:pPr>
            <w:r>
              <w:rPr>
                <w:b/>
                <w:bCs/>
              </w:rPr>
              <w:t>Global</w:t>
            </w:r>
          </w:p>
        </w:tc>
        <w:tc>
          <w:tcPr>
            <w:tcW w:w="1643" w:type="dxa"/>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tcPr>
          <w:p w14:paraId="61D63951" w14:textId="77777777" w:rsidR="00AA22A3" w:rsidRPr="0071081E" w:rsidRDefault="00AA22A3" w:rsidP="002035F8">
            <w:pPr>
              <w:spacing w:after="0"/>
              <w:jc w:val="center"/>
            </w:pPr>
            <w:r>
              <w:t>-0.04%</w:t>
            </w:r>
          </w:p>
        </w:tc>
        <w:tc>
          <w:tcPr>
            <w:tcW w:w="1602" w:type="dxa"/>
            <w:tcBorders>
              <w:top w:val="single" w:sz="4" w:space="0" w:color="auto"/>
              <w:left w:val="single" w:sz="4" w:space="0" w:color="auto"/>
              <w:bottom w:val="single" w:sz="4" w:space="0" w:color="auto"/>
              <w:right w:val="single" w:sz="4" w:space="0" w:color="auto"/>
            </w:tcBorders>
          </w:tcPr>
          <w:p w14:paraId="7261D088" w14:textId="77777777" w:rsidR="00AA22A3" w:rsidRPr="0071081E" w:rsidRDefault="00AA22A3" w:rsidP="002035F8">
            <w:pPr>
              <w:spacing w:after="0"/>
              <w:jc w:val="center"/>
            </w:pPr>
            <w:r>
              <w:t>-0.6%</w:t>
            </w:r>
          </w:p>
        </w:tc>
        <w:tc>
          <w:tcPr>
            <w:tcW w:w="1515" w:type="dxa"/>
            <w:tcBorders>
              <w:top w:val="single" w:sz="4" w:space="0" w:color="auto"/>
              <w:left w:val="single" w:sz="4" w:space="0" w:color="auto"/>
              <w:bottom w:val="single" w:sz="4" w:space="0" w:color="auto"/>
              <w:right w:val="single" w:sz="4" w:space="0" w:color="auto"/>
            </w:tcBorders>
          </w:tcPr>
          <w:p w14:paraId="2D89F821" w14:textId="77777777" w:rsidR="00AA22A3" w:rsidRPr="0071081E" w:rsidRDefault="00AA22A3" w:rsidP="002035F8">
            <w:pPr>
              <w:spacing w:after="0"/>
              <w:jc w:val="center"/>
            </w:pPr>
            <w:r>
              <w:t>-0.7%</w:t>
            </w:r>
          </w:p>
        </w:tc>
        <w:tc>
          <w:tcPr>
            <w:tcW w:w="1224" w:type="dxa"/>
            <w:tcBorders>
              <w:top w:val="single" w:sz="4" w:space="0" w:color="auto"/>
              <w:left w:val="single" w:sz="4" w:space="0" w:color="auto"/>
              <w:bottom w:val="single" w:sz="4" w:space="0" w:color="auto"/>
              <w:right w:val="single" w:sz="4" w:space="0" w:color="auto"/>
            </w:tcBorders>
          </w:tcPr>
          <w:p w14:paraId="2100D43F" w14:textId="77777777" w:rsidR="00AA22A3" w:rsidRDefault="00AA22A3" w:rsidP="002035F8">
            <w:pPr>
              <w:spacing w:after="0"/>
              <w:jc w:val="center"/>
            </w:pPr>
            <w:r>
              <w:t>+0.05%</w:t>
            </w:r>
          </w:p>
        </w:tc>
        <w:tc>
          <w:tcPr>
            <w:tcW w:w="1376" w:type="dxa"/>
            <w:tcBorders>
              <w:top w:val="single" w:sz="4" w:space="0" w:color="auto"/>
              <w:left w:val="single" w:sz="4" w:space="0" w:color="auto"/>
              <w:bottom w:val="single" w:sz="4" w:space="0" w:color="auto"/>
              <w:right w:val="single" w:sz="4" w:space="0" w:color="auto"/>
            </w:tcBorders>
          </w:tcPr>
          <w:p w14:paraId="37DB2897" w14:textId="77777777" w:rsidR="00AA22A3" w:rsidRPr="0071081E" w:rsidRDefault="00AA22A3" w:rsidP="002035F8">
            <w:pPr>
              <w:spacing w:after="0"/>
              <w:jc w:val="center"/>
            </w:pPr>
            <w:r>
              <w:t>-2.4%</w:t>
            </w:r>
          </w:p>
        </w:tc>
      </w:tr>
      <w:tr w:rsidR="00AA22A3" w:rsidRPr="0071081E" w14:paraId="7B9FBA32" w14:textId="77777777" w:rsidTr="002035F8">
        <w:trPr>
          <w:trHeight w:val="360"/>
        </w:trPr>
        <w:tc>
          <w:tcPr>
            <w:tcW w:w="1984" w:type="dxa"/>
            <w:tcBorders>
              <w:top w:val="single" w:sz="6" w:space="0" w:color="000000"/>
              <w:left w:val="single" w:sz="6" w:space="0" w:color="000000"/>
              <w:bottom w:val="single" w:sz="6" w:space="0" w:color="000000"/>
              <w:right w:val="single" w:sz="4" w:space="0" w:color="auto"/>
            </w:tcBorders>
            <w:shd w:val="clear" w:color="auto" w:fill="000000"/>
            <w:tcMar>
              <w:top w:w="15" w:type="dxa"/>
              <w:left w:w="108" w:type="dxa"/>
              <w:bottom w:w="0" w:type="dxa"/>
              <w:right w:w="108" w:type="dxa"/>
            </w:tcMar>
          </w:tcPr>
          <w:p w14:paraId="36EA2491" w14:textId="230C37CB" w:rsidR="00AA22A3" w:rsidRPr="0071081E" w:rsidRDefault="00AA22A3" w:rsidP="002035F8">
            <w:pPr>
              <w:pStyle w:val="ListParagraph"/>
              <w:numPr>
                <w:ilvl w:val="0"/>
                <w:numId w:val="24"/>
              </w:numPr>
              <w:spacing w:after="0"/>
              <w:jc w:val="center"/>
            </w:pPr>
            <w:r w:rsidRPr="008F303E">
              <w:rPr>
                <w:b/>
                <w:bCs/>
              </w:rPr>
              <w:t>Cumulative 202</w:t>
            </w:r>
            <w:r w:rsidR="00F02C1B">
              <w:rPr>
                <w:b/>
                <w:bCs/>
              </w:rPr>
              <w:t>0</w:t>
            </w:r>
            <w:r w:rsidRPr="008F303E">
              <w:rPr>
                <w:b/>
                <w:bCs/>
              </w:rPr>
              <w:t>-2</w:t>
            </w:r>
            <w:r>
              <w:rPr>
                <w:b/>
                <w:bCs/>
              </w:rPr>
              <w:t>100</w:t>
            </w:r>
          </w:p>
        </w:tc>
        <w:tc>
          <w:tcPr>
            <w:tcW w:w="1643" w:type="dxa"/>
            <w:tcBorders>
              <w:top w:val="single" w:sz="4" w:space="0" w:color="auto"/>
              <w:left w:val="single" w:sz="4" w:space="0" w:color="auto"/>
              <w:bottom w:val="single" w:sz="4" w:space="0" w:color="auto"/>
              <w:right w:val="single" w:sz="4" w:space="0" w:color="auto"/>
            </w:tcBorders>
            <w:shd w:val="clear" w:color="auto" w:fill="000000"/>
            <w:tcMar>
              <w:top w:w="15" w:type="dxa"/>
              <w:left w:w="108" w:type="dxa"/>
              <w:bottom w:w="0" w:type="dxa"/>
              <w:right w:w="108" w:type="dxa"/>
            </w:tcMar>
          </w:tcPr>
          <w:p w14:paraId="4F899E06" w14:textId="77777777" w:rsidR="00AA22A3" w:rsidRPr="007A55E4" w:rsidRDefault="00AA22A3" w:rsidP="002035F8">
            <w:pPr>
              <w:spacing w:after="0"/>
              <w:jc w:val="center"/>
              <w:rPr>
                <w:b/>
                <w:bCs/>
              </w:rPr>
            </w:pPr>
            <w:r>
              <w:rPr>
                <w:b/>
                <w:bCs/>
              </w:rPr>
              <w:t>EU freeze</w:t>
            </w:r>
          </w:p>
        </w:tc>
        <w:tc>
          <w:tcPr>
            <w:tcW w:w="1602" w:type="dxa"/>
            <w:tcBorders>
              <w:top w:val="single" w:sz="4" w:space="0" w:color="auto"/>
              <w:left w:val="single" w:sz="4" w:space="0" w:color="auto"/>
              <w:bottom w:val="single" w:sz="4" w:space="0" w:color="auto"/>
              <w:right w:val="single" w:sz="4" w:space="0" w:color="auto"/>
            </w:tcBorders>
            <w:shd w:val="clear" w:color="auto" w:fill="000000"/>
          </w:tcPr>
          <w:p w14:paraId="6D8033BA" w14:textId="77777777" w:rsidR="00AA22A3" w:rsidRDefault="00AA22A3" w:rsidP="002035F8">
            <w:pPr>
              <w:spacing w:after="0"/>
              <w:jc w:val="center"/>
              <w:rPr>
                <w:b/>
                <w:bCs/>
              </w:rPr>
            </w:pPr>
            <w:r>
              <w:rPr>
                <w:b/>
                <w:bCs/>
              </w:rPr>
              <w:t>HighInc freeze</w:t>
            </w:r>
          </w:p>
        </w:tc>
        <w:tc>
          <w:tcPr>
            <w:tcW w:w="1515" w:type="dxa"/>
            <w:tcBorders>
              <w:top w:val="single" w:sz="4" w:space="0" w:color="auto"/>
              <w:left w:val="single" w:sz="4" w:space="0" w:color="auto"/>
              <w:bottom w:val="single" w:sz="4" w:space="0" w:color="auto"/>
              <w:right w:val="single" w:sz="4" w:space="0" w:color="auto"/>
            </w:tcBorders>
            <w:shd w:val="clear" w:color="auto" w:fill="000000"/>
          </w:tcPr>
          <w:p w14:paraId="6A4D67D2" w14:textId="77777777" w:rsidR="00AA22A3" w:rsidRDefault="00AA22A3" w:rsidP="002035F8">
            <w:pPr>
              <w:spacing w:after="0"/>
              <w:jc w:val="center"/>
              <w:rPr>
                <w:b/>
                <w:bCs/>
              </w:rPr>
            </w:pPr>
            <w:r>
              <w:rPr>
                <w:b/>
                <w:bCs/>
              </w:rPr>
              <w:t>EU/Top 5 freeze</w:t>
            </w:r>
          </w:p>
        </w:tc>
        <w:tc>
          <w:tcPr>
            <w:tcW w:w="1224" w:type="dxa"/>
            <w:tcBorders>
              <w:top w:val="single" w:sz="4" w:space="0" w:color="auto"/>
              <w:left w:val="single" w:sz="4" w:space="0" w:color="auto"/>
              <w:bottom w:val="single" w:sz="4" w:space="0" w:color="auto"/>
              <w:right w:val="single" w:sz="4" w:space="0" w:color="auto"/>
            </w:tcBorders>
            <w:shd w:val="clear" w:color="auto" w:fill="000000"/>
          </w:tcPr>
          <w:p w14:paraId="3694C9DE" w14:textId="77777777" w:rsidR="00AA22A3" w:rsidRDefault="00AA22A3" w:rsidP="002035F8">
            <w:pPr>
              <w:spacing w:after="0"/>
              <w:jc w:val="center"/>
              <w:rPr>
                <w:b/>
                <w:bCs/>
              </w:rPr>
            </w:pPr>
            <w:r>
              <w:rPr>
                <w:b/>
                <w:bCs/>
              </w:rPr>
              <w:t>EU ban</w:t>
            </w:r>
          </w:p>
        </w:tc>
        <w:tc>
          <w:tcPr>
            <w:tcW w:w="1376" w:type="dxa"/>
            <w:tcBorders>
              <w:top w:val="single" w:sz="4" w:space="0" w:color="auto"/>
              <w:left w:val="single" w:sz="4" w:space="0" w:color="auto"/>
              <w:bottom w:val="single" w:sz="4" w:space="0" w:color="auto"/>
              <w:right w:val="single" w:sz="4" w:space="0" w:color="auto"/>
            </w:tcBorders>
            <w:shd w:val="clear" w:color="auto" w:fill="000000"/>
          </w:tcPr>
          <w:p w14:paraId="051116AE" w14:textId="77777777" w:rsidR="00AA22A3" w:rsidRDefault="00AA22A3" w:rsidP="002035F8">
            <w:pPr>
              <w:spacing w:after="0"/>
              <w:jc w:val="center"/>
              <w:rPr>
                <w:b/>
                <w:bCs/>
              </w:rPr>
            </w:pPr>
            <w:r>
              <w:rPr>
                <w:b/>
                <w:bCs/>
              </w:rPr>
              <w:t xml:space="preserve">Land </w:t>
            </w:r>
            <w:proofErr w:type="gramStart"/>
            <w:r>
              <w:rPr>
                <w:b/>
                <w:bCs/>
              </w:rPr>
              <w:t>protect</w:t>
            </w:r>
            <w:proofErr w:type="gramEnd"/>
          </w:p>
        </w:tc>
      </w:tr>
      <w:tr w:rsidR="00AA22A3" w:rsidRPr="0071081E" w14:paraId="57F7A009" w14:textId="77777777" w:rsidTr="002035F8">
        <w:trPr>
          <w:trHeight w:val="360"/>
        </w:trPr>
        <w:tc>
          <w:tcPr>
            <w:tcW w:w="1984" w:type="dxa"/>
            <w:tcBorders>
              <w:top w:val="single" w:sz="6" w:space="0" w:color="000000"/>
              <w:left w:val="single" w:sz="6" w:space="0" w:color="000000"/>
              <w:bottom w:val="single" w:sz="6" w:space="0" w:color="000000"/>
              <w:right w:val="single" w:sz="4" w:space="0" w:color="auto"/>
            </w:tcBorders>
            <w:shd w:val="clear" w:color="auto" w:fill="auto"/>
            <w:tcMar>
              <w:top w:w="15" w:type="dxa"/>
              <w:left w:w="108" w:type="dxa"/>
              <w:bottom w:w="0" w:type="dxa"/>
              <w:right w:w="108" w:type="dxa"/>
            </w:tcMar>
            <w:hideMark/>
          </w:tcPr>
          <w:p w14:paraId="39B6F7B7" w14:textId="77777777" w:rsidR="00AA22A3" w:rsidRPr="0071081E" w:rsidRDefault="00AA22A3" w:rsidP="002035F8">
            <w:pPr>
              <w:spacing w:after="0"/>
            </w:pPr>
            <w:r>
              <w:rPr>
                <w:b/>
                <w:bCs/>
              </w:rPr>
              <w:t>Indonesia</w:t>
            </w:r>
          </w:p>
        </w:tc>
        <w:tc>
          <w:tcPr>
            <w:tcW w:w="1643" w:type="dxa"/>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tcPr>
          <w:p w14:paraId="3B4A0285" w14:textId="77777777" w:rsidR="00AA22A3" w:rsidRPr="0071081E" w:rsidRDefault="00AA22A3" w:rsidP="002035F8">
            <w:pPr>
              <w:spacing w:after="0"/>
              <w:jc w:val="center"/>
            </w:pPr>
            <w:r>
              <w:t>+0.02%</w:t>
            </w:r>
          </w:p>
        </w:tc>
        <w:tc>
          <w:tcPr>
            <w:tcW w:w="1602" w:type="dxa"/>
            <w:tcBorders>
              <w:top w:val="single" w:sz="4" w:space="0" w:color="auto"/>
              <w:left w:val="single" w:sz="4" w:space="0" w:color="auto"/>
              <w:bottom w:val="single" w:sz="4" w:space="0" w:color="auto"/>
              <w:right w:val="single" w:sz="4" w:space="0" w:color="auto"/>
            </w:tcBorders>
          </w:tcPr>
          <w:p w14:paraId="214F7665" w14:textId="77777777" w:rsidR="00AA22A3" w:rsidRPr="0071081E" w:rsidRDefault="00AA22A3" w:rsidP="002035F8">
            <w:pPr>
              <w:spacing w:after="0"/>
              <w:jc w:val="center"/>
            </w:pPr>
            <w:r>
              <w:t>-0.7%</w:t>
            </w:r>
          </w:p>
        </w:tc>
        <w:tc>
          <w:tcPr>
            <w:tcW w:w="1515" w:type="dxa"/>
            <w:tcBorders>
              <w:top w:val="single" w:sz="4" w:space="0" w:color="auto"/>
              <w:left w:val="single" w:sz="4" w:space="0" w:color="auto"/>
              <w:bottom w:val="single" w:sz="4" w:space="0" w:color="auto"/>
              <w:right w:val="single" w:sz="4" w:space="0" w:color="auto"/>
            </w:tcBorders>
          </w:tcPr>
          <w:p w14:paraId="007DBE83" w14:textId="77777777" w:rsidR="00AA22A3" w:rsidRPr="0071081E" w:rsidRDefault="00AA22A3" w:rsidP="002035F8">
            <w:pPr>
              <w:spacing w:after="0"/>
              <w:jc w:val="center"/>
            </w:pPr>
            <w:r>
              <w:t>-1.6%</w:t>
            </w:r>
          </w:p>
        </w:tc>
        <w:tc>
          <w:tcPr>
            <w:tcW w:w="1224" w:type="dxa"/>
            <w:tcBorders>
              <w:top w:val="single" w:sz="4" w:space="0" w:color="auto"/>
              <w:left w:val="single" w:sz="4" w:space="0" w:color="auto"/>
              <w:bottom w:val="single" w:sz="4" w:space="0" w:color="auto"/>
              <w:right w:val="single" w:sz="4" w:space="0" w:color="auto"/>
            </w:tcBorders>
          </w:tcPr>
          <w:p w14:paraId="73025571" w14:textId="77777777" w:rsidR="00AA22A3" w:rsidRDefault="00AA22A3" w:rsidP="002035F8">
            <w:pPr>
              <w:spacing w:after="0"/>
              <w:jc w:val="center"/>
            </w:pPr>
            <w:r>
              <w:t>-1.5%</w:t>
            </w:r>
          </w:p>
        </w:tc>
        <w:tc>
          <w:tcPr>
            <w:tcW w:w="1376" w:type="dxa"/>
            <w:tcBorders>
              <w:top w:val="single" w:sz="4" w:space="0" w:color="auto"/>
              <w:left w:val="single" w:sz="4" w:space="0" w:color="auto"/>
              <w:bottom w:val="single" w:sz="4" w:space="0" w:color="auto"/>
              <w:right w:val="single" w:sz="4" w:space="0" w:color="auto"/>
            </w:tcBorders>
          </w:tcPr>
          <w:p w14:paraId="3B94D68D" w14:textId="77777777" w:rsidR="00AA22A3" w:rsidRPr="0071081E" w:rsidRDefault="00AA22A3" w:rsidP="002035F8">
            <w:pPr>
              <w:spacing w:after="0"/>
              <w:jc w:val="center"/>
            </w:pPr>
            <w:r>
              <w:t>-1.7%</w:t>
            </w:r>
          </w:p>
        </w:tc>
      </w:tr>
      <w:tr w:rsidR="00AA22A3" w:rsidRPr="0071081E" w14:paraId="2CEAAF67" w14:textId="77777777" w:rsidTr="002035F8">
        <w:trPr>
          <w:trHeight w:val="360"/>
        </w:trPr>
        <w:tc>
          <w:tcPr>
            <w:tcW w:w="1984" w:type="dxa"/>
            <w:tcBorders>
              <w:top w:val="single" w:sz="6" w:space="0" w:color="000000"/>
              <w:left w:val="single" w:sz="6" w:space="0" w:color="000000"/>
              <w:bottom w:val="single" w:sz="6" w:space="0" w:color="000000"/>
              <w:right w:val="single" w:sz="4" w:space="0" w:color="auto"/>
            </w:tcBorders>
            <w:shd w:val="clear" w:color="auto" w:fill="auto"/>
            <w:tcMar>
              <w:top w:w="15" w:type="dxa"/>
              <w:left w:w="108" w:type="dxa"/>
              <w:bottom w:w="0" w:type="dxa"/>
              <w:right w:w="108" w:type="dxa"/>
            </w:tcMar>
            <w:hideMark/>
          </w:tcPr>
          <w:p w14:paraId="51C357AE" w14:textId="77777777" w:rsidR="00AA22A3" w:rsidRPr="0071081E" w:rsidRDefault="00AA22A3" w:rsidP="002035F8">
            <w:pPr>
              <w:spacing w:after="0"/>
            </w:pPr>
            <w:r>
              <w:rPr>
                <w:b/>
                <w:bCs/>
              </w:rPr>
              <w:t>RO SEAsia</w:t>
            </w:r>
          </w:p>
        </w:tc>
        <w:tc>
          <w:tcPr>
            <w:tcW w:w="1643" w:type="dxa"/>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tcPr>
          <w:p w14:paraId="4E0782F4" w14:textId="77777777" w:rsidR="00AA22A3" w:rsidRPr="0071081E" w:rsidRDefault="00AA22A3" w:rsidP="002035F8">
            <w:pPr>
              <w:spacing w:after="0"/>
              <w:jc w:val="center"/>
            </w:pPr>
            <w:r>
              <w:t>+0.04%</w:t>
            </w:r>
          </w:p>
        </w:tc>
        <w:tc>
          <w:tcPr>
            <w:tcW w:w="1602" w:type="dxa"/>
            <w:tcBorders>
              <w:top w:val="single" w:sz="4" w:space="0" w:color="auto"/>
              <w:left w:val="single" w:sz="4" w:space="0" w:color="auto"/>
              <w:bottom w:val="single" w:sz="4" w:space="0" w:color="auto"/>
              <w:right w:val="single" w:sz="4" w:space="0" w:color="auto"/>
            </w:tcBorders>
          </w:tcPr>
          <w:p w14:paraId="1137B531" w14:textId="77777777" w:rsidR="00AA22A3" w:rsidRPr="0071081E" w:rsidRDefault="00AA22A3" w:rsidP="002035F8">
            <w:pPr>
              <w:spacing w:after="0"/>
              <w:jc w:val="center"/>
            </w:pPr>
            <w:r>
              <w:t>-2.1%</w:t>
            </w:r>
          </w:p>
        </w:tc>
        <w:tc>
          <w:tcPr>
            <w:tcW w:w="1515" w:type="dxa"/>
            <w:tcBorders>
              <w:top w:val="single" w:sz="4" w:space="0" w:color="auto"/>
              <w:left w:val="single" w:sz="4" w:space="0" w:color="auto"/>
              <w:bottom w:val="single" w:sz="4" w:space="0" w:color="auto"/>
              <w:right w:val="single" w:sz="4" w:space="0" w:color="auto"/>
            </w:tcBorders>
          </w:tcPr>
          <w:p w14:paraId="212ED785" w14:textId="77777777" w:rsidR="00AA22A3" w:rsidRPr="0071081E" w:rsidRDefault="00AA22A3" w:rsidP="002035F8">
            <w:pPr>
              <w:spacing w:after="0"/>
              <w:jc w:val="center"/>
            </w:pPr>
            <w:r>
              <w:t>-1.2%</w:t>
            </w:r>
          </w:p>
        </w:tc>
        <w:tc>
          <w:tcPr>
            <w:tcW w:w="1224" w:type="dxa"/>
            <w:tcBorders>
              <w:top w:val="single" w:sz="4" w:space="0" w:color="auto"/>
              <w:left w:val="single" w:sz="4" w:space="0" w:color="auto"/>
              <w:bottom w:val="single" w:sz="4" w:space="0" w:color="auto"/>
              <w:right w:val="single" w:sz="4" w:space="0" w:color="auto"/>
            </w:tcBorders>
          </w:tcPr>
          <w:p w14:paraId="1D0EBE12" w14:textId="77777777" w:rsidR="00AA22A3" w:rsidRDefault="00AA22A3" w:rsidP="002035F8">
            <w:pPr>
              <w:spacing w:after="0"/>
              <w:jc w:val="center"/>
            </w:pPr>
            <w:r>
              <w:t>-1.9%</w:t>
            </w:r>
          </w:p>
        </w:tc>
        <w:tc>
          <w:tcPr>
            <w:tcW w:w="1376" w:type="dxa"/>
            <w:tcBorders>
              <w:top w:val="single" w:sz="4" w:space="0" w:color="auto"/>
              <w:left w:val="single" w:sz="4" w:space="0" w:color="auto"/>
              <w:bottom w:val="single" w:sz="4" w:space="0" w:color="auto"/>
              <w:right w:val="single" w:sz="4" w:space="0" w:color="auto"/>
            </w:tcBorders>
          </w:tcPr>
          <w:p w14:paraId="599E6738" w14:textId="77777777" w:rsidR="00AA22A3" w:rsidRPr="0071081E" w:rsidRDefault="00AA22A3" w:rsidP="002035F8">
            <w:pPr>
              <w:spacing w:after="0"/>
              <w:jc w:val="center"/>
            </w:pPr>
            <w:r>
              <w:t>-2.1%</w:t>
            </w:r>
          </w:p>
        </w:tc>
      </w:tr>
      <w:tr w:rsidR="00AA22A3" w:rsidRPr="0071081E" w14:paraId="67FAAB61" w14:textId="77777777" w:rsidTr="002035F8">
        <w:trPr>
          <w:trHeight w:val="360"/>
        </w:trPr>
        <w:tc>
          <w:tcPr>
            <w:tcW w:w="1984" w:type="dxa"/>
            <w:tcBorders>
              <w:top w:val="single" w:sz="6" w:space="0" w:color="000000"/>
              <w:left w:val="single" w:sz="6" w:space="0" w:color="000000"/>
              <w:bottom w:val="single" w:sz="6" w:space="0" w:color="000000"/>
              <w:right w:val="single" w:sz="4" w:space="0" w:color="auto"/>
            </w:tcBorders>
            <w:shd w:val="clear" w:color="auto" w:fill="auto"/>
            <w:tcMar>
              <w:top w:w="15" w:type="dxa"/>
              <w:left w:w="108" w:type="dxa"/>
              <w:bottom w:w="0" w:type="dxa"/>
              <w:right w:w="108" w:type="dxa"/>
            </w:tcMar>
            <w:hideMark/>
          </w:tcPr>
          <w:p w14:paraId="4257D703" w14:textId="77777777" w:rsidR="00AA22A3" w:rsidRPr="007A55E4" w:rsidRDefault="00AA22A3" w:rsidP="002035F8">
            <w:pPr>
              <w:spacing w:after="0"/>
              <w:rPr>
                <w:b/>
                <w:bCs/>
              </w:rPr>
            </w:pPr>
            <w:r>
              <w:rPr>
                <w:b/>
                <w:bCs/>
              </w:rPr>
              <w:t>Brazil</w:t>
            </w:r>
          </w:p>
        </w:tc>
        <w:tc>
          <w:tcPr>
            <w:tcW w:w="1643" w:type="dxa"/>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tcPr>
          <w:p w14:paraId="3EE06AB4" w14:textId="77777777" w:rsidR="00AA22A3" w:rsidRPr="0071081E" w:rsidRDefault="00AA22A3" w:rsidP="002035F8">
            <w:pPr>
              <w:spacing w:after="0"/>
              <w:jc w:val="center"/>
            </w:pPr>
            <w:r>
              <w:t>-0.8%</w:t>
            </w:r>
          </w:p>
        </w:tc>
        <w:tc>
          <w:tcPr>
            <w:tcW w:w="1602" w:type="dxa"/>
            <w:tcBorders>
              <w:top w:val="single" w:sz="4" w:space="0" w:color="auto"/>
              <w:left w:val="single" w:sz="4" w:space="0" w:color="auto"/>
              <w:bottom w:val="single" w:sz="4" w:space="0" w:color="auto"/>
              <w:right w:val="single" w:sz="4" w:space="0" w:color="auto"/>
            </w:tcBorders>
          </w:tcPr>
          <w:p w14:paraId="426A4259" w14:textId="77777777" w:rsidR="00AA22A3" w:rsidRPr="0071081E" w:rsidRDefault="00AA22A3" w:rsidP="002035F8">
            <w:pPr>
              <w:spacing w:after="0"/>
              <w:jc w:val="center"/>
            </w:pPr>
            <w:r>
              <w:t>-6.6%</w:t>
            </w:r>
          </w:p>
        </w:tc>
        <w:tc>
          <w:tcPr>
            <w:tcW w:w="1515" w:type="dxa"/>
            <w:tcBorders>
              <w:top w:val="single" w:sz="4" w:space="0" w:color="auto"/>
              <w:left w:val="single" w:sz="4" w:space="0" w:color="auto"/>
              <w:bottom w:val="single" w:sz="4" w:space="0" w:color="auto"/>
              <w:right w:val="single" w:sz="4" w:space="0" w:color="auto"/>
            </w:tcBorders>
          </w:tcPr>
          <w:p w14:paraId="01802AB3" w14:textId="77777777" w:rsidR="00AA22A3" w:rsidRPr="0071081E" w:rsidRDefault="00AA22A3" w:rsidP="002035F8">
            <w:pPr>
              <w:spacing w:after="0"/>
              <w:jc w:val="center"/>
            </w:pPr>
            <w:r>
              <w:t>-8.8%</w:t>
            </w:r>
          </w:p>
        </w:tc>
        <w:tc>
          <w:tcPr>
            <w:tcW w:w="1224" w:type="dxa"/>
            <w:tcBorders>
              <w:top w:val="single" w:sz="4" w:space="0" w:color="auto"/>
              <w:left w:val="single" w:sz="4" w:space="0" w:color="auto"/>
              <w:bottom w:val="single" w:sz="4" w:space="0" w:color="auto"/>
              <w:right w:val="single" w:sz="4" w:space="0" w:color="auto"/>
            </w:tcBorders>
          </w:tcPr>
          <w:p w14:paraId="2CF2CAC1" w14:textId="77777777" w:rsidR="00AA22A3" w:rsidRDefault="00AA22A3" w:rsidP="002035F8">
            <w:pPr>
              <w:spacing w:after="0"/>
              <w:jc w:val="center"/>
            </w:pPr>
            <w:r>
              <w:t>-1.8%</w:t>
            </w:r>
          </w:p>
        </w:tc>
        <w:tc>
          <w:tcPr>
            <w:tcW w:w="1376" w:type="dxa"/>
            <w:tcBorders>
              <w:top w:val="single" w:sz="4" w:space="0" w:color="auto"/>
              <w:left w:val="single" w:sz="4" w:space="0" w:color="auto"/>
              <w:bottom w:val="single" w:sz="4" w:space="0" w:color="auto"/>
              <w:right w:val="single" w:sz="4" w:space="0" w:color="auto"/>
            </w:tcBorders>
          </w:tcPr>
          <w:p w14:paraId="79590AA7" w14:textId="77777777" w:rsidR="00AA22A3" w:rsidRPr="0071081E" w:rsidRDefault="00AA22A3" w:rsidP="002035F8">
            <w:pPr>
              <w:spacing w:after="0"/>
              <w:jc w:val="center"/>
            </w:pPr>
            <w:r>
              <w:t>-12%</w:t>
            </w:r>
          </w:p>
        </w:tc>
      </w:tr>
      <w:tr w:rsidR="00AA22A3" w:rsidRPr="0071081E" w14:paraId="2D4BF9BA" w14:textId="77777777" w:rsidTr="002035F8">
        <w:trPr>
          <w:trHeight w:val="360"/>
        </w:trPr>
        <w:tc>
          <w:tcPr>
            <w:tcW w:w="1984" w:type="dxa"/>
            <w:tcBorders>
              <w:top w:val="single" w:sz="6" w:space="0" w:color="000000"/>
              <w:left w:val="single" w:sz="6" w:space="0" w:color="000000"/>
              <w:bottom w:val="single" w:sz="6" w:space="0" w:color="000000"/>
              <w:right w:val="single" w:sz="4" w:space="0" w:color="auto"/>
            </w:tcBorders>
            <w:shd w:val="clear" w:color="auto" w:fill="auto"/>
            <w:tcMar>
              <w:top w:w="15" w:type="dxa"/>
              <w:left w:w="108" w:type="dxa"/>
              <w:bottom w:w="0" w:type="dxa"/>
              <w:right w:w="108" w:type="dxa"/>
            </w:tcMar>
          </w:tcPr>
          <w:p w14:paraId="168D9077" w14:textId="77777777" w:rsidR="00AA22A3" w:rsidRDefault="00AA22A3" w:rsidP="002035F8">
            <w:pPr>
              <w:spacing w:after="0"/>
              <w:rPr>
                <w:b/>
                <w:bCs/>
              </w:rPr>
            </w:pPr>
            <w:r>
              <w:rPr>
                <w:b/>
                <w:bCs/>
              </w:rPr>
              <w:t>Argentina</w:t>
            </w:r>
          </w:p>
        </w:tc>
        <w:tc>
          <w:tcPr>
            <w:tcW w:w="1643" w:type="dxa"/>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tcPr>
          <w:p w14:paraId="4FEBF21B" w14:textId="77777777" w:rsidR="00AA22A3" w:rsidRPr="0071081E" w:rsidRDefault="00AA22A3" w:rsidP="002035F8">
            <w:pPr>
              <w:spacing w:after="0"/>
              <w:jc w:val="center"/>
            </w:pPr>
            <w:r>
              <w:t>0.00%</w:t>
            </w:r>
          </w:p>
        </w:tc>
        <w:tc>
          <w:tcPr>
            <w:tcW w:w="1602" w:type="dxa"/>
            <w:tcBorders>
              <w:top w:val="single" w:sz="4" w:space="0" w:color="auto"/>
              <w:left w:val="single" w:sz="4" w:space="0" w:color="auto"/>
              <w:bottom w:val="single" w:sz="4" w:space="0" w:color="auto"/>
              <w:right w:val="single" w:sz="4" w:space="0" w:color="auto"/>
            </w:tcBorders>
          </w:tcPr>
          <w:p w14:paraId="29B3DD96" w14:textId="77777777" w:rsidR="00AA22A3" w:rsidRPr="0071081E" w:rsidRDefault="00AA22A3" w:rsidP="002035F8">
            <w:pPr>
              <w:spacing w:after="0"/>
              <w:jc w:val="center"/>
            </w:pPr>
            <w:r>
              <w:t>-1.0%</w:t>
            </w:r>
          </w:p>
        </w:tc>
        <w:tc>
          <w:tcPr>
            <w:tcW w:w="1515" w:type="dxa"/>
            <w:tcBorders>
              <w:top w:val="single" w:sz="4" w:space="0" w:color="auto"/>
              <w:left w:val="single" w:sz="4" w:space="0" w:color="auto"/>
              <w:bottom w:val="single" w:sz="4" w:space="0" w:color="auto"/>
              <w:right w:val="single" w:sz="4" w:space="0" w:color="auto"/>
            </w:tcBorders>
          </w:tcPr>
          <w:p w14:paraId="74488CEB" w14:textId="77777777" w:rsidR="00AA22A3" w:rsidRPr="0071081E" w:rsidRDefault="00AA22A3" w:rsidP="002035F8">
            <w:pPr>
              <w:spacing w:after="0"/>
              <w:jc w:val="center"/>
            </w:pPr>
            <w:r>
              <w:t>-4.3%</w:t>
            </w:r>
          </w:p>
        </w:tc>
        <w:tc>
          <w:tcPr>
            <w:tcW w:w="1224" w:type="dxa"/>
            <w:tcBorders>
              <w:top w:val="single" w:sz="4" w:space="0" w:color="auto"/>
              <w:left w:val="single" w:sz="4" w:space="0" w:color="auto"/>
              <w:bottom w:val="single" w:sz="4" w:space="0" w:color="auto"/>
              <w:right w:val="single" w:sz="4" w:space="0" w:color="auto"/>
            </w:tcBorders>
          </w:tcPr>
          <w:p w14:paraId="1E5313E0" w14:textId="77777777" w:rsidR="00AA22A3" w:rsidRDefault="00AA22A3" w:rsidP="002035F8">
            <w:pPr>
              <w:spacing w:after="0"/>
              <w:jc w:val="center"/>
            </w:pPr>
            <w:r>
              <w:t>-2.5%</w:t>
            </w:r>
          </w:p>
        </w:tc>
        <w:tc>
          <w:tcPr>
            <w:tcW w:w="1376" w:type="dxa"/>
            <w:tcBorders>
              <w:top w:val="single" w:sz="4" w:space="0" w:color="auto"/>
              <w:left w:val="single" w:sz="4" w:space="0" w:color="auto"/>
              <w:bottom w:val="single" w:sz="4" w:space="0" w:color="auto"/>
              <w:right w:val="single" w:sz="4" w:space="0" w:color="auto"/>
            </w:tcBorders>
          </w:tcPr>
          <w:p w14:paraId="742E3FA1" w14:textId="77777777" w:rsidR="00AA22A3" w:rsidRPr="0071081E" w:rsidRDefault="00AA22A3" w:rsidP="002035F8">
            <w:pPr>
              <w:spacing w:after="0"/>
              <w:jc w:val="center"/>
            </w:pPr>
            <w:r>
              <w:t>-4.5%</w:t>
            </w:r>
          </w:p>
        </w:tc>
      </w:tr>
      <w:tr w:rsidR="00AA22A3" w:rsidRPr="0071081E" w14:paraId="322113AB" w14:textId="77777777" w:rsidTr="002035F8">
        <w:trPr>
          <w:trHeight w:val="360"/>
        </w:trPr>
        <w:tc>
          <w:tcPr>
            <w:tcW w:w="1984" w:type="dxa"/>
            <w:tcBorders>
              <w:top w:val="single" w:sz="6" w:space="0" w:color="000000"/>
              <w:left w:val="single" w:sz="6" w:space="0" w:color="000000"/>
              <w:bottom w:val="single" w:sz="6" w:space="0" w:color="000000"/>
              <w:right w:val="single" w:sz="4" w:space="0" w:color="auto"/>
            </w:tcBorders>
            <w:shd w:val="clear" w:color="auto" w:fill="auto"/>
            <w:tcMar>
              <w:top w:w="15" w:type="dxa"/>
              <w:left w:w="108" w:type="dxa"/>
              <w:bottom w:w="0" w:type="dxa"/>
              <w:right w:w="108" w:type="dxa"/>
            </w:tcMar>
          </w:tcPr>
          <w:p w14:paraId="56B82052" w14:textId="77777777" w:rsidR="00AA22A3" w:rsidRDefault="00AA22A3" w:rsidP="002035F8">
            <w:pPr>
              <w:spacing w:after="0"/>
              <w:rPr>
                <w:b/>
                <w:bCs/>
              </w:rPr>
            </w:pPr>
            <w:r>
              <w:rPr>
                <w:b/>
                <w:bCs/>
              </w:rPr>
              <w:t>Global</w:t>
            </w:r>
          </w:p>
        </w:tc>
        <w:tc>
          <w:tcPr>
            <w:tcW w:w="1643" w:type="dxa"/>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tcPr>
          <w:p w14:paraId="70BCDC21" w14:textId="77777777" w:rsidR="00AA22A3" w:rsidRPr="0071081E" w:rsidRDefault="00AA22A3" w:rsidP="002035F8">
            <w:pPr>
              <w:spacing w:after="0"/>
              <w:jc w:val="center"/>
            </w:pPr>
            <w:r>
              <w:t>-0.04%</w:t>
            </w:r>
          </w:p>
        </w:tc>
        <w:tc>
          <w:tcPr>
            <w:tcW w:w="1602" w:type="dxa"/>
            <w:tcBorders>
              <w:top w:val="single" w:sz="4" w:space="0" w:color="auto"/>
              <w:left w:val="single" w:sz="4" w:space="0" w:color="auto"/>
              <w:bottom w:val="single" w:sz="4" w:space="0" w:color="auto"/>
              <w:right w:val="single" w:sz="4" w:space="0" w:color="auto"/>
            </w:tcBorders>
          </w:tcPr>
          <w:p w14:paraId="1855BEE0" w14:textId="77777777" w:rsidR="00AA22A3" w:rsidRPr="0071081E" w:rsidRDefault="00AA22A3" w:rsidP="002035F8">
            <w:pPr>
              <w:spacing w:after="0"/>
              <w:jc w:val="center"/>
            </w:pPr>
            <w:r>
              <w:t>-0.6%</w:t>
            </w:r>
          </w:p>
        </w:tc>
        <w:tc>
          <w:tcPr>
            <w:tcW w:w="1515" w:type="dxa"/>
            <w:tcBorders>
              <w:top w:val="single" w:sz="4" w:space="0" w:color="auto"/>
              <w:left w:val="single" w:sz="4" w:space="0" w:color="auto"/>
              <w:bottom w:val="single" w:sz="4" w:space="0" w:color="auto"/>
              <w:right w:val="single" w:sz="4" w:space="0" w:color="auto"/>
            </w:tcBorders>
          </w:tcPr>
          <w:p w14:paraId="2C88459B" w14:textId="77777777" w:rsidR="00AA22A3" w:rsidRPr="0071081E" w:rsidRDefault="00AA22A3" w:rsidP="002035F8">
            <w:pPr>
              <w:spacing w:after="0"/>
              <w:jc w:val="center"/>
            </w:pPr>
            <w:r>
              <w:t>-0.7%</w:t>
            </w:r>
          </w:p>
        </w:tc>
        <w:tc>
          <w:tcPr>
            <w:tcW w:w="1224" w:type="dxa"/>
            <w:tcBorders>
              <w:top w:val="single" w:sz="4" w:space="0" w:color="auto"/>
              <w:left w:val="single" w:sz="4" w:space="0" w:color="auto"/>
              <w:bottom w:val="single" w:sz="4" w:space="0" w:color="auto"/>
              <w:right w:val="single" w:sz="4" w:space="0" w:color="auto"/>
            </w:tcBorders>
          </w:tcPr>
          <w:p w14:paraId="02E327ED" w14:textId="77777777" w:rsidR="00AA22A3" w:rsidRDefault="00AA22A3" w:rsidP="002035F8">
            <w:pPr>
              <w:spacing w:after="0"/>
              <w:jc w:val="center"/>
            </w:pPr>
            <w:r>
              <w:t>+0.08%</w:t>
            </w:r>
          </w:p>
        </w:tc>
        <w:tc>
          <w:tcPr>
            <w:tcW w:w="1376" w:type="dxa"/>
            <w:tcBorders>
              <w:top w:val="single" w:sz="4" w:space="0" w:color="auto"/>
              <w:left w:val="single" w:sz="4" w:space="0" w:color="auto"/>
              <w:bottom w:val="single" w:sz="4" w:space="0" w:color="auto"/>
              <w:right w:val="single" w:sz="4" w:space="0" w:color="auto"/>
            </w:tcBorders>
          </w:tcPr>
          <w:p w14:paraId="5F7F4FB1" w14:textId="77777777" w:rsidR="00AA22A3" w:rsidRPr="0071081E" w:rsidRDefault="00AA22A3" w:rsidP="002035F8">
            <w:pPr>
              <w:spacing w:after="0"/>
              <w:jc w:val="center"/>
            </w:pPr>
            <w:r>
              <w:t>-2.5%</w:t>
            </w:r>
          </w:p>
        </w:tc>
      </w:tr>
    </w:tbl>
    <w:p w14:paraId="7D0AF4BA" w14:textId="77777777" w:rsidR="00AA22A3" w:rsidRPr="00AA22A3" w:rsidRDefault="00AA22A3" w:rsidP="00F66A14">
      <w:pPr>
        <w:rPr>
          <w:b/>
          <w:bCs/>
          <w:i/>
          <w:iCs/>
        </w:rPr>
      </w:pPr>
    </w:p>
    <w:p w14:paraId="43843CDE" w14:textId="77777777" w:rsidR="00E576D9" w:rsidRDefault="00E576D9">
      <w:pPr>
        <w:rPr>
          <w:b/>
          <w:bCs/>
        </w:rPr>
      </w:pPr>
      <w:r>
        <w:rPr>
          <w:b/>
          <w:bCs/>
        </w:rPr>
        <w:br w:type="page"/>
      </w:r>
    </w:p>
    <w:p w14:paraId="3C3B3F89" w14:textId="5AD7EF5A" w:rsidR="00AD141E" w:rsidRPr="00B62DE4" w:rsidRDefault="00AD141E" w:rsidP="00AD141E">
      <w:r w:rsidRPr="00B62DE4">
        <w:rPr>
          <w:b/>
          <w:bCs/>
        </w:rPr>
        <w:lastRenderedPageBreak/>
        <w:t xml:space="preserve">Table S6. Losses in cumulative agricultural revenue divided by reductions in cumulative LUC emissions reductions (2020$/tCO2). </w:t>
      </w:r>
      <w:r w:rsidRPr="00B62DE4">
        <w:t>This metric (A/B; shaded in blue) represents agricultural revenue loss per ton of land carbon sequestration (emissions avoided) induced by the extended import restriction policies</w:t>
      </w:r>
      <w:r w:rsidR="00054E07" w:rsidRPr="00B62DE4">
        <w:t xml:space="preserve"> (relative to </w:t>
      </w:r>
      <w:r w:rsidR="00054E07" w:rsidRPr="00B62DE4">
        <w:rPr>
          <w:i/>
          <w:iCs/>
        </w:rPr>
        <w:t>REF</w:t>
      </w:r>
      <w:r w:rsidR="00054E07" w:rsidRPr="00B62DE4">
        <w:t>)</w:t>
      </w:r>
      <w:r w:rsidRPr="00B62DE4">
        <w:t xml:space="preserve">. This metric is shown for key deforestation-linked oil crop-exporting regions, which experience losses in cumulative agricultural revenue and reductions in cumulative LUC emissions in extended import restriction scenarios. All cumulative values are from 2020-2050.  </w:t>
      </w:r>
    </w:p>
    <w:tbl>
      <w:tblPr>
        <w:tblW w:w="0" w:type="auto"/>
        <w:tblCellMar>
          <w:left w:w="0" w:type="dxa"/>
          <w:right w:w="0" w:type="dxa"/>
        </w:tblCellMar>
        <w:tblLook w:val="04A0" w:firstRow="1" w:lastRow="0" w:firstColumn="1" w:lastColumn="0" w:noHBand="0" w:noVBand="1"/>
      </w:tblPr>
      <w:tblGrid>
        <w:gridCol w:w="955"/>
        <w:gridCol w:w="1111"/>
        <w:gridCol w:w="832"/>
        <w:gridCol w:w="854"/>
        <w:gridCol w:w="1113"/>
        <w:gridCol w:w="832"/>
        <w:gridCol w:w="854"/>
        <w:gridCol w:w="1113"/>
        <w:gridCol w:w="832"/>
        <w:gridCol w:w="851"/>
      </w:tblGrid>
      <w:tr w:rsidR="00B62DE4" w14:paraId="309B948D" w14:textId="77777777" w:rsidTr="00BA1ED3">
        <w:trPr>
          <w:trHeight w:val="360"/>
        </w:trPr>
        <w:tc>
          <w:tcPr>
            <w:tcW w:w="0" w:type="auto"/>
            <w:tcBorders>
              <w:top w:val="single" w:sz="6" w:space="0" w:color="000000"/>
              <w:left w:val="single" w:sz="6" w:space="0" w:color="000000"/>
              <w:bottom w:val="single" w:sz="6" w:space="0" w:color="000000"/>
              <w:right w:val="single" w:sz="4" w:space="0" w:color="auto"/>
            </w:tcBorders>
            <w:shd w:val="clear" w:color="auto" w:fill="000000"/>
            <w:tcMar>
              <w:top w:w="15" w:type="dxa"/>
              <w:left w:w="108" w:type="dxa"/>
              <w:bottom w:w="0" w:type="dxa"/>
              <w:right w:w="108" w:type="dxa"/>
            </w:tcMar>
          </w:tcPr>
          <w:p w14:paraId="48012ECE" w14:textId="77777777" w:rsidR="00AD141E" w:rsidRPr="0071081E" w:rsidRDefault="00AD141E" w:rsidP="00BA1ED3">
            <w:pPr>
              <w:pStyle w:val="ListParagraph"/>
              <w:spacing w:after="0"/>
              <w:ind w:left="476"/>
            </w:pPr>
          </w:p>
        </w:tc>
        <w:tc>
          <w:tcPr>
            <w:tcW w:w="0" w:type="auto"/>
            <w:gridSpan w:val="3"/>
            <w:tcBorders>
              <w:top w:val="single" w:sz="4" w:space="0" w:color="auto"/>
              <w:left w:val="single" w:sz="4" w:space="0" w:color="auto"/>
              <w:bottom w:val="single" w:sz="4" w:space="0" w:color="auto"/>
              <w:right w:val="single" w:sz="6" w:space="0" w:color="auto"/>
            </w:tcBorders>
            <w:shd w:val="clear" w:color="auto" w:fill="000000"/>
          </w:tcPr>
          <w:p w14:paraId="706D6BFA" w14:textId="44E7CA4E" w:rsidR="00AD141E" w:rsidRDefault="00AD141E" w:rsidP="00BA1ED3">
            <w:pPr>
              <w:spacing w:after="0"/>
              <w:jc w:val="center"/>
              <w:rPr>
                <w:b/>
                <w:bCs/>
              </w:rPr>
            </w:pPr>
            <w:r>
              <w:rPr>
                <w:b/>
                <w:bCs/>
              </w:rPr>
              <w:t xml:space="preserve">HighInc freeze </w:t>
            </w:r>
            <w:r w:rsidR="00054E07">
              <w:rPr>
                <w:b/>
                <w:bCs/>
              </w:rPr>
              <w:t>- REF</w:t>
            </w:r>
          </w:p>
        </w:tc>
        <w:tc>
          <w:tcPr>
            <w:tcW w:w="0" w:type="auto"/>
            <w:gridSpan w:val="3"/>
            <w:tcBorders>
              <w:top w:val="single" w:sz="4" w:space="0" w:color="auto"/>
              <w:left w:val="single" w:sz="6" w:space="0" w:color="auto"/>
              <w:bottom w:val="single" w:sz="4" w:space="0" w:color="auto"/>
              <w:right w:val="single" w:sz="6" w:space="0" w:color="auto"/>
            </w:tcBorders>
            <w:shd w:val="clear" w:color="auto" w:fill="000000"/>
          </w:tcPr>
          <w:p w14:paraId="30D4392D" w14:textId="23659E5C" w:rsidR="00AD141E" w:rsidRDefault="00AD141E" w:rsidP="00BA1ED3">
            <w:pPr>
              <w:spacing w:after="0"/>
              <w:jc w:val="center"/>
              <w:rPr>
                <w:b/>
                <w:bCs/>
              </w:rPr>
            </w:pPr>
            <w:r>
              <w:rPr>
                <w:b/>
                <w:bCs/>
              </w:rPr>
              <w:t>EU/Top 5 freeze</w:t>
            </w:r>
            <w:r w:rsidR="00054E07">
              <w:rPr>
                <w:b/>
                <w:bCs/>
              </w:rPr>
              <w:t xml:space="preserve"> - REF</w:t>
            </w:r>
          </w:p>
        </w:tc>
        <w:tc>
          <w:tcPr>
            <w:tcW w:w="0" w:type="auto"/>
            <w:gridSpan w:val="3"/>
            <w:tcBorders>
              <w:top w:val="single" w:sz="4" w:space="0" w:color="auto"/>
              <w:left w:val="single" w:sz="6" w:space="0" w:color="auto"/>
              <w:bottom w:val="single" w:sz="4" w:space="0" w:color="auto"/>
              <w:right w:val="single" w:sz="4" w:space="0" w:color="auto"/>
            </w:tcBorders>
            <w:shd w:val="clear" w:color="auto" w:fill="000000"/>
          </w:tcPr>
          <w:p w14:paraId="58A247CA" w14:textId="2A81849F" w:rsidR="00AD141E" w:rsidRDefault="00AD141E" w:rsidP="00BA1ED3">
            <w:pPr>
              <w:spacing w:after="0"/>
              <w:jc w:val="center"/>
              <w:rPr>
                <w:b/>
                <w:bCs/>
              </w:rPr>
            </w:pPr>
            <w:r>
              <w:rPr>
                <w:b/>
                <w:bCs/>
              </w:rPr>
              <w:t>EU ban</w:t>
            </w:r>
            <w:r w:rsidR="00054E07">
              <w:rPr>
                <w:b/>
                <w:bCs/>
              </w:rPr>
              <w:t xml:space="preserve"> - REF</w:t>
            </w:r>
          </w:p>
        </w:tc>
      </w:tr>
      <w:tr w:rsidR="00B62DE4" w:rsidRPr="0071081E" w14:paraId="467266C2" w14:textId="77777777" w:rsidTr="00BA1ED3">
        <w:trPr>
          <w:trHeight w:val="360"/>
        </w:trPr>
        <w:tc>
          <w:tcPr>
            <w:tcW w:w="0" w:type="auto"/>
            <w:tcBorders>
              <w:top w:val="single" w:sz="6" w:space="0" w:color="000000"/>
              <w:left w:val="single" w:sz="6" w:space="0" w:color="000000"/>
              <w:bottom w:val="single" w:sz="6" w:space="0" w:color="000000"/>
              <w:right w:val="single" w:sz="4" w:space="0" w:color="auto"/>
            </w:tcBorders>
            <w:shd w:val="clear" w:color="auto" w:fill="auto"/>
            <w:tcMar>
              <w:top w:w="15" w:type="dxa"/>
              <w:left w:w="108" w:type="dxa"/>
              <w:bottom w:w="0" w:type="dxa"/>
              <w:right w:w="108" w:type="dxa"/>
            </w:tcMar>
          </w:tcPr>
          <w:p w14:paraId="4341CF6F" w14:textId="77777777" w:rsidR="00AD141E" w:rsidRPr="0071081E" w:rsidRDefault="00AD141E" w:rsidP="00BA1ED3">
            <w:pPr>
              <w:spacing w:after="0"/>
            </w:pPr>
          </w:p>
        </w:tc>
        <w:tc>
          <w:tcPr>
            <w:tcW w:w="0" w:type="auto"/>
            <w:tcBorders>
              <w:top w:val="single" w:sz="4" w:space="0" w:color="auto"/>
              <w:left w:val="single" w:sz="4" w:space="0" w:color="auto"/>
              <w:bottom w:val="single" w:sz="4" w:space="0" w:color="auto"/>
              <w:right w:val="single" w:sz="4" w:space="0" w:color="auto"/>
            </w:tcBorders>
          </w:tcPr>
          <w:p w14:paraId="4EBFAEF0" w14:textId="77777777" w:rsidR="00AD141E" w:rsidRPr="000E4FFC" w:rsidRDefault="00AD141E" w:rsidP="00BA1ED3">
            <w:pPr>
              <w:spacing w:after="0"/>
              <w:rPr>
                <w:sz w:val="16"/>
                <w:szCs w:val="16"/>
              </w:rPr>
            </w:pPr>
            <w:r w:rsidRPr="000E4FFC">
              <w:rPr>
                <w:rFonts w:ascii="Franklin Gothic Book" w:hAnsi="Franklin Gothic Book"/>
                <w:sz w:val="16"/>
                <w:szCs w:val="16"/>
              </w:rPr>
              <w:t>(A) Δ</w:t>
            </w:r>
            <w:r w:rsidRPr="000E4FFC">
              <w:rPr>
                <w:sz w:val="16"/>
                <w:szCs w:val="16"/>
              </w:rPr>
              <w:t xml:space="preserve"> cum. total primary agricultural revenue (billion $2020)</w:t>
            </w:r>
          </w:p>
        </w:tc>
        <w:tc>
          <w:tcPr>
            <w:tcW w:w="0" w:type="auto"/>
            <w:tcBorders>
              <w:top w:val="single" w:sz="4" w:space="0" w:color="auto"/>
              <w:left w:val="single" w:sz="4" w:space="0" w:color="auto"/>
              <w:bottom w:val="single" w:sz="4" w:space="0" w:color="auto"/>
              <w:right w:val="single" w:sz="4" w:space="0" w:color="auto"/>
            </w:tcBorders>
          </w:tcPr>
          <w:p w14:paraId="2AA71052" w14:textId="77777777" w:rsidR="00AD141E" w:rsidRPr="000E4FFC" w:rsidRDefault="00AD141E" w:rsidP="00BA1ED3">
            <w:pPr>
              <w:spacing w:after="0"/>
              <w:rPr>
                <w:sz w:val="16"/>
                <w:szCs w:val="16"/>
              </w:rPr>
            </w:pPr>
            <w:r w:rsidRPr="000E4FFC">
              <w:rPr>
                <w:rFonts w:ascii="Franklin Gothic Book" w:hAnsi="Franklin Gothic Book"/>
                <w:sz w:val="16"/>
                <w:szCs w:val="16"/>
              </w:rPr>
              <w:t>(B) Δ</w:t>
            </w:r>
            <w:r w:rsidRPr="000E4FFC">
              <w:rPr>
                <w:sz w:val="16"/>
                <w:szCs w:val="16"/>
              </w:rPr>
              <w:t xml:space="preserve"> cum. LUC emissions (MtCO2) </w:t>
            </w:r>
          </w:p>
        </w:tc>
        <w:tc>
          <w:tcPr>
            <w:tcW w:w="0" w:type="auto"/>
            <w:tcBorders>
              <w:top w:val="single" w:sz="4" w:space="0" w:color="auto"/>
              <w:left w:val="single" w:sz="4" w:space="0" w:color="auto"/>
              <w:bottom w:val="single" w:sz="4" w:space="0" w:color="auto"/>
              <w:right w:val="single" w:sz="6" w:space="0" w:color="auto"/>
            </w:tcBorders>
            <w:shd w:val="clear" w:color="auto" w:fill="D9E2F3" w:themeFill="accent1" w:themeFillTint="33"/>
          </w:tcPr>
          <w:p w14:paraId="6629D92D" w14:textId="77777777" w:rsidR="00AD141E" w:rsidRPr="000E4FFC" w:rsidRDefault="00AD141E" w:rsidP="00BA1ED3">
            <w:pPr>
              <w:spacing w:after="0"/>
              <w:rPr>
                <w:sz w:val="16"/>
                <w:szCs w:val="16"/>
              </w:rPr>
            </w:pPr>
            <w:r w:rsidRPr="000E4FFC">
              <w:rPr>
                <w:sz w:val="16"/>
                <w:szCs w:val="16"/>
              </w:rPr>
              <w:t xml:space="preserve"> (A/B) 2020$/tCO2</w:t>
            </w:r>
          </w:p>
        </w:tc>
        <w:tc>
          <w:tcPr>
            <w:tcW w:w="0" w:type="auto"/>
            <w:tcBorders>
              <w:top w:val="single" w:sz="4" w:space="0" w:color="auto"/>
              <w:left w:val="single" w:sz="6" w:space="0" w:color="auto"/>
              <w:bottom w:val="single" w:sz="4" w:space="0" w:color="auto"/>
              <w:right w:val="single" w:sz="4" w:space="0" w:color="auto"/>
            </w:tcBorders>
          </w:tcPr>
          <w:p w14:paraId="6E7D86CF" w14:textId="77777777" w:rsidR="00AD141E" w:rsidRPr="000E4FFC" w:rsidRDefault="00AD141E" w:rsidP="00BA1ED3">
            <w:pPr>
              <w:spacing w:after="0"/>
              <w:rPr>
                <w:sz w:val="16"/>
                <w:szCs w:val="16"/>
              </w:rPr>
            </w:pPr>
            <w:r w:rsidRPr="000E4FFC">
              <w:rPr>
                <w:rFonts w:ascii="Franklin Gothic Book" w:hAnsi="Franklin Gothic Book"/>
                <w:sz w:val="16"/>
                <w:szCs w:val="16"/>
              </w:rPr>
              <w:t>(A) Δ</w:t>
            </w:r>
            <w:r w:rsidRPr="000E4FFC">
              <w:rPr>
                <w:sz w:val="16"/>
                <w:szCs w:val="16"/>
              </w:rPr>
              <w:t xml:space="preserve"> cum. total primary agricultural revenue (billion $2020)</w:t>
            </w:r>
          </w:p>
        </w:tc>
        <w:tc>
          <w:tcPr>
            <w:tcW w:w="0" w:type="auto"/>
            <w:tcBorders>
              <w:top w:val="single" w:sz="4" w:space="0" w:color="auto"/>
              <w:left w:val="single" w:sz="4" w:space="0" w:color="auto"/>
              <w:bottom w:val="single" w:sz="4" w:space="0" w:color="auto"/>
              <w:right w:val="single" w:sz="4" w:space="0" w:color="auto"/>
            </w:tcBorders>
          </w:tcPr>
          <w:p w14:paraId="60A9AFE1" w14:textId="77777777" w:rsidR="00AD141E" w:rsidRPr="000E4FFC" w:rsidRDefault="00AD141E" w:rsidP="00BA1ED3">
            <w:pPr>
              <w:spacing w:after="0"/>
              <w:rPr>
                <w:sz w:val="16"/>
                <w:szCs w:val="16"/>
              </w:rPr>
            </w:pPr>
            <w:r w:rsidRPr="000E4FFC">
              <w:rPr>
                <w:rFonts w:ascii="Franklin Gothic Book" w:hAnsi="Franklin Gothic Book"/>
                <w:sz w:val="16"/>
                <w:szCs w:val="16"/>
              </w:rPr>
              <w:t>(B) Δ</w:t>
            </w:r>
            <w:r w:rsidRPr="000E4FFC">
              <w:rPr>
                <w:sz w:val="16"/>
                <w:szCs w:val="16"/>
              </w:rPr>
              <w:t xml:space="preserve"> cum. LUC emissions (MtCO2) </w:t>
            </w:r>
          </w:p>
        </w:tc>
        <w:tc>
          <w:tcPr>
            <w:tcW w:w="0" w:type="auto"/>
            <w:tcBorders>
              <w:top w:val="single" w:sz="4" w:space="0" w:color="auto"/>
              <w:left w:val="single" w:sz="4" w:space="0" w:color="auto"/>
              <w:bottom w:val="single" w:sz="4" w:space="0" w:color="auto"/>
              <w:right w:val="single" w:sz="6" w:space="0" w:color="auto"/>
            </w:tcBorders>
            <w:shd w:val="clear" w:color="auto" w:fill="D9E2F3" w:themeFill="accent1" w:themeFillTint="33"/>
          </w:tcPr>
          <w:p w14:paraId="68CD2E2A" w14:textId="77777777" w:rsidR="00AD141E" w:rsidRPr="000E4FFC" w:rsidRDefault="00AD141E" w:rsidP="00BA1ED3">
            <w:pPr>
              <w:spacing w:after="0"/>
              <w:rPr>
                <w:sz w:val="16"/>
                <w:szCs w:val="16"/>
              </w:rPr>
            </w:pPr>
            <w:r w:rsidRPr="000E4FFC">
              <w:rPr>
                <w:sz w:val="16"/>
                <w:szCs w:val="16"/>
              </w:rPr>
              <w:t xml:space="preserve"> (A/B) 2020$/tCO2</w:t>
            </w:r>
          </w:p>
        </w:tc>
        <w:tc>
          <w:tcPr>
            <w:tcW w:w="0" w:type="auto"/>
            <w:tcBorders>
              <w:top w:val="single" w:sz="4" w:space="0" w:color="auto"/>
              <w:left w:val="single" w:sz="6" w:space="0" w:color="auto"/>
              <w:bottom w:val="single" w:sz="4" w:space="0" w:color="auto"/>
              <w:right w:val="single" w:sz="4" w:space="0" w:color="auto"/>
            </w:tcBorders>
          </w:tcPr>
          <w:p w14:paraId="227102E3" w14:textId="77777777" w:rsidR="00AD141E" w:rsidRPr="000E4FFC" w:rsidRDefault="00AD141E" w:rsidP="00BA1ED3">
            <w:pPr>
              <w:spacing w:after="0"/>
              <w:rPr>
                <w:sz w:val="16"/>
                <w:szCs w:val="16"/>
              </w:rPr>
            </w:pPr>
            <w:r w:rsidRPr="000E4FFC">
              <w:rPr>
                <w:rFonts w:ascii="Franklin Gothic Book" w:hAnsi="Franklin Gothic Book"/>
                <w:sz w:val="16"/>
                <w:szCs w:val="16"/>
              </w:rPr>
              <w:t>(A) Δ</w:t>
            </w:r>
            <w:r w:rsidRPr="000E4FFC">
              <w:rPr>
                <w:sz w:val="16"/>
                <w:szCs w:val="16"/>
              </w:rPr>
              <w:t xml:space="preserve"> cum. total primary agricultural revenue (billion $2020)</w:t>
            </w:r>
          </w:p>
        </w:tc>
        <w:tc>
          <w:tcPr>
            <w:tcW w:w="0" w:type="auto"/>
            <w:tcBorders>
              <w:top w:val="single" w:sz="4" w:space="0" w:color="auto"/>
              <w:left w:val="single" w:sz="4" w:space="0" w:color="auto"/>
              <w:bottom w:val="single" w:sz="4" w:space="0" w:color="auto"/>
              <w:right w:val="single" w:sz="4" w:space="0" w:color="auto"/>
            </w:tcBorders>
          </w:tcPr>
          <w:p w14:paraId="64887B14" w14:textId="77777777" w:rsidR="00AD141E" w:rsidRPr="000E4FFC" w:rsidRDefault="00AD141E" w:rsidP="00BA1ED3">
            <w:pPr>
              <w:spacing w:after="0"/>
              <w:rPr>
                <w:sz w:val="16"/>
                <w:szCs w:val="16"/>
              </w:rPr>
            </w:pPr>
            <w:r w:rsidRPr="000E4FFC">
              <w:rPr>
                <w:rFonts w:ascii="Franklin Gothic Book" w:hAnsi="Franklin Gothic Book"/>
                <w:sz w:val="16"/>
                <w:szCs w:val="16"/>
              </w:rPr>
              <w:t>(B) Δ</w:t>
            </w:r>
            <w:r w:rsidRPr="000E4FFC">
              <w:rPr>
                <w:sz w:val="16"/>
                <w:szCs w:val="16"/>
              </w:rPr>
              <w:t xml:space="preserve"> cum. LUC emissions (MtCO2) </w:t>
            </w:r>
          </w:p>
        </w:tc>
        <w:tc>
          <w:tcPr>
            <w:tcW w:w="0" w:type="auto"/>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2E6AC71" w14:textId="77777777" w:rsidR="00AD141E" w:rsidRPr="000E4FFC" w:rsidRDefault="00AD141E" w:rsidP="00BA1ED3">
            <w:pPr>
              <w:spacing w:after="0"/>
              <w:rPr>
                <w:sz w:val="16"/>
                <w:szCs w:val="16"/>
              </w:rPr>
            </w:pPr>
            <w:r w:rsidRPr="000E4FFC">
              <w:rPr>
                <w:sz w:val="16"/>
                <w:szCs w:val="16"/>
              </w:rPr>
              <w:t xml:space="preserve"> (A/B) 2020$/tCO2</w:t>
            </w:r>
          </w:p>
        </w:tc>
      </w:tr>
      <w:tr w:rsidR="00B62DE4" w:rsidRPr="0071081E" w14:paraId="3A8A07B6" w14:textId="77777777" w:rsidTr="00BA1ED3">
        <w:trPr>
          <w:trHeight w:val="360"/>
        </w:trPr>
        <w:tc>
          <w:tcPr>
            <w:tcW w:w="0" w:type="auto"/>
            <w:tcBorders>
              <w:top w:val="single" w:sz="6" w:space="0" w:color="000000"/>
              <w:left w:val="single" w:sz="6" w:space="0" w:color="000000"/>
              <w:bottom w:val="single" w:sz="6" w:space="0" w:color="000000"/>
              <w:right w:val="single" w:sz="4" w:space="0" w:color="auto"/>
            </w:tcBorders>
            <w:shd w:val="clear" w:color="auto" w:fill="auto"/>
            <w:tcMar>
              <w:top w:w="15" w:type="dxa"/>
              <w:left w:w="108" w:type="dxa"/>
              <w:bottom w:w="0" w:type="dxa"/>
              <w:right w:w="108" w:type="dxa"/>
            </w:tcMar>
          </w:tcPr>
          <w:p w14:paraId="2DDCF60C" w14:textId="77777777" w:rsidR="00AD141E" w:rsidRPr="00577B83" w:rsidRDefault="00AD141E" w:rsidP="00BA1ED3">
            <w:pPr>
              <w:spacing w:after="0"/>
              <w:rPr>
                <w:b/>
                <w:bCs/>
                <w:sz w:val="18"/>
                <w:szCs w:val="18"/>
              </w:rPr>
            </w:pPr>
            <w:r w:rsidRPr="00577B83">
              <w:rPr>
                <w:b/>
                <w:bCs/>
                <w:sz w:val="18"/>
                <w:szCs w:val="18"/>
              </w:rPr>
              <w:t>Indonesia</w:t>
            </w:r>
          </w:p>
        </w:tc>
        <w:tc>
          <w:tcPr>
            <w:tcW w:w="0" w:type="auto"/>
            <w:tcBorders>
              <w:top w:val="single" w:sz="4" w:space="0" w:color="auto"/>
              <w:left w:val="single" w:sz="4" w:space="0" w:color="auto"/>
              <w:bottom w:val="single" w:sz="4" w:space="0" w:color="auto"/>
              <w:right w:val="single" w:sz="4" w:space="0" w:color="auto"/>
            </w:tcBorders>
          </w:tcPr>
          <w:p w14:paraId="10D7EE79" w14:textId="77777777" w:rsidR="00AD141E" w:rsidRPr="00CE493E" w:rsidRDefault="00AD141E" w:rsidP="00BA1ED3">
            <w:pPr>
              <w:spacing w:after="0"/>
              <w:jc w:val="center"/>
            </w:pPr>
            <w:r>
              <w:t>-18.9</w:t>
            </w:r>
          </w:p>
        </w:tc>
        <w:tc>
          <w:tcPr>
            <w:tcW w:w="0" w:type="auto"/>
            <w:tcBorders>
              <w:top w:val="single" w:sz="4" w:space="0" w:color="auto"/>
              <w:left w:val="single" w:sz="4" w:space="0" w:color="auto"/>
              <w:bottom w:val="single" w:sz="4" w:space="0" w:color="auto"/>
              <w:right w:val="single" w:sz="4" w:space="0" w:color="auto"/>
            </w:tcBorders>
          </w:tcPr>
          <w:p w14:paraId="46E44FB4" w14:textId="77777777" w:rsidR="00AD141E" w:rsidRPr="00CE493E" w:rsidRDefault="00AD141E" w:rsidP="00BA1ED3">
            <w:pPr>
              <w:spacing w:after="0"/>
              <w:jc w:val="center"/>
            </w:pPr>
            <w:r>
              <w:t>-52.3</w:t>
            </w:r>
          </w:p>
        </w:tc>
        <w:tc>
          <w:tcPr>
            <w:tcW w:w="0" w:type="auto"/>
            <w:tcBorders>
              <w:top w:val="single" w:sz="4" w:space="0" w:color="auto"/>
              <w:left w:val="single" w:sz="4" w:space="0" w:color="auto"/>
              <w:bottom w:val="single" w:sz="4" w:space="0" w:color="auto"/>
              <w:right w:val="single" w:sz="6" w:space="0" w:color="auto"/>
            </w:tcBorders>
            <w:shd w:val="clear" w:color="auto" w:fill="D9E2F3" w:themeFill="accent1" w:themeFillTint="33"/>
          </w:tcPr>
          <w:p w14:paraId="3FD28BA0" w14:textId="77777777" w:rsidR="00AD141E" w:rsidRPr="00CE493E" w:rsidRDefault="00AD141E" w:rsidP="00BA1ED3">
            <w:pPr>
              <w:spacing w:after="0"/>
              <w:jc w:val="center"/>
            </w:pPr>
            <w:r w:rsidRPr="00CE493E">
              <w:t>$362</w:t>
            </w:r>
          </w:p>
        </w:tc>
        <w:tc>
          <w:tcPr>
            <w:tcW w:w="0" w:type="auto"/>
            <w:tcBorders>
              <w:top w:val="single" w:sz="4" w:space="0" w:color="auto"/>
              <w:left w:val="single" w:sz="6" w:space="0" w:color="auto"/>
              <w:bottom w:val="single" w:sz="4" w:space="0" w:color="auto"/>
              <w:right w:val="single" w:sz="4" w:space="0" w:color="auto"/>
            </w:tcBorders>
          </w:tcPr>
          <w:p w14:paraId="0B434DCC" w14:textId="77777777" w:rsidR="00AD141E" w:rsidRPr="00CE493E" w:rsidRDefault="00AD141E" w:rsidP="00BA1ED3">
            <w:pPr>
              <w:spacing w:after="0"/>
              <w:jc w:val="center"/>
            </w:pPr>
            <w:r>
              <w:t>-32.1</w:t>
            </w:r>
          </w:p>
        </w:tc>
        <w:tc>
          <w:tcPr>
            <w:tcW w:w="0" w:type="auto"/>
            <w:tcBorders>
              <w:top w:val="single" w:sz="4" w:space="0" w:color="auto"/>
              <w:left w:val="single" w:sz="4" w:space="0" w:color="auto"/>
              <w:bottom w:val="single" w:sz="4" w:space="0" w:color="auto"/>
              <w:right w:val="single" w:sz="4" w:space="0" w:color="auto"/>
            </w:tcBorders>
          </w:tcPr>
          <w:p w14:paraId="300C4854" w14:textId="77777777" w:rsidR="00AD141E" w:rsidRPr="00CE493E" w:rsidRDefault="00AD141E" w:rsidP="00BA1ED3">
            <w:pPr>
              <w:spacing w:after="0"/>
              <w:jc w:val="center"/>
            </w:pPr>
            <w:r>
              <w:t>-97.7</w:t>
            </w:r>
          </w:p>
        </w:tc>
        <w:tc>
          <w:tcPr>
            <w:tcW w:w="0" w:type="auto"/>
            <w:tcBorders>
              <w:top w:val="single" w:sz="4" w:space="0" w:color="auto"/>
              <w:left w:val="single" w:sz="4" w:space="0" w:color="auto"/>
              <w:bottom w:val="single" w:sz="4" w:space="0" w:color="auto"/>
              <w:right w:val="single" w:sz="6" w:space="0" w:color="auto"/>
            </w:tcBorders>
            <w:shd w:val="clear" w:color="auto" w:fill="D9E2F3" w:themeFill="accent1" w:themeFillTint="33"/>
          </w:tcPr>
          <w:p w14:paraId="623F815A" w14:textId="77777777" w:rsidR="00AD141E" w:rsidRPr="00CE493E" w:rsidRDefault="00AD141E" w:rsidP="00BA1ED3">
            <w:pPr>
              <w:spacing w:after="0"/>
              <w:jc w:val="center"/>
            </w:pPr>
            <w:r w:rsidRPr="00CE493E">
              <w:t>$329</w:t>
            </w:r>
          </w:p>
        </w:tc>
        <w:tc>
          <w:tcPr>
            <w:tcW w:w="0" w:type="auto"/>
            <w:tcBorders>
              <w:top w:val="single" w:sz="4" w:space="0" w:color="auto"/>
              <w:left w:val="single" w:sz="6" w:space="0" w:color="auto"/>
              <w:bottom w:val="single" w:sz="4" w:space="0" w:color="auto"/>
              <w:right w:val="single" w:sz="4" w:space="0" w:color="auto"/>
            </w:tcBorders>
          </w:tcPr>
          <w:p w14:paraId="3952346F" w14:textId="77777777" w:rsidR="00AD141E" w:rsidRPr="00CE493E" w:rsidRDefault="00AD141E" w:rsidP="00BA1ED3">
            <w:pPr>
              <w:spacing w:after="0"/>
              <w:jc w:val="center"/>
            </w:pPr>
            <w:r>
              <w:t>-58.7</w:t>
            </w:r>
          </w:p>
        </w:tc>
        <w:tc>
          <w:tcPr>
            <w:tcW w:w="0" w:type="auto"/>
            <w:tcBorders>
              <w:top w:val="single" w:sz="4" w:space="0" w:color="auto"/>
              <w:left w:val="single" w:sz="4" w:space="0" w:color="auto"/>
              <w:bottom w:val="single" w:sz="4" w:space="0" w:color="auto"/>
              <w:right w:val="single" w:sz="4" w:space="0" w:color="auto"/>
            </w:tcBorders>
          </w:tcPr>
          <w:p w14:paraId="21B25EE4" w14:textId="77777777" w:rsidR="00AD141E" w:rsidRPr="00CE493E" w:rsidRDefault="00AD141E" w:rsidP="00BA1ED3">
            <w:pPr>
              <w:spacing w:after="0"/>
              <w:jc w:val="center"/>
            </w:pPr>
            <w:r>
              <w:t>-131</w:t>
            </w:r>
          </w:p>
        </w:tc>
        <w:tc>
          <w:tcPr>
            <w:tcW w:w="0" w:type="auto"/>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2EF1F21" w14:textId="77777777" w:rsidR="00AD141E" w:rsidRPr="00CE493E" w:rsidRDefault="00AD141E" w:rsidP="00BA1ED3">
            <w:pPr>
              <w:spacing w:after="0"/>
              <w:jc w:val="center"/>
            </w:pPr>
            <w:r w:rsidRPr="00CE493E">
              <w:t>$447</w:t>
            </w:r>
          </w:p>
        </w:tc>
      </w:tr>
      <w:tr w:rsidR="00B62DE4" w:rsidRPr="0071081E" w14:paraId="7AD515B8" w14:textId="77777777" w:rsidTr="00BA1ED3">
        <w:trPr>
          <w:trHeight w:val="360"/>
        </w:trPr>
        <w:tc>
          <w:tcPr>
            <w:tcW w:w="0" w:type="auto"/>
            <w:tcBorders>
              <w:top w:val="single" w:sz="6" w:space="0" w:color="000000"/>
              <w:left w:val="single" w:sz="6" w:space="0" w:color="000000"/>
              <w:bottom w:val="single" w:sz="6" w:space="0" w:color="000000"/>
              <w:right w:val="single" w:sz="4" w:space="0" w:color="auto"/>
            </w:tcBorders>
            <w:shd w:val="clear" w:color="auto" w:fill="auto"/>
            <w:tcMar>
              <w:top w:w="15" w:type="dxa"/>
              <w:left w:w="108" w:type="dxa"/>
              <w:bottom w:w="0" w:type="dxa"/>
              <w:right w:w="108" w:type="dxa"/>
            </w:tcMar>
            <w:hideMark/>
          </w:tcPr>
          <w:p w14:paraId="5C5698F9" w14:textId="77777777" w:rsidR="00AD141E" w:rsidRPr="00577B83" w:rsidRDefault="00AD141E" w:rsidP="00BA1ED3">
            <w:pPr>
              <w:spacing w:after="0"/>
              <w:rPr>
                <w:sz w:val="18"/>
                <w:szCs w:val="18"/>
              </w:rPr>
            </w:pPr>
            <w:r w:rsidRPr="00577B83">
              <w:rPr>
                <w:b/>
                <w:bCs/>
                <w:sz w:val="16"/>
                <w:szCs w:val="16"/>
              </w:rPr>
              <w:t>RO SEAsia</w:t>
            </w:r>
          </w:p>
        </w:tc>
        <w:tc>
          <w:tcPr>
            <w:tcW w:w="0" w:type="auto"/>
            <w:tcBorders>
              <w:top w:val="single" w:sz="4" w:space="0" w:color="auto"/>
              <w:left w:val="single" w:sz="4" w:space="0" w:color="auto"/>
              <w:bottom w:val="single" w:sz="4" w:space="0" w:color="auto"/>
              <w:right w:val="single" w:sz="4" w:space="0" w:color="auto"/>
            </w:tcBorders>
          </w:tcPr>
          <w:p w14:paraId="013769B8" w14:textId="77777777" w:rsidR="00AD141E" w:rsidRPr="00CE493E" w:rsidRDefault="00AD141E" w:rsidP="00BA1ED3">
            <w:pPr>
              <w:spacing w:after="0"/>
              <w:jc w:val="center"/>
            </w:pPr>
            <w:r>
              <w:t>-24.8</w:t>
            </w:r>
          </w:p>
        </w:tc>
        <w:tc>
          <w:tcPr>
            <w:tcW w:w="0" w:type="auto"/>
            <w:tcBorders>
              <w:top w:val="single" w:sz="4" w:space="0" w:color="auto"/>
              <w:left w:val="single" w:sz="4" w:space="0" w:color="auto"/>
              <w:bottom w:val="single" w:sz="4" w:space="0" w:color="auto"/>
              <w:right w:val="single" w:sz="4" w:space="0" w:color="auto"/>
            </w:tcBorders>
          </w:tcPr>
          <w:p w14:paraId="45DF627A" w14:textId="77777777" w:rsidR="00AD141E" w:rsidRPr="00CE493E" w:rsidRDefault="00AD141E" w:rsidP="00BA1ED3">
            <w:pPr>
              <w:spacing w:after="0"/>
              <w:jc w:val="center"/>
            </w:pPr>
            <w:r>
              <w:t>-114</w:t>
            </w:r>
          </w:p>
        </w:tc>
        <w:tc>
          <w:tcPr>
            <w:tcW w:w="0" w:type="auto"/>
            <w:tcBorders>
              <w:top w:val="single" w:sz="4" w:space="0" w:color="auto"/>
              <w:left w:val="single" w:sz="4" w:space="0" w:color="auto"/>
              <w:bottom w:val="single" w:sz="4" w:space="0" w:color="auto"/>
              <w:right w:val="single" w:sz="6" w:space="0" w:color="auto"/>
            </w:tcBorders>
            <w:shd w:val="clear" w:color="auto" w:fill="D9E2F3" w:themeFill="accent1" w:themeFillTint="33"/>
          </w:tcPr>
          <w:p w14:paraId="25D1C9B9" w14:textId="77777777" w:rsidR="00AD141E" w:rsidRPr="00CE493E" w:rsidRDefault="00AD141E" w:rsidP="00BA1ED3">
            <w:pPr>
              <w:spacing w:after="0"/>
              <w:jc w:val="center"/>
            </w:pPr>
            <w:r w:rsidRPr="00CE493E">
              <w:t>$217</w:t>
            </w:r>
          </w:p>
        </w:tc>
        <w:tc>
          <w:tcPr>
            <w:tcW w:w="0" w:type="auto"/>
            <w:tcBorders>
              <w:top w:val="single" w:sz="4" w:space="0" w:color="auto"/>
              <w:left w:val="single" w:sz="6" w:space="0" w:color="auto"/>
              <w:bottom w:val="single" w:sz="4" w:space="0" w:color="auto"/>
              <w:right w:val="single" w:sz="4" w:space="0" w:color="auto"/>
            </w:tcBorders>
          </w:tcPr>
          <w:p w14:paraId="7C34969E" w14:textId="77777777" w:rsidR="00AD141E" w:rsidRPr="00CE493E" w:rsidRDefault="00AD141E" w:rsidP="00BA1ED3">
            <w:pPr>
              <w:spacing w:after="0"/>
              <w:jc w:val="center"/>
            </w:pPr>
            <w:r>
              <w:t>-20.1</w:t>
            </w:r>
          </w:p>
        </w:tc>
        <w:tc>
          <w:tcPr>
            <w:tcW w:w="0" w:type="auto"/>
            <w:tcBorders>
              <w:top w:val="single" w:sz="4" w:space="0" w:color="auto"/>
              <w:left w:val="single" w:sz="4" w:space="0" w:color="auto"/>
              <w:bottom w:val="single" w:sz="4" w:space="0" w:color="auto"/>
              <w:right w:val="single" w:sz="4" w:space="0" w:color="auto"/>
            </w:tcBorders>
          </w:tcPr>
          <w:p w14:paraId="0883387E" w14:textId="77777777" w:rsidR="00AD141E" w:rsidRPr="00CE493E" w:rsidRDefault="00AD141E" w:rsidP="00BA1ED3">
            <w:pPr>
              <w:spacing w:after="0"/>
              <w:jc w:val="center"/>
            </w:pPr>
            <w:r>
              <w:t>-33.3</w:t>
            </w:r>
          </w:p>
        </w:tc>
        <w:tc>
          <w:tcPr>
            <w:tcW w:w="0" w:type="auto"/>
            <w:tcBorders>
              <w:top w:val="single" w:sz="4" w:space="0" w:color="auto"/>
              <w:left w:val="single" w:sz="4" w:space="0" w:color="auto"/>
              <w:bottom w:val="single" w:sz="4" w:space="0" w:color="auto"/>
              <w:right w:val="single" w:sz="6" w:space="0" w:color="auto"/>
            </w:tcBorders>
            <w:shd w:val="clear" w:color="auto" w:fill="D9E2F3" w:themeFill="accent1" w:themeFillTint="33"/>
          </w:tcPr>
          <w:p w14:paraId="2D1AEE73" w14:textId="77777777" w:rsidR="00AD141E" w:rsidRPr="00CE493E" w:rsidRDefault="00AD141E" w:rsidP="00BA1ED3">
            <w:pPr>
              <w:spacing w:after="0"/>
              <w:jc w:val="center"/>
            </w:pPr>
            <w:r w:rsidRPr="00CE493E">
              <w:t>$602</w:t>
            </w:r>
          </w:p>
        </w:tc>
        <w:tc>
          <w:tcPr>
            <w:tcW w:w="0" w:type="auto"/>
            <w:tcBorders>
              <w:top w:val="single" w:sz="4" w:space="0" w:color="auto"/>
              <w:left w:val="single" w:sz="6" w:space="0" w:color="auto"/>
              <w:bottom w:val="single" w:sz="4" w:space="0" w:color="auto"/>
              <w:right w:val="single" w:sz="4" w:space="0" w:color="auto"/>
            </w:tcBorders>
          </w:tcPr>
          <w:p w14:paraId="7D3A7FD9" w14:textId="77777777" w:rsidR="00AD141E" w:rsidRPr="00CE493E" w:rsidRDefault="00AD141E" w:rsidP="00BA1ED3">
            <w:pPr>
              <w:spacing w:after="0"/>
              <w:jc w:val="center"/>
            </w:pPr>
            <w:r>
              <w:t>-43.4</w:t>
            </w:r>
          </w:p>
        </w:tc>
        <w:tc>
          <w:tcPr>
            <w:tcW w:w="0" w:type="auto"/>
            <w:tcBorders>
              <w:top w:val="single" w:sz="4" w:space="0" w:color="auto"/>
              <w:left w:val="single" w:sz="4" w:space="0" w:color="auto"/>
              <w:bottom w:val="single" w:sz="4" w:space="0" w:color="auto"/>
              <w:right w:val="single" w:sz="4" w:space="0" w:color="auto"/>
            </w:tcBorders>
          </w:tcPr>
          <w:p w14:paraId="4847B260" w14:textId="77777777" w:rsidR="00AD141E" w:rsidRPr="00CE493E" w:rsidRDefault="00AD141E" w:rsidP="00BA1ED3">
            <w:pPr>
              <w:spacing w:after="0"/>
              <w:jc w:val="center"/>
            </w:pPr>
            <w:r>
              <w:t>-145</w:t>
            </w:r>
          </w:p>
        </w:tc>
        <w:tc>
          <w:tcPr>
            <w:tcW w:w="0" w:type="auto"/>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192E12C" w14:textId="77777777" w:rsidR="00AD141E" w:rsidRPr="00CE493E" w:rsidRDefault="00AD141E" w:rsidP="00BA1ED3">
            <w:pPr>
              <w:spacing w:after="0"/>
              <w:jc w:val="center"/>
            </w:pPr>
            <w:r w:rsidRPr="00CE493E">
              <w:t>$300</w:t>
            </w:r>
          </w:p>
        </w:tc>
      </w:tr>
      <w:tr w:rsidR="00B62DE4" w:rsidRPr="0071081E" w14:paraId="0BC57569" w14:textId="77777777" w:rsidTr="00BA1ED3">
        <w:trPr>
          <w:trHeight w:val="360"/>
        </w:trPr>
        <w:tc>
          <w:tcPr>
            <w:tcW w:w="0" w:type="auto"/>
            <w:tcBorders>
              <w:top w:val="single" w:sz="6" w:space="0" w:color="000000"/>
              <w:left w:val="single" w:sz="6" w:space="0" w:color="000000"/>
              <w:bottom w:val="single" w:sz="6" w:space="0" w:color="000000"/>
              <w:right w:val="single" w:sz="4" w:space="0" w:color="auto"/>
            </w:tcBorders>
            <w:shd w:val="clear" w:color="auto" w:fill="auto"/>
            <w:tcMar>
              <w:top w:w="15" w:type="dxa"/>
              <w:left w:w="108" w:type="dxa"/>
              <w:bottom w:w="0" w:type="dxa"/>
              <w:right w:w="108" w:type="dxa"/>
            </w:tcMar>
            <w:hideMark/>
          </w:tcPr>
          <w:p w14:paraId="5BAF31A6" w14:textId="77777777" w:rsidR="00AD141E" w:rsidRPr="00577B83" w:rsidRDefault="00AD141E" w:rsidP="00BA1ED3">
            <w:pPr>
              <w:spacing w:after="0"/>
              <w:rPr>
                <w:b/>
                <w:bCs/>
                <w:sz w:val="18"/>
                <w:szCs w:val="18"/>
              </w:rPr>
            </w:pPr>
            <w:r w:rsidRPr="00577B83">
              <w:rPr>
                <w:b/>
                <w:bCs/>
                <w:sz w:val="18"/>
                <w:szCs w:val="18"/>
              </w:rPr>
              <w:t>Brazil</w:t>
            </w:r>
          </w:p>
        </w:tc>
        <w:tc>
          <w:tcPr>
            <w:tcW w:w="0" w:type="auto"/>
            <w:tcBorders>
              <w:top w:val="single" w:sz="4" w:space="0" w:color="auto"/>
              <w:left w:val="single" w:sz="4" w:space="0" w:color="auto"/>
              <w:bottom w:val="single" w:sz="4" w:space="0" w:color="auto"/>
              <w:right w:val="single" w:sz="4" w:space="0" w:color="auto"/>
            </w:tcBorders>
          </w:tcPr>
          <w:p w14:paraId="6B1091C8" w14:textId="77777777" w:rsidR="00AD141E" w:rsidRPr="00CE493E" w:rsidRDefault="00AD141E" w:rsidP="00BA1ED3">
            <w:pPr>
              <w:spacing w:after="0"/>
              <w:jc w:val="center"/>
            </w:pPr>
            <w:r>
              <w:t>-223</w:t>
            </w:r>
          </w:p>
        </w:tc>
        <w:tc>
          <w:tcPr>
            <w:tcW w:w="0" w:type="auto"/>
            <w:tcBorders>
              <w:top w:val="single" w:sz="4" w:space="0" w:color="auto"/>
              <w:left w:val="single" w:sz="4" w:space="0" w:color="auto"/>
              <w:bottom w:val="single" w:sz="4" w:space="0" w:color="auto"/>
              <w:right w:val="single" w:sz="4" w:space="0" w:color="auto"/>
            </w:tcBorders>
          </w:tcPr>
          <w:p w14:paraId="75B595BF" w14:textId="77777777" w:rsidR="00AD141E" w:rsidRPr="00CE493E" w:rsidRDefault="00AD141E" w:rsidP="00BA1ED3">
            <w:pPr>
              <w:spacing w:after="0"/>
              <w:jc w:val="center"/>
            </w:pPr>
            <w:r>
              <w:t>-1067</w:t>
            </w:r>
          </w:p>
        </w:tc>
        <w:tc>
          <w:tcPr>
            <w:tcW w:w="0" w:type="auto"/>
            <w:tcBorders>
              <w:top w:val="single" w:sz="4" w:space="0" w:color="auto"/>
              <w:left w:val="single" w:sz="4" w:space="0" w:color="auto"/>
              <w:bottom w:val="single" w:sz="4" w:space="0" w:color="auto"/>
              <w:right w:val="single" w:sz="6" w:space="0" w:color="auto"/>
            </w:tcBorders>
            <w:shd w:val="clear" w:color="auto" w:fill="D9E2F3" w:themeFill="accent1" w:themeFillTint="33"/>
          </w:tcPr>
          <w:p w14:paraId="523EB666" w14:textId="77777777" w:rsidR="00AD141E" w:rsidRPr="00CE493E" w:rsidRDefault="00AD141E" w:rsidP="00BA1ED3">
            <w:pPr>
              <w:spacing w:after="0"/>
              <w:jc w:val="center"/>
            </w:pPr>
            <w:r w:rsidRPr="00CE493E">
              <w:t>$209</w:t>
            </w:r>
          </w:p>
        </w:tc>
        <w:tc>
          <w:tcPr>
            <w:tcW w:w="0" w:type="auto"/>
            <w:tcBorders>
              <w:top w:val="single" w:sz="4" w:space="0" w:color="auto"/>
              <w:left w:val="single" w:sz="6" w:space="0" w:color="auto"/>
              <w:bottom w:val="single" w:sz="4" w:space="0" w:color="auto"/>
              <w:right w:val="single" w:sz="4" w:space="0" w:color="auto"/>
            </w:tcBorders>
          </w:tcPr>
          <w:p w14:paraId="4AE84431" w14:textId="77777777" w:rsidR="00AD141E" w:rsidRPr="00CE493E" w:rsidRDefault="00AD141E" w:rsidP="00BA1ED3">
            <w:pPr>
              <w:spacing w:after="0"/>
              <w:jc w:val="center"/>
            </w:pPr>
            <w:r>
              <w:t>-276</w:t>
            </w:r>
          </w:p>
        </w:tc>
        <w:tc>
          <w:tcPr>
            <w:tcW w:w="0" w:type="auto"/>
            <w:tcBorders>
              <w:top w:val="single" w:sz="4" w:space="0" w:color="auto"/>
              <w:left w:val="single" w:sz="4" w:space="0" w:color="auto"/>
              <w:bottom w:val="single" w:sz="4" w:space="0" w:color="auto"/>
              <w:right w:val="single" w:sz="4" w:space="0" w:color="auto"/>
            </w:tcBorders>
          </w:tcPr>
          <w:p w14:paraId="4B8CDD2C" w14:textId="77777777" w:rsidR="00AD141E" w:rsidRPr="00CE493E" w:rsidRDefault="00AD141E" w:rsidP="00BA1ED3">
            <w:pPr>
              <w:spacing w:after="0"/>
              <w:jc w:val="center"/>
            </w:pPr>
            <w:r>
              <w:t>-1376</w:t>
            </w:r>
          </w:p>
        </w:tc>
        <w:tc>
          <w:tcPr>
            <w:tcW w:w="0" w:type="auto"/>
            <w:tcBorders>
              <w:top w:val="single" w:sz="4" w:space="0" w:color="auto"/>
              <w:left w:val="single" w:sz="4" w:space="0" w:color="auto"/>
              <w:bottom w:val="single" w:sz="4" w:space="0" w:color="auto"/>
              <w:right w:val="single" w:sz="6" w:space="0" w:color="auto"/>
            </w:tcBorders>
            <w:shd w:val="clear" w:color="auto" w:fill="D9E2F3" w:themeFill="accent1" w:themeFillTint="33"/>
          </w:tcPr>
          <w:p w14:paraId="760DC4DC" w14:textId="77777777" w:rsidR="00AD141E" w:rsidRPr="00CE493E" w:rsidRDefault="00AD141E" w:rsidP="00BA1ED3">
            <w:pPr>
              <w:spacing w:after="0"/>
              <w:jc w:val="center"/>
            </w:pPr>
            <w:r w:rsidRPr="00CE493E">
              <w:t>$201</w:t>
            </w:r>
          </w:p>
        </w:tc>
        <w:tc>
          <w:tcPr>
            <w:tcW w:w="0" w:type="auto"/>
            <w:tcBorders>
              <w:top w:val="single" w:sz="4" w:space="0" w:color="auto"/>
              <w:left w:val="single" w:sz="6" w:space="0" w:color="auto"/>
              <w:bottom w:val="single" w:sz="4" w:space="0" w:color="auto"/>
              <w:right w:val="single" w:sz="4" w:space="0" w:color="auto"/>
            </w:tcBorders>
          </w:tcPr>
          <w:p w14:paraId="09463100" w14:textId="77777777" w:rsidR="00AD141E" w:rsidRPr="00CE493E" w:rsidRDefault="00AD141E" w:rsidP="00BA1ED3">
            <w:pPr>
              <w:spacing w:after="0"/>
              <w:jc w:val="center"/>
            </w:pPr>
            <w:r>
              <w:t>-89.1</w:t>
            </w:r>
          </w:p>
        </w:tc>
        <w:tc>
          <w:tcPr>
            <w:tcW w:w="0" w:type="auto"/>
            <w:tcBorders>
              <w:top w:val="single" w:sz="4" w:space="0" w:color="auto"/>
              <w:left w:val="single" w:sz="4" w:space="0" w:color="auto"/>
              <w:bottom w:val="single" w:sz="4" w:space="0" w:color="auto"/>
              <w:right w:val="single" w:sz="4" w:space="0" w:color="auto"/>
            </w:tcBorders>
          </w:tcPr>
          <w:p w14:paraId="64D270E4" w14:textId="77777777" w:rsidR="00AD141E" w:rsidRPr="00CE493E" w:rsidRDefault="00AD141E" w:rsidP="00BA1ED3">
            <w:pPr>
              <w:spacing w:after="0"/>
              <w:jc w:val="center"/>
            </w:pPr>
            <w:r>
              <w:t>-311</w:t>
            </w:r>
          </w:p>
        </w:tc>
        <w:tc>
          <w:tcPr>
            <w:tcW w:w="0" w:type="auto"/>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841B4E4" w14:textId="77777777" w:rsidR="00AD141E" w:rsidRPr="00CE493E" w:rsidRDefault="00AD141E" w:rsidP="00BA1ED3">
            <w:pPr>
              <w:spacing w:after="0"/>
              <w:jc w:val="center"/>
            </w:pPr>
            <w:r w:rsidRPr="00CE493E">
              <w:t>$287</w:t>
            </w:r>
          </w:p>
        </w:tc>
      </w:tr>
      <w:tr w:rsidR="00B62DE4" w:rsidRPr="0071081E" w14:paraId="098E3AAD" w14:textId="77777777" w:rsidTr="00BA1ED3">
        <w:trPr>
          <w:trHeight w:val="360"/>
        </w:trPr>
        <w:tc>
          <w:tcPr>
            <w:tcW w:w="0" w:type="auto"/>
            <w:tcBorders>
              <w:top w:val="single" w:sz="6" w:space="0" w:color="000000"/>
              <w:left w:val="single" w:sz="6" w:space="0" w:color="000000"/>
              <w:bottom w:val="single" w:sz="6" w:space="0" w:color="000000"/>
              <w:right w:val="single" w:sz="4" w:space="0" w:color="auto"/>
            </w:tcBorders>
            <w:shd w:val="clear" w:color="auto" w:fill="auto"/>
            <w:tcMar>
              <w:top w:w="15" w:type="dxa"/>
              <w:left w:w="108" w:type="dxa"/>
              <w:bottom w:w="0" w:type="dxa"/>
              <w:right w:w="108" w:type="dxa"/>
            </w:tcMar>
          </w:tcPr>
          <w:p w14:paraId="3135E3E2" w14:textId="77777777" w:rsidR="00AD141E" w:rsidRPr="00577B83" w:rsidRDefault="00AD141E" w:rsidP="00BA1ED3">
            <w:pPr>
              <w:spacing w:after="0"/>
              <w:rPr>
                <w:b/>
                <w:bCs/>
                <w:sz w:val="18"/>
                <w:szCs w:val="18"/>
              </w:rPr>
            </w:pPr>
            <w:r w:rsidRPr="00577B83">
              <w:rPr>
                <w:b/>
                <w:bCs/>
                <w:sz w:val="18"/>
                <w:szCs w:val="18"/>
              </w:rPr>
              <w:t>Argentina</w:t>
            </w:r>
          </w:p>
        </w:tc>
        <w:tc>
          <w:tcPr>
            <w:tcW w:w="0" w:type="auto"/>
            <w:tcBorders>
              <w:top w:val="single" w:sz="4" w:space="0" w:color="auto"/>
              <w:left w:val="single" w:sz="4" w:space="0" w:color="auto"/>
              <w:bottom w:val="single" w:sz="4" w:space="0" w:color="auto"/>
              <w:right w:val="single" w:sz="4" w:space="0" w:color="auto"/>
            </w:tcBorders>
          </w:tcPr>
          <w:p w14:paraId="7B742B6A" w14:textId="77777777" w:rsidR="00AD141E" w:rsidRPr="00CE493E" w:rsidRDefault="00AD141E" w:rsidP="00BA1ED3">
            <w:pPr>
              <w:spacing w:after="0"/>
              <w:jc w:val="center"/>
            </w:pPr>
            <w:r>
              <w:t>-23.1</w:t>
            </w:r>
          </w:p>
        </w:tc>
        <w:tc>
          <w:tcPr>
            <w:tcW w:w="0" w:type="auto"/>
            <w:tcBorders>
              <w:top w:val="single" w:sz="4" w:space="0" w:color="auto"/>
              <w:left w:val="single" w:sz="4" w:space="0" w:color="auto"/>
              <w:bottom w:val="single" w:sz="4" w:space="0" w:color="auto"/>
              <w:right w:val="single" w:sz="4" w:space="0" w:color="auto"/>
            </w:tcBorders>
          </w:tcPr>
          <w:p w14:paraId="32B28B4D" w14:textId="77777777" w:rsidR="00AD141E" w:rsidRPr="00CE493E" w:rsidRDefault="00AD141E" w:rsidP="00BA1ED3">
            <w:pPr>
              <w:spacing w:after="0"/>
              <w:jc w:val="center"/>
            </w:pPr>
            <w:r>
              <w:t>-30.7</w:t>
            </w:r>
          </w:p>
        </w:tc>
        <w:tc>
          <w:tcPr>
            <w:tcW w:w="0" w:type="auto"/>
            <w:tcBorders>
              <w:top w:val="single" w:sz="4" w:space="0" w:color="auto"/>
              <w:left w:val="single" w:sz="4" w:space="0" w:color="auto"/>
              <w:bottom w:val="single" w:sz="4" w:space="0" w:color="auto"/>
              <w:right w:val="single" w:sz="6" w:space="0" w:color="auto"/>
            </w:tcBorders>
            <w:shd w:val="clear" w:color="auto" w:fill="D9E2F3" w:themeFill="accent1" w:themeFillTint="33"/>
          </w:tcPr>
          <w:p w14:paraId="0696E450" w14:textId="77777777" w:rsidR="00AD141E" w:rsidRPr="00CE493E" w:rsidRDefault="00AD141E" w:rsidP="00BA1ED3">
            <w:pPr>
              <w:spacing w:after="0"/>
              <w:jc w:val="center"/>
            </w:pPr>
            <w:r w:rsidRPr="00CE493E">
              <w:t>$752</w:t>
            </w:r>
          </w:p>
        </w:tc>
        <w:tc>
          <w:tcPr>
            <w:tcW w:w="0" w:type="auto"/>
            <w:tcBorders>
              <w:top w:val="single" w:sz="4" w:space="0" w:color="auto"/>
              <w:left w:val="single" w:sz="6" w:space="0" w:color="auto"/>
              <w:bottom w:val="single" w:sz="4" w:space="0" w:color="auto"/>
              <w:right w:val="single" w:sz="4" w:space="0" w:color="auto"/>
            </w:tcBorders>
          </w:tcPr>
          <w:p w14:paraId="65C194A5" w14:textId="77777777" w:rsidR="00AD141E" w:rsidRPr="00CE493E" w:rsidRDefault="00AD141E" w:rsidP="00BA1ED3">
            <w:pPr>
              <w:spacing w:after="0"/>
              <w:jc w:val="center"/>
            </w:pPr>
            <w:r>
              <w:t>-67.2</w:t>
            </w:r>
          </w:p>
        </w:tc>
        <w:tc>
          <w:tcPr>
            <w:tcW w:w="0" w:type="auto"/>
            <w:tcBorders>
              <w:top w:val="single" w:sz="4" w:space="0" w:color="auto"/>
              <w:left w:val="single" w:sz="4" w:space="0" w:color="auto"/>
              <w:bottom w:val="single" w:sz="4" w:space="0" w:color="auto"/>
              <w:right w:val="single" w:sz="4" w:space="0" w:color="auto"/>
            </w:tcBorders>
          </w:tcPr>
          <w:p w14:paraId="4E707800" w14:textId="77777777" w:rsidR="00AD141E" w:rsidRPr="00CE493E" w:rsidRDefault="00AD141E" w:rsidP="00BA1ED3">
            <w:pPr>
              <w:spacing w:after="0"/>
              <w:jc w:val="center"/>
            </w:pPr>
            <w:r>
              <w:t>-111</w:t>
            </w:r>
          </w:p>
        </w:tc>
        <w:tc>
          <w:tcPr>
            <w:tcW w:w="0" w:type="auto"/>
            <w:tcBorders>
              <w:top w:val="single" w:sz="4" w:space="0" w:color="auto"/>
              <w:left w:val="single" w:sz="4" w:space="0" w:color="auto"/>
              <w:bottom w:val="single" w:sz="4" w:space="0" w:color="auto"/>
              <w:right w:val="single" w:sz="6" w:space="0" w:color="auto"/>
            </w:tcBorders>
            <w:shd w:val="clear" w:color="auto" w:fill="D9E2F3" w:themeFill="accent1" w:themeFillTint="33"/>
          </w:tcPr>
          <w:p w14:paraId="4BB86DB8" w14:textId="77777777" w:rsidR="00AD141E" w:rsidRPr="00CE493E" w:rsidRDefault="00AD141E" w:rsidP="00BA1ED3">
            <w:pPr>
              <w:spacing w:after="0"/>
              <w:jc w:val="center"/>
            </w:pPr>
            <w:r w:rsidRPr="00CE493E">
              <w:t>$603</w:t>
            </w:r>
          </w:p>
        </w:tc>
        <w:tc>
          <w:tcPr>
            <w:tcW w:w="0" w:type="auto"/>
            <w:tcBorders>
              <w:top w:val="single" w:sz="4" w:space="0" w:color="auto"/>
              <w:left w:val="single" w:sz="6" w:space="0" w:color="auto"/>
              <w:bottom w:val="single" w:sz="4" w:space="0" w:color="auto"/>
              <w:right w:val="single" w:sz="4" w:space="0" w:color="auto"/>
            </w:tcBorders>
          </w:tcPr>
          <w:p w14:paraId="7D55FDE3" w14:textId="77777777" w:rsidR="00AD141E" w:rsidRPr="00CE493E" w:rsidRDefault="00AD141E" w:rsidP="00BA1ED3">
            <w:pPr>
              <w:spacing w:after="0"/>
              <w:jc w:val="center"/>
            </w:pPr>
            <w:r>
              <w:t>-54.2</w:t>
            </w:r>
          </w:p>
        </w:tc>
        <w:tc>
          <w:tcPr>
            <w:tcW w:w="0" w:type="auto"/>
            <w:tcBorders>
              <w:top w:val="single" w:sz="4" w:space="0" w:color="auto"/>
              <w:left w:val="single" w:sz="4" w:space="0" w:color="auto"/>
              <w:bottom w:val="single" w:sz="4" w:space="0" w:color="auto"/>
              <w:right w:val="single" w:sz="4" w:space="0" w:color="auto"/>
            </w:tcBorders>
          </w:tcPr>
          <w:p w14:paraId="66F9E9B2" w14:textId="77777777" w:rsidR="00AD141E" w:rsidRPr="00CE493E" w:rsidRDefault="00AD141E" w:rsidP="00BA1ED3">
            <w:pPr>
              <w:spacing w:after="0"/>
              <w:jc w:val="center"/>
            </w:pPr>
            <w:r>
              <w:t>-69.2</w:t>
            </w:r>
          </w:p>
        </w:tc>
        <w:tc>
          <w:tcPr>
            <w:tcW w:w="0" w:type="auto"/>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C8731CD" w14:textId="77777777" w:rsidR="00AD141E" w:rsidRPr="00CE493E" w:rsidRDefault="00AD141E" w:rsidP="00BA1ED3">
            <w:pPr>
              <w:spacing w:after="0"/>
              <w:jc w:val="center"/>
            </w:pPr>
            <w:r w:rsidRPr="00CE493E">
              <w:t>$782</w:t>
            </w:r>
          </w:p>
        </w:tc>
      </w:tr>
    </w:tbl>
    <w:p w14:paraId="306DB0FA" w14:textId="77777777" w:rsidR="00AD141E" w:rsidRPr="00B16C2D" w:rsidRDefault="00AD141E" w:rsidP="00AD141E">
      <w:pPr>
        <w:rPr>
          <w:b/>
          <w:bCs/>
          <w:i/>
          <w:iCs/>
        </w:rPr>
      </w:pPr>
    </w:p>
    <w:p w14:paraId="7B2B2E26" w14:textId="77777777" w:rsidR="00AD141E" w:rsidRPr="00B62DE4" w:rsidRDefault="00AD141E" w:rsidP="00AD141E">
      <w:pPr>
        <w:spacing w:after="0"/>
      </w:pPr>
      <w:r w:rsidRPr="00B62DE4">
        <w:t>This metric should be interpreted with caution.  The “loss” of agricultural production revenue experienced is not a pure loss for producers since revenue does not equal profit or welfare. Therefore, this “loss” cannot be directly compared to the “benefit” of LUC emissions reduction. Furthermore, this price does not represent the price at which this level of LUC CO2 emissions reduction could be feasibly achieved— there may not be a dollar-for-dollar equivalency between agricultural production revenue and credit for LUC emissions mitigation, and such carbon storage policies could also have other implementation costs. Future work is needed to do a more sophisticated cost-benefit analysis in this context. Nevertheless, this puts the LUC emission reductions that can be achieved in each region into context with losses in agricultural production revenue, giving an indication of the level of redistribution that would be needed to counteract inequities on producers resulting from extended import restrictions. For context, the fossil fuel and industrial process (FFI) carbon prices for these four regions ranged $104-$175 (2020$/tCO2) in 2025.</w:t>
      </w:r>
    </w:p>
    <w:p w14:paraId="42966503" w14:textId="77777777" w:rsidR="00AD141E" w:rsidRPr="00B62DE4" w:rsidRDefault="00AD141E" w:rsidP="00AD141E">
      <w:pPr>
        <w:spacing w:after="0"/>
      </w:pPr>
    </w:p>
    <w:p w14:paraId="1EADEBA6" w14:textId="77777777" w:rsidR="00AD141E" w:rsidRPr="00B62DE4" w:rsidRDefault="00AD141E" w:rsidP="00AD141E">
      <w:pPr>
        <w:spacing w:after="0"/>
      </w:pPr>
      <w:r w:rsidRPr="00B62DE4">
        <w:t>This metric also reveals some interesting insights, in comparing values across regions and scenarios. In general, this metric is lower in Brazil than other key exporting regions, implying that there is higher “policy efficiency” in import restrictions in Brazil than other key exporting regions, in having lower cost per ton-CO2 mitigated. For most regions (except rest of Southeast Asia), a complete EU ban on palm and soy from deforesting regions represents the most inefficient policy among the extended import restrictions modeled here.</w:t>
      </w:r>
    </w:p>
    <w:p w14:paraId="5AAFDC2B" w14:textId="6F69695A" w:rsidR="00317BE4" w:rsidRDefault="00B27C08">
      <w:pPr>
        <w:rPr>
          <w:b/>
          <w:bCs/>
          <w:i/>
          <w:iCs/>
        </w:rPr>
      </w:pPr>
      <w:r>
        <w:rPr>
          <w:b/>
          <w:bCs/>
          <w:i/>
          <w:iCs/>
          <w:noProof/>
        </w:rPr>
        <w:lastRenderedPageBreak/>
        <w:drawing>
          <wp:inline distT="0" distB="0" distL="0" distR="0" wp14:anchorId="032E0795" wp14:editId="0D14F911">
            <wp:extent cx="5063319" cy="4051737"/>
            <wp:effectExtent l="0" t="0" r="4445"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070855" cy="4057768"/>
                    </a:xfrm>
                    <a:prstGeom prst="rect">
                      <a:avLst/>
                    </a:prstGeom>
                    <a:noFill/>
                    <a:ln>
                      <a:noFill/>
                    </a:ln>
                  </pic:spPr>
                </pic:pic>
              </a:graphicData>
            </a:graphic>
          </wp:inline>
        </w:drawing>
      </w:r>
    </w:p>
    <w:p w14:paraId="51D48232" w14:textId="6D766451" w:rsidR="004B3CF5" w:rsidRPr="00B62DE4" w:rsidRDefault="004B3CF5">
      <w:r>
        <w:rPr>
          <w:b/>
          <w:bCs/>
        </w:rPr>
        <w:t>Figure S6. Change in</w:t>
      </w:r>
      <w:r w:rsidR="00B2371E">
        <w:rPr>
          <w:b/>
          <w:bCs/>
        </w:rPr>
        <w:t xml:space="preserve"> per capita</w:t>
      </w:r>
      <w:r w:rsidR="00583554">
        <w:rPr>
          <w:b/>
          <w:bCs/>
        </w:rPr>
        <w:t xml:space="preserve"> annual</w:t>
      </w:r>
      <w:r>
        <w:rPr>
          <w:b/>
          <w:bCs/>
        </w:rPr>
        <w:t xml:space="preserve"> total primary agricultural expenditures over time.</w:t>
      </w:r>
      <w:r w:rsidR="00B32BF4">
        <w:t xml:space="preserve"> This metric is calculated as total primary agricultural expenditure in each year divided by population in each year.</w:t>
      </w:r>
    </w:p>
    <w:p w14:paraId="2923BA14" w14:textId="77777777" w:rsidR="00283AC3" w:rsidRDefault="00283AC3" w:rsidP="00283AC3">
      <w:pPr>
        <w:rPr>
          <w:b/>
          <w:bCs/>
          <w:i/>
          <w:iCs/>
        </w:rPr>
      </w:pPr>
      <w:r>
        <w:rPr>
          <w:b/>
          <w:bCs/>
          <w:i/>
          <w:iCs/>
          <w:noProof/>
        </w:rPr>
        <w:drawing>
          <wp:inline distT="0" distB="0" distL="0" distR="0" wp14:anchorId="3BDDEE33" wp14:editId="4C07E90D">
            <wp:extent cx="5029200" cy="27432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029200" cy="2743200"/>
                    </a:xfrm>
                    <a:prstGeom prst="rect">
                      <a:avLst/>
                    </a:prstGeom>
                    <a:noFill/>
                    <a:ln>
                      <a:noFill/>
                    </a:ln>
                  </pic:spPr>
                </pic:pic>
              </a:graphicData>
            </a:graphic>
          </wp:inline>
        </w:drawing>
      </w:r>
    </w:p>
    <w:p w14:paraId="5AA660D7" w14:textId="77777777" w:rsidR="00283AC3" w:rsidRPr="00B62DE4" w:rsidRDefault="00283AC3" w:rsidP="00283AC3">
      <w:r w:rsidRPr="00B62DE4">
        <w:rPr>
          <w:b/>
          <w:bCs/>
        </w:rPr>
        <w:t xml:space="preserve">Figure S7. Change in per capita cumulative total primary agricultural expenditure in 2050. </w:t>
      </w:r>
      <w:r w:rsidRPr="00B62DE4">
        <w:t>This metric is calculated as cumulative total primary agricultural expenditure (2020-2050) divided by the mean population over 2020-2050.</w:t>
      </w:r>
    </w:p>
    <w:p w14:paraId="3BE32624" w14:textId="71015469" w:rsidR="00D17378" w:rsidRPr="00D17378" w:rsidRDefault="00D96D5D" w:rsidP="00C32EEF">
      <w:pPr>
        <w:rPr>
          <w:b/>
          <w:bCs/>
        </w:rPr>
      </w:pPr>
      <w:r>
        <w:rPr>
          <w:b/>
          <w:bCs/>
          <w:noProof/>
        </w:rPr>
        <w:lastRenderedPageBreak/>
        <w:drawing>
          <wp:inline distT="0" distB="0" distL="0" distR="0" wp14:anchorId="7A662DDE" wp14:editId="282E78E3">
            <wp:extent cx="5893248" cy="3033346"/>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31218" cy="3052890"/>
                    </a:xfrm>
                    <a:prstGeom prst="rect">
                      <a:avLst/>
                    </a:prstGeom>
                    <a:noFill/>
                  </pic:spPr>
                </pic:pic>
              </a:graphicData>
            </a:graphic>
          </wp:inline>
        </w:drawing>
      </w:r>
    </w:p>
    <w:p w14:paraId="0A5FB758" w14:textId="1F015D22" w:rsidR="00D87F3B" w:rsidRDefault="00D17378" w:rsidP="00C32EEF">
      <w:r>
        <w:rPr>
          <w:b/>
          <w:bCs/>
        </w:rPr>
        <w:t xml:space="preserve">Figure </w:t>
      </w:r>
      <w:r w:rsidR="00BD28DB">
        <w:rPr>
          <w:b/>
          <w:bCs/>
        </w:rPr>
        <w:t>S</w:t>
      </w:r>
      <w:r w:rsidR="008D2EF4">
        <w:rPr>
          <w:b/>
          <w:bCs/>
        </w:rPr>
        <w:t>8</w:t>
      </w:r>
      <w:r>
        <w:rPr>
          <w:b/>
          <w:bCs/>
        </w:rPr>
        <w:t xml:space="preserve">. Regional oil palm </w:t>
      </w:r>
      <w:r w:rsidR="001B64DA">
        <w:rPr>
          <w:b/>
          <w:bCs/>
        </w:rPr>
        <w:t>consumption</w:t>
      </w:r>
      <w:r>
        <w:rPr>
          <w:b/>
          <w:bCs/>
        </w:rPr>
        <w:t xml:space="preserve">. </w:t>
      </w:r>
      <w:r>
        <w:t>The</w:t>
      </w:r>
      <w:r w:rsidR="001B64DA">
        <w:t xml:space="preserve"> leftmost</w:t>
      </w:r>
      <w:r>
        <w:t xml:space="preserve"> panels show </w:t>
      </w:r>
      <w:r w:rsidR="001B64DA" w:rsidRPr="00595803">
        <w:rPr>
          <w:i/>
          <w:iCs/>
        </w:rPr>
        <w:t>REF</w:t>
      </w:r>
      <w:r w:rsidR="001B64DA">
        <w:t xml:space="preserve"> oil palm </w:t>
      </w:r>
      <w:r w:rsidR="00DA3ADC">
        <w:t>consumption</w:t>
      </w:r>
      <w:r w:rsidR="001B64DA">
        <w:t xml:space="preserve"> in 2030 (top) and 2050 (bottom)</w:t>
      </w:r>
      <w:r w:rsidR="00DA3ADC">
        <w:t xml:space="preserve"> across demand sectors: </w:t>
      </w:r>
      <w:r w:rsidR="007B09F3">
        <w:t>animal feed, food, non-food, and biofuel</w:t>
      </w:r>
      <w:r w:rsidR="001B64DA">
        <w:t>. The right</w:t>
      </w:r>
      <w:r w:rsidR="00DA3ADC">
        <w:t xml:space="preserve"> panels show </w:t>
      </w:r>
      <w:r>
        <w:t xml:space="preserve">changes in </w:t>
      </w:r>
      <w:r w:rsidR="00595803">
        <w:t xml:space="preserve">oil palm </w:t>
      </w:r>
      <w:r w:rsidR="007B09F3">
        <w:t>consumption</w:t>
      </w:r>
      <w:r>
        <w:t xml:space="preserve"> relative to </w:t>
      </w:r>
      <w:r>
        <w:rPr>
          <w:i/>
          <w:iCs/>
        </w:rPr>
        <w:t>REF</w:t>
      </w:r>
      <w:r>
        <w:t xml:space="preserve"> in 2030 </w:t>
      </w:r>
      <w:r w:rsidR="007B09F3">
        <w:t>(top) and 2050 (botto</w:t>
      </w:r>
      <w:r w:rsidR="00E91AFC">
        <w:t>m</w:t>
      </w:r>
      <w:r w:rsidR="007B09F3">
        <w:t xml:space="preserve">). Units are in </w:t>
      </w:r>
      <w:r>
        <w:t xml:space="preserve">million </w:t>
      </w:r>
      <w:r w:rsidR="007B09F3">
        <w:t>tons (Mt)</w:t>
      </w:r>
      <w:r>
        <w:t xml:space="preserve">. </w:t>
      </w:r>
    </w:p>
    <w:p w14:paraId="220BFD83" w14:textId="77777777" w:rsidR="00D87F3B" w:rsidRDefault="00D87F3B" w:rsidP="00C32EEF"/>
    <w:p w14:paraId="0118E8FA" w14:textId="77777777" w:rsidR="00D87F3B" w:rsidRDefault="00D87F3B" w:rsidP="00C32EEF">
      <w:r>
        <w:rPr>
          <w:noProof/>
        </w:rPr>
        <w:drawing>
          <wp:inline distT="0" distB="0" distL="0" distR="0" wp14:anchorId="758CB860" wp14:editId="5EB38627">
            <wp:extent cx="5870385" cy="301498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893622" cy="3026914"/>
                    </a:xfrm>
                    <a:prstGeom prst="rect">
                      <a:avLst/>
                    </a:prstGeom>
                    <a:noFill/>
                  </pic:spPr>
                </pic:pic>
              </a:graphicData>
            </a:graphic>
          </wp:inline>
        </w:drawing>
      </w:r>
    </w:p>
    <w:p w14:paraId="024E67AE" w14:textId="4A832A3D" w:rsidR="00922AF4" w:rsidRDefault="00D87F3B" w:rsidP="00C32EEF">
      <w:r>
        <w:rPr>
          <w:b/>
          <w:bCs/>
        </w:rPr>
        <w:t>Figure S</w:t>
      </w:r>
      <w:r w:rsidR="008D2EF4">
        <w:rPr>
          <w:b/>
          <w:bCs/>
        </w:rPr>
        <w:t>9</w:t>
      </w:r>
      <w:r>
        <w:rPr>
          <w:b/>
          <w:bCs/>
        </w:rPr>
        <w:t xml:space="preserve">. Regional soybean consumption. </w:t>
      </w:r>
      <w:r>
        <w:t xml:space="preserve">The leftmost panels show </w:t>
      </w:r>
      <w:r w:rsidRPr="00595803">
        <w:rPr>
          <w:i/>
          <w:iCs/>
        </w:rPr>
        <w:t>REF</w:t>
      </w:r>
      <w:r>
        <w:t xml:space="preserve"> so</w:t>
      </w:r>
      <w:r w:rsidR="00595803">
        <w:t>ybean</w:t>
      </w:r>
      <w:r>
        <w:t xml:space="preserve"> consumption in 2030 (top) and 2050 (bottom) across demand sectors: animal feed, food, non-food, and biofuel. The right panels show changes in</w:t>
      </w:r>
      <w:r w:rsidR="00595803">
        <w:t xml:space="preserve"> soybean</w:t>
      </w:r>
      <w:r>
        <w:t xml:space="preserve"> consumption relative to </w:t>
      </w:r>
      <w:r>
        <w:rPr>
          <w:i/>
          <w:iCs/>
        </w:rPr>
        <w:t>REF</w:t>
      </w:r>
      <w:r>
        <w:t xml:space="preserve"> in 2030 (top) and 2050 (botto</w:t>
      </w:r>
      <w:r w:rsidR="00735B56">
        <w:t>m</w:t>
      </w:r>
      <w:r>
        <w:t>). Units are in million tons (Mt).</w:t>
      </w:r>
    </w:p>
    <w:p w14:paraId="43B6C490" w14:textId="77777777" w:rsidR="00922AF4" w:rsidRDefault="00922AF4" w:rsidP="00C32EEF"/>
    <w:p w14:paraId="2421B611" w14:textId="629E3587" w:rsidR="00922AF4" w:rsidRDefault="0026727D" w:rsidP="00C32EEF">
      <w:r>
        <w:rPr>
          <w:noProof/>
        </w:rPr>
        <w:drawing>
          <wp:inline distT="0" distB="0" distL="0" distR="0" wp14:anchorId="2A7D68B6" wp14:editId="3761FC42">
            <wp:extent cx="5953791" cy="6126942"/>
            <wp:effectExtent l="0" t="0" r="8890" b="762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77007" cy="6150833"/>
                    </a:xfrm>
                    <a:prstGeom prst="rect">
                      <a:avLst/>
                    </a:prstGeom>
                    <a:noFill/>
                  </pic:spPr>
                </pic:pic>
              </a:graphicData>
            </a:graphic>
          </wp:inline>
        </w:drawing>
      </w:r>
    </w:p>
    <w:p w14:paraId="3DF14D8A" w14:textId="5A7C588E" w:rsidR="0092621D" w:rsidRDefault="0092621D" w:rsidP="0092621D">
      <w:r>
        <w:rPr>
          <w:b/>
          <w:bCs/>
        </w:rPr>
        <w:t xml:space="preserve">Figure </w:t>
      </w:r>
      <w:r w:rsidR="008D2EF4">
        <w:rPr>
          <w:b/>
          <w:bCs/>
        </w:rPr>
        <w:t>S10</w:t>
      </w:r>
      <w:r>
        <w:rPr>
          <w:b/>
          <w:bCs/>
        </w:rPr>
        <w:t xml:space="preserve">. Regional </w:t>
      </w:r>
      <w:r w:rsidR="00BA5A68">
        <w:rPr>
          <w:b/>
          <w:bCs/>
        </w:rPr>
        <w:t>ag</w:t>
      </w:r>
      <w:r w:rsidR="00331A8B">
        <w:rPr>
          <w:b/>
          <w:bCs/>
        </w:rPr>
        <w:t>ricultural</w:t>
      </w:r>
      <w:r w:rsidR="00BA5A68">
        <w:rPr>
          <w:b/>
          <w:bCs/>
        </w:rPr>
        <w:t xml:space="preserve"> </w:t>
      </w:r>
      <w:r>
        <w:rPr>
          <w:b/>
          <w:bCs/>
        </w:rPr>
        <w:t>consumption</w:t>
      </w:r>
      <w:r w:rsidR="00BA5A68">
        <w:rPr>
          <w:b/>
          <w:bCs/>
        </w:rPr>
        <w:t xml:space="preserve"> by demand sector in 2030. </w:t>
      </w:r>
      <w:r w:rsidR="00BA5A68">
        <w:t>A) animal feed (Mt), B) food (Pcal), C) Non-food</w:t>
      </w:r>
      <w:r w:rsidR="00735B56">
        <w:t xml:space="preserve"> (Mt)</w:t>
      </w:r>
      <w:r w:rsidR="00BA5A68">
        <w:t>, D) biofuel input (Mt).</w:t>
      </w:r>
      <w:r>
        <w:rPr>
          <w:b/>
          <w:bCs/>
        </w:rPr>
        <w:t xml:space="preserve"> </w:t>
      </w:r>
      <w:r>
        <w:t xml:space="preserve">The leftmost panels show </w:t>
      </w:r>
      <w:r w:rsidRPr="00595803">
        <w:rPr>
          <w:i/>
          <w:iCs/>
        </w:rPr>
        <w:t>REF</w:t>
      </w:r>
      <w:r>
        <w:t xml:space="preserve"> </w:t>
      </w:r>
      <w:r w:rsidR="00BA5A68">
        <w:t xml:space="preserve">consumption </w:t>
      </w:r>
      <w:r w:rsidR="00331A8B">
        <w:t xml:space="preserve">of agricultural commodities. </w:t>
      </w:r>
      <w:r>
        <w:t>The right panels show changes in</w:t>
      </w:r>
      <w:r w:rsidR="00331A8B">
        <w:t xml:space="preserve"> agricultural</w:t>
      </w:r>
      <w:r>
        <w:t xml:space="preserve"> consumption relative to </w:t>
      </w:r>
      <w:r>
        <w:rPr>
          <w:i/>
          <w:iCs/>
        </w:rPr>
        <w:t>REF</w:t>
      </w:r>
      <w:r w:rsidR="00331A8B">
        <w:t>.</w:t>
      </w:r>
    </w:p>
    <w:p w14:paraId="350708F2" w14:textId="77777777" w:rsidR="0092621D" w:rsidRDefault="0092621D" w:rsidP="00C32EEF"/>
    <w:p w14:paraId="5E8CC743" w14:textId="77777777" w:rsidR="00782290" w:rsidRDefault="00782290" w:rsidP="00C32EEF"/>
    <w:p w14:paraId="0C2A25C7" w14:textId="77777777" w:rsidR="00782290" w:rsidRDefault="00782290" w:rsidP="00C32EEF">
      <w:r>
        <w:rPr>
          <w:noProof/>
        </w:rPr>
        <w:lastRenderedPageBreak/>
        <w:drawing>
          <wp:inline distT="0" distB="0" distL="0" distR="0" wp14:anchorId="7FA0E77F" wp14:editId="41082CB8">
            <wp:extent cx="6115070" cy="6272126"/>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137088" cy="6294709"/>
                    </a:xfrm>
                    <a:prstGeom prst="rect">
                      <a:avLst/>
                    </a:prstGeom>
                    <a:noFill/>
                  </pic:spPr>
                </pic:pic>
              </a:graphicData>
            </a:graphic>
          </wp:inline>
        </w:drawing>
      </w:r>
    </w:p>
    <w:p w14:paraId="469AEB8D" w14:textId="6A19D90A" w:rsidR="00735B56" w:rsidRDefault="00E17446" w:rsidP="00735B56">
      <w:r>
        <w:rPr>
          <w:b/>
          <w:bCs/>
        </w:rPr>
        <w:t xml:space="preserve">Figure </w:t>
      </w:r>
      <w:r w:rsidR="008D2EF4">
        <w:rPr>
          <w:b/>
          <w:bCs/>
        </w:rPr>
        <w:t>S11</w:t>
      </w:r>
      <w:r>
        <w:rPr>
          <w:b/>
          <w:bCs/>
        </w:rPr>
        <w:t xml:space="preserve">. Regional agricultural consumption by demand sector in 2050. </w:t>
      </w:r>
      <w:r w:rsidR="00735B56">
        <w:t>A) animal feed (Mt), B) food (Pcal), C) Non-food (Mt), D) biofuel input (Mt).</w:t>
      </w:r>
      <w:r w:rsidR="00735B56">
        <w:rPr>
          <w:b/>
          <w:bCs/>
        </w:rPr>
        <w:t xml:space="preserve"> </w:t>
      </w:r>
      <w:r w:rsidR="00735B56">
        <w:t xml:space="preserve">The leftmost panels show </w:t>
      </w:r>
      <w:r w:rsidR="00735B56" w:rsidRPr="00595803">
        <w:rPr>
          <w:i/>
          <w:iCs/>
        </w:rPr>
        <w:t>REF</w:t>
      </w:r>
      <w:r w:rsidR="00735B56">
        <w:t xml:space="preserve"> consumption of agricultural commodities. The right panels show changes in agricultural consumption relative to </w:t>
      </w:r>
      <w:r w:rsidR="00735B56">
        <w:rPr>
          <w:i/>
          <w:iCs/>
        </w:rPr>
        <w:t>REF</w:t>
      </w:r>
      <w:r w:rsidR="00735B56">
        <w:t>.</w:t>
      </w:r>
    </w:p>
    <w:p w14:paraId="78A9D316" w14:textId="404B4AED" w:rsidR="00E17446" w:rsidRDefault="00E17446" w:rsidP="00C32EEF">
      <w:pPr>
        <w:sectPr w:rsidR="00E17446">
          <w:pgSz w:w="12240" w:h="15840"/>
          <w:pgMar w:top="1440" w:right="1440" w:bottom="1440" w:left="1440" w:header="720" w:footer="720" w:gutter="0"/>
          <w:cols w:space="720"/>
          <w:docGrid w:linePitch="360"/>
        </w:sectPr>
      </w:pPr>
    </w:p>
    <w:p w14:paraId="68A8B76F" w14:textId="2F0CCEEB" w:rsidR="00045D83" w:rsidRDefault="00467F48" w:rsidP="00402499">
      <w:pPr>
        <w:pStyle w:val="Heading1"/>
      </w:pPr>
      <w:bookmarkStart w:id="7" w:name="_Toc175849305"/>
      <w:r>
        <w:lastRenderedPageBreak/>
        <w:t xml:space="preserve">Supplementary Information </w:t>
      </w:r>
      <w:r w:rsidR="00402499">
        <w:t>References</w:t>
      </w:r>
      <w:bookmarkEnd w:id="7"/>
    </w:p>
    <w:p w14:paraId="12EDE590" w14:textId="77777777" w:rsidR="00D87F3B" w:rsidRDefault="00D87F3B" w:rsidP="00D87F3B">
      <w:r>
        <w:t>1.</w:t>
      </w:r>
      <w:r>
        <w:tab/>
        <w:t>Bougas, K. et al. Service Contract on EU Policy on Forest Products and Deforestation Task 3 - Impact Assessment on Demand-Side Measures to Address Deforestation. https://circabc.europa.eu/ui/group/34861680-e799-4d7c-bbad-da83c45da458/library/5d098237-8bab-48a6-a6c8-2a907d80c791/details?download=true (2023).</w:t>
      </w:r>
    </w:p>
    <w:p w14:paraId="4B8C87A0" w14:textId="77777777" w:rsidR="00D87F3B" w:rsidRDefault="00D87F3B" w:rsidP="00D87F3B">
      <w:r>
        <w:t>2.</w:t>
      </w:r>
      <w:r>
        <w:tab/>
        <w:t>IDH. The Urgency of Action to Tackle Tropical Deforestation: Protecting Forests and Fostering Sustainable Agriculture. https://www.idhsustainabletrade.com/uploaded/2020/02/IDH_The-UoA-to-Tackle-Tropical-Deforestation_2020-web.pdf (2020).</w:t>
      </w:r>
    </w:p>
    <w:p w14:paraId="693BD572" w14:textId="77777777" w:rsidR="00D87F3B" w:rsidRDefault="00D87F3B" w:rsidP="00D87F3B">
      <w:r>
        <w:t>3.</w:t>
      </w:r>
      <w:r>
        <w:tab/>
        <w:t>Model Comparison Exercise Technical Document. https://nepis.epa.gov/Exe/ZyPDF.cgi?Dockey=P1017P9B.pdf (2023).</w:t>
      </w:r>
    </w:p>
    <w:p w14:paraId="3230D22C" w14:textId="77777777" w:rsidR="00AC78CC" w:rsidRDefault="00D87F3B" w:rsidP="00D87F3B">
      <w:r>
        <w:t>4.</w:t>
      </w:r>
      <w:r>
        <w:tab/>
      </w:r>
      <w:r w:rsidR="00AC78CC" w:rsidRPr="003214E4">
        <w:rPr>
          <w:rFonts w:ascii="Calibri" w:hAnsi="Calibri" w:cs="Calibri"/>
        </w:rPr>
        <w:t xml:space="preserve">Zhao, X., van der </w:t>
      </w:r>
      <w:proofErr w:type="spellStart"/>
      <w:r w:rsidR="00AC78CC" w:rsidRPr="003214E4">
        <w:rPr>
          <w:rFonts w:ascii="Calibri" w:hAnsi="Calibri" w:cs="Calibri"/>
        </w:rPr>
        <w:t>Mensbrugghe</w:t>
      </w:r>
      <w:proofErr w:type="spellEnd"/>
      <w:r w:rsidR="00AC78CC" w:rsidRPr="003214E4">
        <w:rPr>
          <w:rFonts w:ascii="Calibri" w:hAnsi="Calibri" w:cs="Calibri"/>
        </w:rPr>
        <w:t xml:space="preserve">, D. Y., Keeney, R. M. &amp; Tyner, W. E. Improving the way land use change is handled in economic models. </w:t>
      </w:r>
      <w:r w:rsidR="00AC78CC" w:rsidRPr="003214E4">
        <w:rPr>
          <w:rFonts w:ascii="Calibri" w:hAnsi="Calibri" w:cs="Calibri"/>
          <w:i/>
          <w:iCs/>
        </w:rPr>
        <w:t>Econ. Model.</w:t>
      </w:r>
      <w:r w:rsidR="00AC78CC" w:rsidRPr="003214E4">
        <w:rPr>
          <w:rFonts w:ascii="Calibri" w:hAnsi="Calibri" w:cs="Calibri"/>
        </w:rPr>
        <w:t xml:space="preserve"> </w:t>
      </w:r>
      <w:r w:rsidR="00AC78CC" w:rsidRPr="003214E4">
        <w:rPr>
          <w:rFonts w:ascii="Calibri" w:hAnsi="Calibri" w:cs="Calibri"/>
          <w:b/>
          <w:bCs/>
        </w:rPr>
        <w:t>84</w:t>
      </w:r>
      <w:r w:rsidR="00AC78CC" w:rsidRPr="003214E4">
        <w:rPr>
          <w:rFonts w:ascii="Calibri" w:hAnsi="Calibri" w:cs="Calibri"/>
        </w:rPr>
        <w:t>, 13–26 (2020).</w:t>
      </w:r>
    </w:p>
    <w:p w14:paraId="37786BD4" w14:textId="1F5751B4" w:rsidR="00D87F3B" w:rsidRDefault="00AC78CC" w:rsidP="00D87F3B">
      <w:r>
        <w:t>5.</w:t>
      </w:r>
      <w:r>
        <w:tab/>
      </w:r>
      <w:r w:rsidR="00D87F3B">
        <w:t>Heflich, A. An EU Legal Framework to Halt and Reverse EU-Driven Global Deforestation: European Added Value Assessment. (Publications Office, LU, 2020).</w:t>
      </w:r>
    </w:p>
    <w:p w14:paraId="21CD6FB2" w14:textId="670729DD" w:rsidR="00D87F3B" w:rsidRDefault="00AC78CC" w:rsidP="00D87F3B">
      <w:r>
        <w:t>6</w:t>
      </w:r>
      <w:r w:rsidR="00D87F3B">
        <w:t>.</w:t>
      </w:r>
      <w:r w:rsidR="00D87F3B">
        <w:tab/>
        <w:t>COWI. Feasibility Study on Options to Step up EU Action against Deforestation: PART I, Background Analysis, Scale and Trends of Global Deforestation and Assessment of EU Contribution and PART II, a Potential EU Initiative on Deforestation, Possible Interventions. (Publications Office, LU, 2018).</w:t>
      </w:r>
    </w:p>
    <w:p w14:paraId="6142C4AC" w14:textId="17FD4F4F" w:rsidR="00D87F3B" w:rsidRDefault="00AC78CC" w:rsidP="00D87F3B">
      <w:r>
        <w:t>7</w:t>
      </w:r>
      <w:r w:rsidR="00D87F3B">
        <w:t>.</w:t>
      </w:r>
      <w:r w:rsidR="00D87F3B">
        <w:tab/>
        <w:t>Cuypers, D. et al. The Impact of EU Consumption on Deforestation: (2013).</w:t>
      </w:r>
    </w:p>
    <w:p w14:paraId="597FDF7D" w14:textId="487F0944" w:rsidR="00D87F3B" w:rsidRDefault="00AC78CC" w:rsidP="00D87F3B">
      <w:r>
        <w:t>8</w:t>
      </w:r>
      <w:r w:rsidR="00D87F3B">
        <w:t>.</w:t>
      </w:r>
      <w:r w:rsidR="00D87F3B">
        <w:tab/>
        <w:t xml:space="preserve">Villoria, N., Garrett, R., Gollnow, F. &amp; Carlson, K. Leakage does not fully offset soy supply-chain efforts to reduce deforestation in Brazil. Nat. </w:t>
      </w:r>
      <w:proofErr w:type="spellStart"/>
      <w:r w:rsidR="00D87F3B">
        <w:t>Commun</w:t>
      </w:r>
      <w:proofErr w:type="spellEnd"/>
      <w:r w:rsidR="00D87F3B">
        <w:t>. 13, 5476 (2022).</w:t>
      </w:r>
    </w:p>
    <w:p w14:paraId="19AD928F" w14:textId="06F1164C" w:rsidR="00D87F3B" w:rsidRDefault="00AC78CC" w:rsidP="00D87F3B">
      <w:r>
        <w:t>9</w:t>
      </w:r>
      <w:r w:rsidR="00D87F3B">
        <w:t>.</w:t>
      </w:r>
      <w:r w:rsidR="00D87F3B">
        <w:tab/>
        <w:t>Busch, J. et al. Effects of demand-side restrictions on high-deforestation palm oil in Europe on deforestation and emissions in Indonesia. Environ. Res. Lett. 17, 014035 (2022).</w:t>
      </w:r>
    </w:p>
    <w:p w14:paraId="32DC2AC0" w14:textId="2CA2CA57" w:rsidR="00D87F3B" w:rsidRDefault="00AC78CC" w:rsidP="00D87F3B">
      <w:r>
        <w:t>10</w:t>
      </w:r>
      <w:r w:rsidR="00D87F3B">
        <w:t>.</w:t>
      </w:r>
      <w:r w:rsidR="00D87F3B">
        <w:tab/>
        <w:t>Taheripour, F., Hertel, T. W. &amp; Ramankutty, N. Market-mediated responses confound policies to limit deforestation from oil palm expansion in Malaysia and Indonesia. Proc. Natl. Acad. Sci. 116, 19193–19199 (2019).</w:t>
      </w:r>
    </w:p>
    <w:p w14:paraId="4360E76F" w14:textId="0B90539C" w:rsidR="00D87F3B" w:rsidRDefault="00D87F3B" w:rsidP="00D87F3B">
      <w:r>
        <w:t>1</w:t>
      </w:r>
      <w:r w:rsidR="00AC78CC">
        <w:t>1</w:t>
      </w:r>
      <w:r>
        <w:t>.</w:t>
      </w:r>
      <w:r>
        <w:tab/>
        <w:t>Leijten, F., Baldos, U. L. C., Johnson, J. A., Sim, S. &amp; Verburg, P. H. Projecting global oil palm expansion under zero-deforestation commitments: Direct and indirect land use change impacts. iScience 26, (2023).</w:t>
      </w:r>
    </w:p>
    <w:p w14:paraId="779B6570" w14:textId="3FAD1731" w:rsidR="00D87F3B" w:rsidRDefault="00D87F3B" w:rsidP="00D87F3B">
      <w:r>
        <w:t>1</w:t>
      </w:r>
      <w:r w:rsidR="00AC78CC">
        <w:t>2</w:t>
      </w:r>
      <w:r>
        <w:t>.</w:t>
      </w:r>
      <w:r>
        <w:tab/>
        <w:t>Delzeit, R., Heimann, T., Schünemann, F. &amp; Söder, M. Who benefits really from phasing out palmoil-based biodiesel in the EU?</w:t>
      </w:r>
    </w:p>
    <w:p w14:paraId="1F8F6AE8" w14:textId="00695406" w:rsidR="00D87F3B" w:rsidRDefault="00D87F3B" w:rsidP="00D87F3B">
      <w:r>
        <w:t>1</w:t>
      </w:r>
      <w:r w:rsidR="00AC78CC">
        <w:t>3</w:t>
      </w:r>
      <w:r>
        <w:t>.</w:t>
      </w:r>
      <w:r>
        <w:tab/>
        <w:t>Valin, H. et al. The land use change impact of biofuels consumed in the EU. (2015).</w:t>
      </w:r>
    </w:p>
    <w:p w14:paraId="5C050B70" w14:textId="3034B65E" w:rsidR="00D87F3B" w:rsidRDefault="00D87F3B" w:rsidP="00D87F3B">
      <w:r>
        <w:t>1</w:t>
      </w:r>
      <w:r w:rsidR="00AC78CC">
        <w:t>4</w:t>
      </w:r>
      <w:r>
        <w:t>.</w:t>
      </w:r>
      <w:r>
        <w:tab/>
        <w:t>Zhao, X. et al. The impact of agricultural trade approaches on global economic modeling. Glob. Environ. Change 73, 102413 (2022).</w:t>
      </w:r>
    </w:p>
    <w:p w14:paraId="1C6B988E" w14:textId="2AC379A9" w:rsidR="00D87F3B" w:rsidRDefault="00D87F3B" w:rsidP="00D87F3B">
      <w:r>
        <w:t>1</w:t>
      </w:r>
      <w:r w:rsidR="00AC78CC">
        <w:t>5</w:t>
      </w:r>
      <w:r>
        <w:t>.</w:t>
      </w:r>
      <w:r>
        <w:tab/>
        <w:t xml:space="preserve">Iyer, G. et al. Ratcheting of climate pledges needed to limit peak global warming. Nat. </w:t>
      </w:r>
      <w:proofErr w:type="spellStart"/>
      <w:r>
        <w:t>Clim</w:t>
      </w:r>
      <w:proofErr w:type="spellEnd"/>
      <w:r>
        <w:t>. Change 12, 1129–1135 (2022).</w:t>
      </w:r>
    </w:p>
    <w:p w14:paraId="2BF90AEF" w14:textId="734D3740" w:rsidR="00AC78CC" w:rsidRDefault="00AC78CC" w:rsidP="00D87F3B">
      <w:r>
        <w:lastRenderedPageBreak/>
        <w:t xml:space="preserve">16. </w:t>
      </w:r>
      <w:r w:rsidR="002E0D10">
        <w:tab/>
      </w:r>
      <w:r w:rsidR="002E0D10" w:rsidRPr="003214E4">
        <w:rPr>
          <w:rFonts w:ascii="Calibri" w:hAnsi="Calibri" w:cs="Calibri"/>
          <w:i/>
          <w:iCs/>
        </w:rPr>
        <w:t>Texts Adopted - Deforestation Regulation</w:t>
      </w:r>
      <w:r w:rsidR="002E0D10" w:rsidRPr="003214E4">
        <w:rPr>
          <w:rFonts w:ascii="Calibri" w:hAnsi="Calibri" w:cs="Calibri"/>
        </w:rPr>
        <w:t>. (2023).</w:t>
      </w:r>
    </w:p>
    <w:sectPr w:rsidR="00AC78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A076C"/>
    <w:multiLevelType w:val="hybridMultilevel"/>
    <w:tmpl w:val="F0EADB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E56B95"/>
    <w:multiLevelType w:val="hybridMultilevel"/>
    <w:tmpl w:val="0DC234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3034A6"/>
    <w:multiLevelType w:val="hybridMultilevel"/>
    <w:tmpl w:val="924CE1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F36013"/>
    <w:multiLevelType w:val="hybridMultilevel"/>
    <w:tmpl w:val="A14442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662CBE"/>
    <w:multiLevelType w:val="hybridMultilevel"/>
    <w:tmpl w:val="536821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6653DE"/>
    <w:multiLevelType w:val="hybridMultilevel"/>
    <w:tmpl w:val="B8C02C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E1D299A"/>
    <w:multiLevelType w:val="hybridMultilevel"/>
    <w:tmpl w:val="90B632F2"/>
    <w:lvl w:ilvl="0" w:tplc="C554BE6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7217B49"/>
    <w:multiLevelType w:val="hybridMultilevel"/>
    <w:tmpl w:val="FABA593E"/>
    <w:lvl w:ilvl="0" w:tplc="A9080CC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4B267FC"/>
    <w:multiLevelType w:val="hybridMultilevel"/>
    <w:tmpl w:val="D7EC10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65254C4"/>
    <w:multiLevelType w:val="hybridMultilevel"/>
    <w:tmpl w:val="B532EB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020679"/>
    <w:multiLevelType w:val="hybridMultilevel"/>
    <w:tmpl w:val="D30282B6"/>
    <w:lvl w:ilvl="0" w:tplc="82988A52">
      <w:start w:val="1"/>
      <w:numFmt w:val="lowerLetter"/>
      <w:lvlText w:val="%1."/>
      <w:lvlJc w:val="left"/>
      <w:pPr>
        <w:ind w:left="476" w:hanging="360"/>
      </w:pPr>
      <w:rPr>
        <w:rFonts w:hint="default"/>
        <w:b/>
      </w:rPr>
    </w:lvl>
    <w:lvl w:ilvl="1" w:tplc="04090019" w:tentative="1">
      <w:start w:val="1"/>
      <w:numFmt w:val="lowerLetter"/>
      <w:lvlText w:val="%2."/>
      <w:lvlJc w:val="left"/>
      <w:pPr>
        <w:ind w:left="1196" w:hanging="360"/>
      </w:pPr>
    </w:lvl>
    <w:lvl w:ilvl="2" w:tplc="0409001B" w:tentative="1">
      <w:start w:val="1"/>
      <w:numFmt w:val="lowerRoman"/>
      <w:lvlText w:val="%3."/>
      <w:lvlJc w:val="right"/>
      <w:pPr>
        <w:ind w:left="1916" w:hanging="180"/>
      </w:pPr>
    </w:lvl>
    <w:lvl w:ilvl="3" w:tplc="0409000F" w:tentative="1">
      <w:start w:val="1"/>
      <w:numFmt w:val="decimal"/>
      <w:lvlText w:val="%4."/>
      <w:lvlJc w:val="left"/>
      <w:pPr>
        <w:ind w:left="2636" w:hanging="360"/>
      </w:pPr>
    </w:lvl>
    <w:lvl w:ilvl="4" w:tplc="04090019" w:tentative="1">
      <w:start w:val="1"/>
      <w:numFmt w:val="lowerLetter"/>
      <w:lvlText w:val="%5."/>
      <w:lvlJc w:val="left"/>
      <w:pPr>
        <w:ind w:left="3356" w:hanging="360"/>
      </w:pPr>
    </w:lvl>
    <w:lvl w:ilvl="5" w:tplc="0409001B" w:tentative="1">
      <w:start w:val="1"/>
      <w:numFmt w:val="lowerRoman"/>
      <w:lvlText w:val="%6."/>
      <w:lvlJc w:val="right"/>
      <w:pPr>
        <w:ind w:left="4076" w:hanging="180"/>
      </w:pPr>
    </w:lvl>
    <w:lvl w:ilvl="6" w:tplc="0409000F" w:tentative="1">
      <w:start w:val="1"/>
      <w:numFmt w:val="decimal"/>
      <w:lvlText w:val="%7."/>
      <w:lvlJc w:val="left"/>
      <w:pPr>
        <w:ind w:left="4796" w:hanging="360"/>
      </w:pPr>
    </w:lvl>
    <w:lvl w:ilvl="7" w:tplc="04090019" w:tentative="1">
      <w:start w:val="1"/>
      <w:numFmt w:val="lowerLetter"/>
      <w:lvlText w:val="%8."/>
      <w:lvlJc w:val="left"/>
      <w:pPr>
        <w:ind w:left="5516" w:hanging="360"/>
      </w:pPr>
    </w:lvl>
    <w:lvl w:ilvl="8" w:tplc="0409001B" w:tentative="1">
      <w:start w:val="1"/>
      <w:numFmt w:val="lowerRoman"/>
      <w:lvlText w:val="%9."/>
      <w:lvlJc w:val="right"/>
      <w:pPr>
        <w:ind w:left="6236" w:hanging="180"/>
      </w:pPr>
    </w:lvl>
  </w:abstractNum>
  <w:abstractNum w:abstractNumId="11" w15:restartNumberingAfterBreak="0">
    <w:nsid w:val="361B5958"/>
    <w:multiLevelType w:val="hybridMultilevel"/>
    <w:tmpl w:val="836AE2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69409C3"/>
    <w:multiLevelType w:val="hybridMultilevel"/>
    <w:tmpl w:val="E1D0A5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A12116A"/>
    <w:multiLevelType w:val="hybridMultilevel"/>
    <w:tmpl w:val="AC0016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CE02E86"/>
    <w:multiLevelType w:val="hybridMultilevel"/>
    <w:tmpl w:val="682E19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E044EA6"/>
    <w:multiLevelType w:val="hybridMultilevel"/>
    <w:tmpl w:val="AB3CB4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EF33646"/>
    <w:multiLevelType w:val="hybridMultilevel"/>
    <w:tmpl w:val="FB1852E0"/>
    <w:lvl w:ilvl="0" w:tplc="182CC6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408A36E3"/>
    <w:multiLevelType w:val="hybridMultilevel"/>
    <w:tmpl w:val="4E2432FE"/>
    <w:lvl w:ilvl="0" w:tplc="41D6019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AED1C21"/>
    <w:multiLevelType w:val="hybridMultilevel"/>
    <w:tmpl w:val="327E87FA"/>
    <w:lvl w:ilvl="0" w:tplc="0B40F344">
      <w:start w:val="1"/>
      <w:numFmt w:val="decimal"/>
      <w:lvlText w:val="%1."/>
      <w:lvlJc w:val="left"/>
      <w:pPr>
        <w:ind w:left="720" w:hanging="360"/>
      </w:pPr>
      <w:rPr>
        <w:rFonts w:ascii="Calibri" w:eastAsia="Times New Roman" w:hAnsi="Calibri" w:cs="Calibr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2EA1D4C"/>
    <w:multiLevelType w:val="hybridMultilevel"/>
    <w:tmpl w:val="22AC6D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80179D5"/>
    <w:multiLevelType w:val="hybridMultilevel"/>
    <w:tmpl w:val="13A29506"/>
    <w:lvl w:ilvl="0" w:tplc="C018D23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C700263"/>
    <w:multiLevelType w:val="hybridMultilevel"/>
    <w:tmpl w:val="EEA6E6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D5B25B6"/>
    <w:multiLevelType w:val="hybridMultilevel"/>
    <w:tmpl w:val="332C80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37D053C"/>
    <w:multiLevelType w:val="hybridMultilevel"/>
    <w:tmpl w:val="3ED008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43E7640"/>
    <w:multiLevelType w:val="hybridMultilevel"/>
    <w:tmpl w:val="7EE6DB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5465595"/>
    <w:multiLevelType w:val="hybridMultilevel"/>
    <w:tmpl w:val="75E40632"/>
    <w:lvl w:ilvl="0" w:tplc="881C2596">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C384A93"/>
    <w:multiLevelType w:val="hybridMultilevel"/>
    <w:tmpl w:val="82D6D818"/>
    <w:lvl w:ilvl="0" w:tplc="DE4A5EE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7DC01215"/>
    <w:multiLevelType w:val="hybridMultilevel"/>
    <w:tmpl w:val="03C632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02389110">
    <w:abstractNumId w:val="19"/>
  </w:num>
  <w:num w:numId="2" w16cid:durableId="1559315135">
    <w:abstractNumId w:val="2"/>
  </w:num>
  <w:num w:numId="3" w16cid:durableId="27411902">
    <w:abstractNumId w:val="5"/>
  </w:num>
  <w:num w:numId="4" w16cid:durableId="1156261150">
    <w:abstractNumId w:val="4"/>
  </w:num>
  <w:num w:numId="5" w16cid:durableId="973215170">
    <w:abstractNumId w:val="12"/>
  </w:num>
  <w:num w:numId="6" w16cid:durableId="1532376260">
    <w:abstractNumId w:val="21"/>
  </w:num>
  <w:num w:numId="7" w16cid:durableId="1209144527">
    <w:abstractNumId w:val="27"/>
  </w:num>
  <w:num w:numId="8" w16cid:durableId="2087919782">
    <w:abstractNumId w:val="14"/>
  </w:num>
  <w:num w:numId="9" w16cid:durableId="1749688168">
    <w:abstractNumId w:val="1"/>
  </w:num>
  <w:num w:numId="10" w16cid:durableId="1948194435">
    <w:abstractNumId w:val="9"/>
  </w:num>
  <w:num w:numId="11" w16cid:durableId="1221747890">
    <w:abstractNumId w:val="11"/>
  </w:num>
  <w:num w:numId="12" w16cid:durableId="790168631">
    <w:abstractNumId w:val="13"/>
  </w:num>
  <w:num w:numId="13" w16cid:durableId="1054738057">
    <w:abstractNumId w:val="26"/>
  </w:num>
  <w:num w:numId="14" w16cid:durableId="1846554709">
    <w:abstractNumId w:val="8"/>
  </w:num>
  <w:num w:numId="15" w16cid:durableId="651567421">
    <w:abstractNumId w:val="6"/>
  </w:num>
  <w:num w:numId="16" w16cid:durableId="1413896807">
    <w:abstractNumId w:val="0"/>
  </w:num>
  <w:num w:numId="17" w16cid:durableId="1636175764">
    <w:abstractNumId w:val="20"/>
  </w:num>
  <w:num w:numId="18" w16cid:durableId="584263554">
    <w:abstractNumId w:val="15"/>
  </w:num>
  <w:num w:numId="19" w16cid:durableId="1444154587">
    <w:abstractNumId w:val="3"/>
  </w:num>
  <w:num w:numId="20" w16cid:durableId="1852529246">
    <w:abstractNumId w:val="23"/>
  </w:num>
  <w:num w:numId="21" w16cid:durableId="744183400">
    <w:abstractNumId w:val="17"/>
  </w:num>
  <w:num w:numId="22" w16cid:durableId="701134188">
    <w:abstractNumId w:val="16"/>
  </w:num>
  <w:num w:numId="23" w16cid:durableId="1888879740">
    <w:abstractNumId w:val="24"/>
  </w:num>
  <w:num w:numId="24" w16cid:durableId="2042168511">
    <w:abstractNumId w:val="10"/>
  </w:num>
  <w:num w:numId="25" w16cid:durableId="1628924077">
    <w:abstractNumId w:val="18"/>
  </w:num>
  <w:num w:numId="26" w16cid:durableId="1620838701">
    <w:abstractNumId w:val="25"/>
  </w:num>
  <w:num w:numId="27" w16cid:durableId="1339119482">
    <w:abstractNumId w:val="22"/>
  </w:num>
  <w:num w:numId="28" w16cid:durableId="86255092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5AA2"/>
    <w:rsid w:val="00000A7F"/>
    <w:rsid w:val="000011ED"/>
    <w:rsid w:val="000064D5"/>
    <w:rsid w:val="00006531"/>
    <w:rsid w:val="000074C4"/>
    <w:rsid w:val="00010225"/>
    <w:rsid w:val="000203C8"/>
    <w:rsid w:val="0002559D"/>
    <w:rsid w:val="00025E89"/>
    <w:rsid w:val="000264F2"/>
    <w:rsid w:val="00030EC9"/>
    <w:rsid w:val="000336F3"/>
    <w:rsid w:val="000357F9"/>
    <w:rsid w:val="00040234"/>
    <w:rsid w:val="0004155A"/>
    <w:rsid w:val="00042B60"/>
    <w:rsid w:val="00045D83"/>
    <w:rsid w:val="0005324F"/>
    <w:rsid w:val="0005370C"/>
    <w:rsid w:val="00053AA4"/>
    <w:rsid w:val="00054E07"/>
    <w:rsid w:val="00056399"/>
    <w:rsid w:val="00060822"/>
    <w:rsid w:val="0006155C"/>
    <w:rsid w:val="000620CC"/>
    <w:rsid w:val="00062C4D"/>
    <w:rsid w:val="00075D2E"/>
    <w:rsid w:val="000770F2"/>
    <w:rsid w:val="000810DE"/>
    <w:rsid w:val="000811CB"/>
    <w:rsid w:val="0008138D"/>
    <w:rsid w:val="00081F61"/>
    <w:rsid w:val="00087490"/>
    <w:rsid w:val="000929E0"/>
    <w:rsid w:val="00093440"/>
    <w:rsid w:val="00093A8C"/>
    <w:rsid w:val="000A28EB"/>
    <w:rsid w:val="000A29CC"/>
    <w:rsid w:val="000A3E27"/>
    <w:rsid w:val="000A4627"/>
    <w:rsid w:val="000A74B1"/>
    <w:rsid w:val="000B635B"/>
    <w:rsid w:val="000B6BBE"/>
    <w:rsid w:val="000C13D5"/>
    <w:rsid w:val="000D2B4E"/>
    <w:rsid w:val="000D4CB1"/>
    <w:rsid w:val="000D6277"/>
    <w:rsid w:val="000E05DD"/>
    <w:rsid w:val="000E29E4"/>
    <w:rsid w:val="00100DF0"/>
    <w:rsid w:val="00104ED7"/>
    <w:rsid w:val="00105993"/>
    <w:rsid w:val="00107BE7"/>
    <w:rsid w:val="00110A91"/>
    <w:rsid w:val="00112FFB"/>
    <w:rsid w:val="001130A1"/>
    <w:rsid w:val="00113641"/>
    <w:rsid w:val="0011537D"/>
    <w:rsid w:val="00120DC5"/>
    <w:rsid w:val="00123C79"/>
    <w:rsid w:val="00125355"/>
    <w:rsid w:val="00142C3B"/>
    <w:rsid w:val="00143C5F"/>
    <w:rsid w:val="001470D6"/>
    <w:rsid w:val="001542C2"/>
    <w:rsid w:val="001657B1"/>
    <w:rsid w:val="00166514"/>
    <w:rsid w:val="001707E6"/>
    <w:rsid w:val="0017164D"/>
    <w:rsid w:val="00172DE2"/>
    <w:rsid w:val="001830E4"/>
    <w:rsid w:val="001843C7"/>
    <w:rsid w:val="001850FF"/>
    <w:rsid w:val="00186C4D"/>
    <w:rsid w:val="001943FE"/>
    <w:rsid w:val="0019474F"/>
    <w:rsid w:val="0019503A"/>
    <w:rsid w:val="001B532E"/>
    <w:rsid w:val="001B64DA"/>
    <w:rsid w:val="001B7B91"/>
    <w:rsid w:val="001B7CB6"/>
    <w:rsid w:val="001C0BD6"/>
    <w:rsid w:val="001C3383"/>
    <w:rsid w:val="001D0369"/>
    <w:rsid w:val="001D1B59"/>
    <w:rsid w:val="001D4F8D"/>
    <w:rsid w:val="001E03D0"/>
    <w:rsid w:val="001E0D66"/>
    <w:rsid w:val="001E2638"/>
    <w:rsid w:val="001E30FF"/>
    <w:rsid w:val="001E6989"/>
    <w:rsid w:val="001E6AA9"/>
    <w:rsid w:val="001E734D"/>
    <w:rsid w:val="001F47CD"/>
    <w:rsid w:val="001F4B25"/>
    <w:rsid w:val="001F4FAD"/>
    <w:rsid w:val="001F64A2"/>
    <w:rsid w:val="001F676C"/>
    <w:rsid w:val="0020181F"/>
    <w:rsid w:val="00202DDF"/>
    <w:rsid w:val="00203064"/>
    <w:rsid w:val="0020576C"/>
    <w:rsid w:val="002060A6"/>
    <w:rsid w:val="00207664"/>
    <w:rsid w:val="00213CF7"/>
    <w:rsid w:val="00213FDC"/>
    <w:rsid w:val="00216DC7"/>
    <w:rsid w:val="0022531E"/>
    <w:rsid w:val="00225F83"/>
    <w:rsid w:val="00226A2A"/>
    <w:rsid w:val="002278CF"/>
    <w:rsid w:val="00232D61"/>
    <w:rsid w:val="00241A96"/>
    <w:rsid w:val="00252B6E"/>
    <w:rsid w:val="00256C89"/>
    <w:rsid w:val="00256CF8"/>
    <w:rsid w:val="00262666"/>
    <w:rsid w:val="002644CF"/>
    <w:rsid w:val="0026727D"/>
    <w:rsid w:val="00271662"/>
    <w:rsid w:val="002757A9"/>
    <w:rsid w:val="0027613F"/>
    <w:rsid w:val="00277693"/>
    <w:rsid w:val="0028115E"/>
    <w:rsid w:val="002817F4"/>
    <w:rsid w:val="00281BA7"/>
    <w:rsid w:val="002825A3"/>
    <w:rsid w:val="00283188"/>
    <w:rsid w:val="00283AC3"/>
    <w:rsid w:val="00295A74"/>
    <w:rsid w:val="002A0EDB"/>
    <w:rsid w:val="002A1576"/>
    <w:rsid w:val="002A39B6"/>
    <w:rsid w:val="002A4635"/>
    <w:rsid w:val="002A59E8"/>
    <w:rsid w:val="002B017B"/>
    <w:rsid w:val="002B2B5E"/>
    <w:rsid w:val="002B5B32"/>
    <w:rsid w:val="002B7166"/>
    <w:rsid w:val="002C2CF3"/>
    <w:rsid w:val="002C6400"/>
    <w:rsid w:val="002C70D8"/>
    <w:rsid w:val="002D081B"/>
    <w:rsid w:val="002D156E"/>
    <w:rsid w:val="002D2904"/>
    <w:rsid w:val="002D6F47"/>
    <w:rsid w:val="002D7550"/>
    <w:rsid w:val="002E0D10"/>
    <w:rsid w:val="002E557B"/>
    <w:rsid w:val="002E59A0"/>
    <w:rsid w:val="002F0D3E"/>
    <w:rsid w:val="002F63C7"/>
    <w:rsid w:val="002F6C6B"/>
    <w:rsid w:val="002F72A3"/>
    <w:rsid w:val="0030161C"/>
    <w:rsid w:val="00301CF5"/>
    <w:rsid w:val="00303D5F"/>
    <w:rsid w:val="00305DB8"/>
    <w:rsid w:val="00306F22"/>
    <w:rsid w:val="0030752B"/>
    <w:rsid w:val="0030758B"/>
    <w:rsid w:val="00310345"/>
    <w:rsid w:val="0031090E"/>
    <w:rsid w:val="0031269E"/>
    <w:rsid w:val="003162A0"/>
    <w:rsid w:val="00316E64"/>
    <w:rsid w:val="00317BE4"/>
    <w:rsid w:val="003218E8"/>
    <w:rsid w:val="003224A5"/>
    <w:rsid w:val="00323789"/>
    <w:rsid w:val="00324BC9"/>
    <w:rsid w:val="003267BB"/>
    <w:rsid w:val="00327099"/>
    <w:rsid w:val="00331A8B"/>
    <w:rsid w:val="00332D8B"/>
    <w:rsid w:val="00335B75"/>
    <w:rsid w:val="003465D5"/>
    <w:rsid w:val="003470A0"/>
    <w:rsid w:val="0034732A"/>
    <w:rsid w:val="0035125F"/>
    <w:rsid w:val="0035432E"/>
    <w:rsid w:val="00354671"/>
    <w:rsid w:val="00355ED9"/>
    <w:rsid w:val="00356E9A"/>
    <w:rsid w:val="00360AEE"/>
    <w:rsid w:val="003611D5"/>
    <w:rsid w:val="003655F1"/>
    <w:rsid w:val="003662A0"/>
    <w:rsid w:val="0037172E"/>
    <w:rsid w:val="00376289"/>
    <w:rsid w:val="003762C5"/>
    <w:rsid w:val="0038552E"/>
    <w:rsid w:val="0039161A"/>
    <w:rsid w:val="00395EF8"/>
    <w:rsid w:val="003A1C51"/>
    <w:rsid w:val="003A4436"/>
    <w:rsid w:val="003A7FD6"/>
    <w:rsid w:val="003B0EBB"/>
    <w:rsid w:val="003B285F"/>
    <w:rsid w:val="003B2BBE"/>
    <w:rsid w:val="003B5FE3"/>
    <w:rsid w:val="003B6362"/>
    <w:rsid w:val="003B6F52"/>
    <w:rsid w:val="003B6F63"/>
    <w:rsid w:val="003D07E7"/>
    <w:rsid w:val="003D0FB2"/>
    <w:rsid w:val="003D10FF"/>
    <w:rsid w:val="003D2115"/>
    <w:rsid w:val="003D2A8F"/>
    <w:rsid w:val="003D4192"/>
    <w:rsid w:val="003D669C"/>
    <w:rsid w:val="003E4CCE"/>
    <w:rsid w:val="003E5A53"/>
    <w:rsid w:val="003E5CE9"/>
    <w:rsid w:val="003E6BF6"/>
    <w:rsid w:val="003E77B3"/>
    <w:rsid w:val="003F1AB0"/>
    <w:rsid w:val="003F2879"/>
    <w:rsid w:val="003F5023"/>
    <w:rsid w:val="003F636D"/>
    <w:rsid w:val="003F7507"/>
    <w:rsid w:val="0040059E"/>
    <w:rsid w:val="00401232"/>
    <w:rsid w:val="00402499"/>
    <w:rsid w:val="004138BC"/>
    <w:rsid w:val="00417B10"/>
    <w:rsid w:val="004227BF"/>
    <w:rsid w:val="00431B11"/>
    <w:rsid w:val="0043412B"/>
    <w:rsid w:val="00435480"/>
    <w:rsid w:val="00436E73"/>
    <w:rsid w:val="0043799A"/>
    <w:rsid w:val="0044120D"/>
    <w:rsid w:val="00446424"/>
    <w:rsid w:val="00451108"/>
    <w:rsid w:val="00460BF9"/>
    <w:rsid w:val="00463AD9"/>
    <w:rsid w:val="00467F48"/>
    <w:rsid w:val="00471D5A"/>
    <w:rsid w:val="00472661"/>
    <w:rsid w:val="00472BA2"/>
    <w:rsid w:val="004737D9"/>
    <w:rsid w:val="0047709A"/>
    <w:rsid w:val="00480188"/>
    <w:rsid w:val="0048146D"/>
    <w:rsid w:val="0048341D"/>
    <w:rsid w:val="0048381B"/>
    <w:rsid w:val="00484328"/>
    <w:rsid w:val="00484869"/>
    <w:rsid w:val="00486F28"/>
    <w:rsid w:val="00490837"/>
    <w:rsid w:val="00494173"/>
    <w:rsid w:val="0049510C"/>
    <w:rsid w:val="004A2D2C"/>
    <w:rsid w:val="004A3F3F"/>
    <w:rsid w:val="004B0845"/>
    <w:rsid w:val="004B3CF5"/>
    <w:rsid w:val="004B4E8D"/>
    <w:rsid w:val="004B5139"/>
    <w:rsid w:val="004C2200"/>
    <w:rsid w:val="004D67FD"/>
    <w:rsid w:val="004E20C9"/>
    <w:rsid w:val="004E4850"/>
    <w:rsid w:val="004F2D99"/>
    <w:rsid w:val="004F54DC"/>
    <w:rsid w:val="004F64CE"/>
    <w:rsid w:val="00502DEF"/>
    <w:rsid w:val="00503651"/>
    <w:rsid w:val="00504041"/>
    <w:rsid w:val="00506671"/>
    <w:rsid w:val="0050736D"/>
    <w:rsid w:val="005216EC"/>
    <w:rsid w:val="00531E2E"/>
    <w:rsid w:val="00533335"/>
    <w:rsid w:val="005343F8"/>
    <w:rsid w:val="00536CE5"/>
    <w:rsid w:val="005414D7"/>
    <w:rsid w:val="005453CE"/>
    <w:rsid w:val="00546A1C"/>
    <w:rsid w:val="00546CFC"/>
    <w:rsid w:val="00551EFE"/>
    <w:rsid w:val="005558F7"/>
    <w:rsid w:val="00556865"/>
    <w:rsid w:val="00563168"/>
    <w:rsid w:val="00567449"/>
    <w:rsid w:val="00572711"/>
    <w:rsid w:val="00573360"/>
    <w:rsid w:val="00573B58"/>
    <w:rsid w:val="00575DCC"/>
    <w:rsid w:val="00582510"/>
    <w:rsid w:val="0058255D"/>
    <w:rsid w:val="00583554"/>
    <w:rsid w:val="00586157"/>
    <w:rsid w:val="00586348"/>
    <w:rsid w:val="00592C00"/>
    <w:rsid w:val="00593893"/>
    <w:rsid w:val="0059493D"/>
    <w:rsid w:val="00595725"/>
    <w:rsid w:val="00595803"/>
    <w:rsid w:val="0059590D"/>
    <w:rsid w:val="00595CA6"/>
    <w:rsid w:val="00597A68"/>
    <w:rsid w:val="005A0C4A"/>
    <w:rsid w:val="005A3FDE"/>
    <w:rsid w:val="005A46B3"/>
    <w:rsid w:val="005B2AFA"/>
    <w:rsid w:val="005B2BDC"/>
    <w:rsid w:val="005B4395"/>
    <w:rsid w:val="005B72B2"/>
    <w:rsid w:val="005C00CF"/>
    <w:rsid w:val="005C03F7"/>
    <w:rsid w:val="005C2453"/>
    <w:rsid w:val="005C5AF4"/>
    <w:rsid w:val="005C7BEB"/>
    <w:rsid w:val="005D387F"/>
    <w:rsid w:val="005D7527"/>
    <w:rsid w:val="005D78EB"/>
    <w:rsid w:val="005E1296"/>
    <w:rsid w:val="005E536A"/>
    <w:rsid w:val="005F1ED5"/>
    <w:rsid w:val="005F2278"/>
    <w:rsid w:val="005F4448"/>
    <w:rsid w:val="005F5750"/>
    <w:rsid w:val="00604912"/>
    <w:rsid w:val="00607D6B"/>
    <w:rsid w:val="00610927"/>
    <w:rsid w:val="00612EEA"/>
    <w:rsid w:val="006134C7"/>
    <w:rsid w:val="006147B2"/>
    <w:rsid w:val="0061487F"/>
    <w:rsid w:val="00615E00"/>
    <w:rsid w:val="0061732E"/>
    <w:rsid w:val="00621661"/>
    <w:rsid w:val="00623FB4"/>
    <w:rsid w:val="00624C45"/>
    <w:rsid w:val="006257C8"/>
    <w:rsid w:val="00625E5F"/>
    <w:rsid w:val="006368AA"/>
    <w:rsid w:val="00640328"/>
    <w:rsid w:val="006428AE"/>
    <w:rsid w:val="006446FA"/>
    <w:rsid w:val="0064499F"/>
    <w:rsid w:val="00646ACD"/>
    <w:rsid w:val="00647559"/>
    <w:rsid w:val="00647CE0"/>
    <w:rsid w:val="00650F77"/>
    <w:rsid w:val="00652F29"/>
    <w:rsid w:val="00655836"/>
    <w:rsid w:val="00655CA1"/>
    <w:rsid w:val="0065718D"/>
    <w:rsid w:val="00657F82"/>
    <w:rsid w:val="00664E36"/>
    <w:rsid w:val="00666DC1"/>
    <w:rsid w:val="00671180"/>
    <w:rsid w:val="00676899"/>
    <w:rsid w:val="00676CB8"/>
    <w:rsid w:val="00686A2E"/>
    <w:rsid w:val="00690074"/>
    <w:rsid w:val="00693A96"/>
    <w:rsid w:val="006940D4"/>
    <w:rsid w:val="00694503"/>
    <w:rsid w:val="00696EA2"/>
    <w:rsid w:val="00697997"/>
    <w:rsid w:val="006A3D6E"/>
    <w:rsid w:val="006A7469"/>
    <w:rsid w:val="006A7E59"/>
    <w:rsid w:val="006B79B5"/>
    <w:rsid w:val="006C167D"/>
    <w:rsid w:val="006C2548"/>
    <w:rsid w:val="006C27E4"/>
    <w:rsid w:val="006D20BF"/>
    <w:rsid w:val="006E5BB7"/>
    <w:rsid w:val="006E7D29"/>
    <w:rsid w:val="006F0800"/>
    <w:rsid w:val="006F1FD0"/>
    <w:rsid w:val="006F3EAF"/>
    <w:rsid w:val="00702EAF"/>
    <w:rsid w:val="007031BF"/>
    <w:rsid w:val="007038A2"/>
    <w:rsid w:val="00705647"/>
    <w:rsid w:val="00711D53"/>
    <w:rsid w:val="00713221"/>
    <w:rsid w:val="007141D8"/>
    <w:rsid w:val="0072043A"/>
    <w:rsid w:val="00722013"/>
    <w:rsid w:val="007221F0"/>
    <w:rsid w:val="0072736E"/>
    <w:rsid w:val="007306D6"/>
    <w:rsid w:val="00733D40"/>
    <w:rsid w:val="00735B56"/>
    <w:rsid w:val="00742039"/>
    <w:rsid w:val="0074580A"/>
    <w:rsid w:val="00745A5A"/>
    <w:rsid w:val="00747365"/>
    <w:rsid w:val="00747FCD"/>
    <w:rsid w:val="007538EB"/>
    <w:rsid w:val="00753B6F"/>
    <w:rsid w:val="007558AF"/>
    <w:rsid w:val="00756977"/>
    <w:rsid w:val="007615C5"/>
    <w:rsid w:val="007628E7"/>
    <w:rsid w:val="007634FF"/>
    <w:rsid w:val="00763D22"/>
    <w:rsid w:val="0076722B"/>
    <w:rsid w:val="00773456"/>
    <w:rsid w:val="00773E9A"/>
    <w:rsid w:val="00774A5F"/>
    <w:rsid w:val="00774B2E"/>
    <w:rsid w:val="007757A0"/>
    <w:rsid w:val="0077648A"/>
    <w:rsid w:val="00776723"/>
    <w:rsid w:val="007777D1"/>
    <w:rsid w:val="00782290"/>
    <w:rsid w:val="007864CA"/>
    <w:rsid w:val="00786CC3"/>
    <w:rsid w:val="00787B71"/>
    <w:rsid w:val="00791232"/>
    <w:rsid w:val="0079208A"/>
    <w:rsid w:val="00792CF7"/>
    <w:rsid w:val="007B09F3"/>
    <w:rsid w:val="007B1A3F"/>
    <w:rsid w:val="007C12B6"/>
    <w:rsid w:val="007C57E5"/>
    <w:rsid w:val="007C7B44"/>
    <w:rsid w:val="007D67F8"/>
    <w:rsid w:val="007D68FC"/>
    <w:rsid w:val="007E0E3B"/>
    <w:rsid w:val="007E20D3"/>
    <w:rsid w:val="007E48D7"/>
    <w:rsid w:val="007E5915"/>
    <w:rsid w:val="007E6564"/>
    <w:rsid w:val="007F5BF7"/>
    <w:rsid w:val="007F5FBC"/>
    <w:rsid w:val="00803121"/>
    <w:rsid w:val="00803D92"/>
    <w:rsid w:val="00804265"/>
    <w:rsid w:val="00812EA0"/>
    <w:rsid w:val="00813860"/>
    <w:rsid w:val="00821CBD"/>
    <w:rsid w:val="008313AB"/>
    <w:rsid w:val="00831425"/>
    <w:rsid w:val="008329F6"/>
    <w:rsid w:val="00835CAE"/>
    <w:rsid w:val="00840676"/>
    <w:rsid w:val="00844167"/>
    <w:rsid w:val="0084467C"/>
    <w:rsid w:val="00845297"/>
    <w:rsid w:val="00847567"/>
    <w:rsid w:val="00847F0D"/>
    <w:rsid w:val="00853114"/>
    <w:rsid w:val="00856FDD"/>
    <w:rsid w:val="00857443"/>
    <w:rsid w:val="00863FD8"/>
    <w:rsid w:val="0086452F"/>
    <w:rsid w:val="00864C82"/>
    <w:rsid w:val="0088165D"/>
    <w:rsid w:val="00884957"/>
    <w:rsid w:val="00886EC2"/>
    <w:rsid w:val="008874FF"/>
    <w:rsid w:val="00890016"/>
    <w:rsid w:val="00890BE1"/>
    <w:rsid w:val="00890D81"/>
    <w:rsid w:val="00891B96"/>
    <w:rsid w:val="00893705"/>
    <w:rsid w:val="008953AD"/>
    <w:rsid w:val="008A21FE"/>
    <w:rsid w:val="008A384C"/>
    <w:rsid w:val="008A3FD0"/>
    <w:rsid w:val="008A4265"/>
    <w:rsid w:val="008B33AE"/>
    <w:rsid w:val="008B4E6F"/>
    <w:rsid w:val="008B6D15"/>
    <w:rsid w:val="008C00B9"/>
    <w:rsid w:val="008C2AB7"/>
    <w:rsid w:val="008C3967"/>
    <w:rsid w:val="008C3D5D"/>
    <w:rsid w:val="008C5572"/>
    <w:rsid w:val="008D2EF4"/>
    <w:rsid w:val="008D61BF"/>
    <w:rsid w:val="008E1818"/>
    <w:rsid w:val="008E1D6F"/>
    <w:rsid w:val="008E36EC"/>
    <w:rsid w:val="008E67CF"/>
    <w:rsid w:val="008F20C1"/>
    <w:rsid w:val="008F303E"/>
    <w:rsid w:val="00903238"/>
    <w:rsid w:val="009038C6"/>
    <w:rsid w:val="00903A53"/>
    <w:rsid w:val="009050FC"/>
    <w:rsid w:val="009072FE"/>
    <w:rsid w:val="00911BF4"/>
    <w:rsid w:val="009167CC"/>
    <w:rsid w:val="00922AF4"/>
    <w:rsid w:val="00924EB4"/>
    <w:rsid w:val="0092566A"/>
    <w:rsid w:val="0092621D"/>
    <w:rsid w:val="00926E07"/>
    <w:rsid w:val="00927625"/>
    <w:rsid w:val="0092789D"/>
    <w:rsid w:val="00930528"/>
    <w:rsid w:val="00933A36"/>
    <w:rsid w:val="00933EDE"/>
    <w:rsid w:val="00935FF0"/>
    <w:rsid w:val="009363B8"/>
    <w:rsid w:val="00937193"/>
    <w:rsid w:val="00942D6F"/>
    <w:rsid w:val="00942E35"/>
    <w:rsid w:val="009707FC"/>
    <w:rsid w:val="0097093B"/>
    <w:rsid w:val="00973046"/>
    <w:rsid w:val="00973E79"/>
    <w:rsid w:val="009743D2"/>
    <w:rsid w:val="00975E70"/>
    <w:rsid w:val="00977E96"/>
    <w:rsid w:val="009812C8"/>
    <w:rsid w:val="009813FB"/>
    <w:rsid w:val="00985F09"/>
    <w:rsid w:val="009876E7"/>
    <w:rsid w:val="009907F9"/>
    <w:rsid w:val="0099501C"/>
    <w:rsid w:val="009954EC"/>
    <w:rsid w:val="00997EAD"/>
    <w:rsid w:val="009A0087"/>
    <w:rsid w:val="009A20C3"/>
    <w:rsid w:val="009A5A0E"/>
    <w:rsid w:val="009A61FB"/>
    <w:rsid w:val="009A66FF"/>
    <w:rsid w:val="009A71D0"/>
    <w:rsid w:val="009B1B75"/>
    <w:rsid w:val="009B2AEF"/>
    <w:rsid w:val="009B4050"/>
    <w:rsid w:val="009B4CB9"/>
    <w:rsid w:val="009C0E2A"/>
    <w:rsid w:val="009D1BC5"/>
    <w:rsid w:val="009D45C2"/>
    <w:rsid w:val="009D50AD"/>
    <w:rsid w:val="009D7348"/>
    <w:rsid w:val="009E11C3"/>
    <w:rsid w:val="009E47E4"/>
    <w:rsid w:val="009E6D7E"/>
    <w:rsid w:val="009F3C40"/>
    <w:rsid w:val="009F7C8D"/>
    <w:rsid w:val="00A001C8"/>
    <w:rsid w:val="00A0081F"/>
    <w:rsid w:val="00A01ACF"/>
    <w:rsid w:val="00A02E7A"/>
    <w:rsid w:val="00A02EBB"/>
    <w:rsid w:val="00A033AA"/>
    <w:rsid w:val="00A05F21"/>
    <w:rsid w:val="00A06583"/>
    <w:rsid w:val="00A071DC"/>
    <w:rsid w:val="00A13911"/>
    <w:rsid w:val="00A14C0F"/>
    <w:rsid w:val="00A15860"/>
    <w:rsid w:val="00A16E01"/>
    <w:rsid w:val="00A17749"/>
    <w:rsid w:val="00A17759"/>
    <w:rsid w:val="00A17A53"/>
    <w:rsid w:val="00A20733"/>
    <w:rsid w:val="00A27779"/>
    <w:rsid w:val="00A336CB"/>
    <w:rsid w:val="00A33B31"/>
    <w:rsid w:val="00A35AA2"/>
    <w:rsid w:val="00A45423"/>
    <w:rsid w:val="00A45F1F"/>
    <w:rsid w:val="00A46D75"/>
    <w:rsid w:val="00A46E26"/>
    <w:rsid w:val="00A50CF3"/>
    <w:rsid w:val="00A528E2"/>
    <w:rsid w:val="00A5311C"/>
    <w:rsid w:val="00A61989"/>
    <w:rsid w:val="00A62842"/>
    <w:rsid w:val="00A636A6"/>
    <w:rsid w:val="00A7602B"/>
    <w:rsid w:val="00A80DDC"/>
    <w:rsid w:val="00A8419A"/>
    <w:rsid w:val="00A8585C"/>
    <w:rsid w:val="00A8771A"/>
    <w:rsid w:val="00AA22A3"/>
    <w:rsid w:val="00AA3E77"/>
    <w:rsid w:val="00AA6ED7"/>
    <w:rsid w:val="00AA7191"/>
    <w:rsid w:val="00AB187F"/>
    <w:rsid w:val="00AB1A10"/>
    <w:rsid w:val="00AB3ACC"/>
    <w:rsid w:val="00AB5116"/>
    <w:rsid w:val="00AB664B"/>
    <w:rsid w:val="00AB7F0A"/>
    <w:rsid w:val="00AC071E"/>
    <w:rsid w:val="00AC0863"/>
    <w:rsid w:val="00AC34A0"/>
    <w:rsid w:val="00AC78CC"/>
    <w:rsid w:val="00AD0C48"/>
    <w:rsid w:val="00AD141E"/>
    <w:rsid w:val="00AD5D00"/>
    <w:rsid w:val="00AE4A23"/>
    <w:rsid w:val="00AF0577"/>
    <w:rsid w:val="00AF1815"/>
    <w:rsid w:val="00AF4496"/>
    <w:rsid w:val="00AF5146"/>
    <w:rsid w:val="00AF5AF4"/>
    <w:rsid w:val="00B016D1"/>
    <w:rsid w:val="00B14908"/>
    <w:rsid w:val="00B151DA"/>
    <w:rsid w:val="00B16AC5"/>
    <w:rsid w:val="00B2371E"/>
    <w:rsid w:val="00B23F96"/>
    <w:rsid w:val="00B27C08"/>
    <w:rsid w:val="00B3145F"/>
    <w:rsid w:val="00B32BF4"/>
    <w:rsid w:val="00B32EFD"/>
    <w:rsid w:val="00B34903"/>
    <w:rsid w:val="00B35D78"/>
    <w:rsid w:val="00B3707A"/>
    <w:rsid w:val="00B4182E"/>
    <w:rsid w:val="00B42A0F"/>
    <w:rsid w:val="00B45F98"/>
    <w:rsid w:val="00B47E93"/>
    <w:rsid w:val="00B52CAD"/>
    <w:rsid w:val="00B53C96"/>
    <w:rsid w:val="00B53E7E"/>
    <w:rsid w:val="00B54DD7"/>
    <w:rsid w:val="00B557DC"/>
    <w:rsid w:val="00B57615"/>
    <w:rsid w:val="00B5771F"/>
    <w:rsid w:val="00B603C2"/>
    <w:rsid w:val="00B609B3"/>
    <w:rsid w:val="00B62DE4"/>
    <w:rsid w:val="00B63457"/>
    <w:rsid w:val="00B63A40"/>
    <w:rsid w:val="00B65973"/>
    <w:rsid w:val="00B67531"/>
    <w:rsid w:val="00B67762"/>
    <w:rsid w:val="00B70DE4"/>
    <w:rsid w:val="00B70F8F"/>
    <w:rsid w:val="00B71136"/>
    <w:rsid w:val="00B75DDA"/>
    <w:rsid w:val="00B77E57"/>
    <w:rsid w:val="00B80F0E"/>
    <w:rsid w:val="00B80F2B"/>
    <w:rsid w:val="00B8748A"/>
    <w:rsid w:val="00B94153"/>
    <w:rsid w:val="00B94A5B"/>
    <w:rsid w:val="00B94C53"/>
    <w:rsid w:val="00BA1D03"/>
    <w:rsid w:val="00BA2EE8"/>
    <w:rsid w:val="00BA568C"/>
    <w:rsid w:val="00BA5A68"/>
    <w:rsid w:val="00BB29A2"/>
    <w:rsid w:val="00BB4949"/>
    <w:rsid w:val="00BC0452"/>
    <w:rsid w:val="00BC0AC2"/>
    <w:rsid w:val="00BC229A"/>
    <w:rsid w:val="00BC331B"/>
    <w:rsid w:val="00BC3AE9"/>
    <w:rsid w:val="00BC4A96"/>
    <w:rsid w:val="00BC5794"/>
    <w:rsid w:val="00BC66DD"/>
    <w:rsid w:val="00BC6EBE"/>
    <w:rsid w:val="00BD0460"/>
    <w:rsid w:val="00BD1E11"/>
    <w:rsid w:val="00BD2483"/>
    <w:rsid w:val="00BD28DB"/>
    <w:rsid w:val="00BD3382"/>
    <w:rsid w:val="00BD4992"/>
    <w:rsid w:val="00BD77E9"/>
    <w:rsid w:val="00BE0703"/>
    <w:rsid w:val="00BE23F3"/>
    <w:rsid w:val="00BE6C7B"/>
    <w:rsid w:val="00BE7D8F"/>
    <w:rsid w:val="00BE7E92"/>
    <w:rsid w:val="00BF4B20"/>
    <w:rsid w:val="00BF5A01"/>
    <w:rsid w:val="00C013CC"/>
    <w:rsid w:val="00C02EBE"/>
    <w:rsid w:val="00C03C71"/>
    <w:rsid w:val="00C05836"/>
    <w:rsid w:val="00C1117D"/>
    <w:rsid w:val="00C114A6"/>
    <w:rsid w:val="00C12CF2"/>
    <w:rsid w:val="00C2140C"/>
    <w:rsid w:val="00C24158"/>
    <w:rsid w:val="00C26335"/>
    <w:rsid w:val="00C27072"/>
    <w:rsid w:val="00C32EEF"/>
    <w:rsid w:val="00C33F7D"/>
    <w:rsid w:val="00C41DD8"/>
    <w:rsid w:val="00C470AA"/>
    <w:rsid w:val="00C4718C"/>
    <w:rsid w:val="00C54656"/>
    <w:rsid w:val="00C54868"/>
    <w:rsid w:val="00C63D0D"/>
    <w:rsid w:val="00C661FC"/>
    <w:rsid w:val="00C7064D"/>
    <w:rsid w:val="00C72123"/>
    <w:rsid w:val="00C72965"/>
    <w:rsid w:val="00C76042"/>
    <w:rsid w:val="00C82AC6"/>
    <w:rsid w:val="00C93C8A"/>
    <w:rsid w:val="00CA359B"/>
    <w:rsid w:val="00CB2890"/>
    <w:rsid w:val="00CB2E16"/>
    <w:rsid w:val="00CB32F5"/>
    <w:rsid w:val="00CC0B43"/>
    <w:rsid w:val="00CC1782"/>
    <w:rsid w:val="00CC1E10"/>
    <w:rsid w:val="00CC41A7"/>
    <w:rsid w:val="00CC7979"/>
    <w:rsid w:val="00CD23F3"/>
    <w:rsid w:val="00CD41DC"/>
    <w:rsid w:val="00CE0E6C"/>
    <w:rsid w:val="00CE1650"/>
    <w:rsid w:val="00CE317C"/>
    <w:rsid w:val="00D01E3C"/>
    <w:rsid w:val="00D059F0"/>
    <w:rsid w:val="00D05CF3"/>
    <w:rsid w:val="00D1326F"/>
    <w:rsid w:val="00D15A24"/>
    <w:rsid w:val="00D15A66"/>
    <w:rsid w:val="00D17378"/>
    <w:rsid w:val="00D24C7C"/>
    <w:rsid w:val="00D27050"/>
    <w:rsid w:val="00D277D8"/>
    <w:rsid w:val="00D33134"/>
    <w:rsid w:val="00D34827"/>
    <w:rsid w:val="00D3499F"/>
    <w:rsid w:val="00D36604"/>
    <w:rsid w:val="00D4023E"/>
    <w:rsid w:val="00D4238E"/>
    <w:rsid w:val="00D4600F"/>
    <w:rsid w:val="00D47654"/>
    <w:rsid w:val="00D50334"/>
    <w:rsid w:val="00D52A9A"/>
    <w:rsid w:val="00D5366F"/>
    <w:rsid w:val="00D54DDB"/>
    <w:rsid w:val="00D56FB5"/>
    <w:rsid w:val="00D61A04"/>
    <w:rsid w:val="00D639FF"/>
    <w:rsid w:val="00D63FCA"/>
    <w:rsid w:val="00D65962"/>
    <w:rsid w:val="00D67C91"/>
    <w:rsid w:val="00D8019B"/>
    <w:rsid w:val="00D8310E"/>
    <w:rsid w:val="00D83A04"/>
    <w:rsid w:val="00D84C03"/>
    <w:rsid w:val="00D86641"/>
    <w:rsid w:val="00D87F3B"/>
    <w:rsid w:val="00D911C6"/>
    <w:rsid w:val="00D96D5D"/>
    <w:rsid w:val="00D97D42"/>
    <w:rsid w:val="00DA3600"/>
    <w:rsid w:val="00DA386F"/>
    <w:rsid w:val="00DA3ADC"/>
    <w:rsid w:val="00DA5077"/>
    <w:rsid w:val="00DA6DB2"/>
    <w:rsid w:val="00DA7F8A"/>
    <w:rsid w:val="00DB1545"/>
    <w:rsid w:val="00DB3B55"/>
    <w:rsid w:val="00DC78EC"/>
    <w:rsid w:val="00DD14AE"/>
    <w:rsid w:val="00DD1EC1"/>
    <w:rsid w:val="00DE0706"/>
    <w:rsid w:val="00DE7427"/>
    <w:rsid w:val="00DF1BF2"/>
    <w:rsid w:val="00DF3E75"/>
    <w:rsid w:val="00DF6284"/>
    <w:rsid w:val="00E04854"/>
    <w:rsid w:val="00E11BA8"/>
    <w:rsid w:val="00E11C50"/>
    <w:rsid w:val="00E11F20"/>
    <w:rsid w:val="00E15E47"/>
    <w:rsid w:val="00E17446"/>
    <w:rsid w:val="00E20F7C"/>
    <w:rsid w:val="00E21B36"/>
    <w:rsid w:val="00E25A06"/>
    <w:rsid w:val="00E26EE6"/>
    <w:rsid w:val="00E308C3"/>
    <w:rsid w:val="00E36E57"/>
    <w:rsid w:val="00E37451"/>
    <w:rsid w:val="00E37FAA"/>
    <w:rsid w:val="00E406B3"/>
    <w:rsid w:val="00E4300E"/>
    <w:rsid w:val="00E47CC5"/>
    <w:rsid w:val="00E50B9D"/>
    <w:rsid w:val="00E51BDE"/>
    <w:rsid w:val="00E52436"/>
    <w:rsid w:val="00E53B14"/>
    <w:rsid w:val="00E56BD3"/>
    <w:rsid w:val="00E576D9"/>
    <w:rsid w:val="00E613C0"/>
    <w:rsid w:val="00E621A2"/>
    <w:rsid w:val="00E64784"/>
    <w:rsid w:val="00E64A28"/>
    <w:rsid w:val="00E65207"/>
    <w:rsid w:val="00E66F5A"/>
    <w:rsid w:val="00E71848"/>
    <w:rsid w:val="00E819B7"/>
    <w:rsid w:val="00E84E9E"/>
    <w:rsid w:val="00E9008F"/>
    <w:rsid w:val="00E900A6"/>
    <w:rsid w:val="00E908D8"/>
    <w:rsid w:val="00E919B5"/>
    <w:rsid w:val="00E91AFC"/>
    <w:rsid w:val="00E93408"/>
    <w:rsid w:val="00E940CB"/>
    <w:rsid w:val="00E964EA"/>
    <w:rsid w:val="00E96882"/>
    <w:rsid w:val="00E96A91"/>
    <w:rsid w:val="00EA020D"/>
    <w:rsid w:val="00EA05C5"/>
    <w:rsid w:val="00EA0BAF"/>
    <w:rsid w:val="00EA0F6C"/>
    <w:rsid w:val="00EA2409"/>
    <w:rsid w:val="00EA3491"/>
    <w:rsid w:val="00EA3C39"/>
    <w:rsid w:val="00EA72EC"/>
    <w:rsid w:val="00EB1850"/>
    <w:rsid w:val="00EB4E47"/>
    <w:rsid w:val="00EB6121"/>
    <w:rsid w:val="00EB6B6C"/>
    <w:rsid w:val="00EB7063"/>
    <w:rsid w:val="00EC1388"/>
    <w:rsid w:val="00EC1810"/>
    <w:rsid w:val="00EC183C"/>
    <w:rsid w:val="00EC2618"/>
    <w:rsid w:val="00EC3D4B"/>
    <w:rsid w:val="00EC70FA"/>
    <w:rsid w:val="00ED0C97"/>
    <w:rsid w:val="00ED14D0"/>
    <w:rsid w:val="00ED61C9"/>
    <w:rsid w:val="00ED6C6F"/>
    <w:rsid w:val="00EE3400"/>
    <w:rsid w:val="00EE3A47"/>
    <w:rsid w:val="00EF11FC"/>
    <w:rsid w:val="00EF173B"/>
    <w:rsid w:val="00EF23D8"/>
    <w:rsid w:val="00EF7194"/>
    <w:rsid w:val="00EF7586"/>
    <w:rsid w:val="00EF788D"/>
    <w:rsid w:val="00EF7AD7"/>
    <w:rsid w:val="00F0110D"/>
    <w:rsid w:val="00F02C1B"/>
    <w:rsid w:val="00F04543"/>
    <w:rsid w:val="00F04F36"/>
    <w:rsid w:val="00F1065E"/>
    <w:rsid w:val="00F115B3"/>
    <w:rsid w:val="00F12FDD"/>
    <w:rsid w:val="00F25DDE"/>
    <w:rsid w:val="00F344F1"/>
    <w:rsid w:val="00F34E2C"/>
    <w:rsid w:val="00F35FB9"/>
    <w:rsid w:val="00F41E0E"/>
    <w:rsid w:val="00F43F4D"/>
    <w:rsid w:val="00F45697"/>
    <w:rsid w:val="00F467BB"/>
    <w:rsid w:val="00F467BC"/>
    <w:rsid w:val="00F53A41"/>
    <w:rsid w:val="00F56E8C"/>
    <w:rsid w:val="00F64EB9"/>
    <w:rsid w:val="00F65BAC"/>
    <w:rsid w:val="00F66A14"/>
    <w:rsid w:val="00F72D42"/>
    <w:rsid w:val="00F7302D"/>
    <w:rsid w:val="00F77453"/>
    <w:rsid w:val="00F80743"/>
    <w:rsid w:val="00F82564"/>
    <w:rsid w:val="00F84382"/>
    <w:rsid w:val="00F863CD"/>
    <w:rsid w:val="00F877FA"/>
    <w:rsid w:val="00F90963"/>
    <w:rsid w:val="00F93223"/>
    <w:rsid w:val="00F96187"/>
    <w:rsid w:val="00FA0332"/>
    <w:rsid w:val="00FA30A3"/>
    <w:rsid w:val="00FA642D"/>
    <w:rsid w:val="00FA7535"/>
    <w:rsid w:val="00FB53CD"/>
    <w:rsid w:val="00FC10BA"/>
    <w:rsid w:val="00FC3C8F"/>
    <w:rsid w:val="00FC5738"/>
    <w:rsid w:val="00FC61F2"/>
    <w:rsid w:val="00FC655E"/>
    <w:rsid w:val="00FD2214"/>
    <w:rsid w:val="00FD27E3"/>
    <w:rsid w:val="00FD5A09"/>
    <w:rsid w:val="00FD7238"/>
    <w:rsid w:val="00FE04F2"/>
    <w:rsid w:val="00FE117E"/>
    <w:rsid w:val="00FE5AAE"/>
    <w:rsid w:val="00FE6406"/>
    <w:rsid w:val="00FE7F4F"/>
    <w:rsid w:val="00FF0739"/>
    <w:rsid w:val="00FF095D"/>
    <w:rsid w:val="00FF1138"/>
    <w:rsid w:val="00FF2515"/>
    <w:rsid w:val="00FF55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59BBF7"/>
  <w15:chartTrackingRefBased/>
  <w15:docId w15:val="{2D0B3C08-3101-4CEE-A5E6-2AC0779387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3FD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A3FD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303D5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35A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35AA2"/>
    <w:pPr>
      <w:ind w:left="720"/>
      <w:contextualSpacing/>
    </w:pPr>
  </w:style>
  <w:style w:type="character" w:styleId="CommentReference">
    <w:name w:val="annotation reference"/>
    <w:basedOn w:val="DefaultParagraphFont"/>
    <w:uiPriority w:val="99"/>
    <w:semiHidden/>
    <w:unhideWhenUsed/>
    <w:rsid w:val="001D0369"/>
    <w:rPr>
      <w:sz w:val="16"/>
      <w:szCs w:val="16"/>
    </w:rPr>
  </w:style>
  <w:style w:type="paragraph" w:styleId="CommentText">
    <w:name w:val="annotation text"/>
    <w:basedOn w:val="Normal"/>
    <w:link w:val="CommentTextChar"/>
    <w:uiPriority w:val="99"/>
    <w:unhideWhenUsed/>
    <w:rsid w:val="001D0369"/>
    <w:pPr>
      <w:spacing w:line="240" w:lineRule="auto"/>
    </w:pPr>
    <w:rPr>
      <w:sz w:val="20"/>
      <w:szCs w:val="20"/>
    </w:rPr>
  </w:style>
  <w:style w:type="character" w:customStyle="1" w:styleId="CommentTextChar">
    <w:name w:val="Comment Text Char"/>
    <w:basedOn w:val="DefaultParagraphFont"/>
    <w:link w:val="CommentText"/>
    <w:uiPriority w:val="99"/>
    <w:rsid w:val="001D0369"/>
    <w:rPr>
      <w:sz w:val="20"/>
      <w:szCs w:val="20"/>
    </w:rPr>
  </w:style>
  <w:style w:type="paragraph" w:styleId="CommentSubject">
    <w:name w:val="annotation subject"/>
    <w:basedOn w:val="CommentText"/>
    <w:next w:val="CommentText"/>
    <w:link w:val="CommentSubjectChar"/>
    <w:uiPriority w:val="99"/>
    <w:semiHidden/>
    <w:unhideWhenUsed/>
    <w:rsid w:val="001D0369"/>
    <w:rPr>
      <w:b/>
      <w:bCs/>
    </w:rPr>
  </w:style>
  <w:style w:type="character" w:customStyle="1" w:styleId="CommentSubjectChar">
    <w:name w:val="Comment Subject Char"/>
    <w:basedOn w:val="CommentTextChar"/>
    <w:link w:val="CommentSubject"/>
    <w:uiPriority w:val="99"/>
    <w:semiHidden/>
    <w:rsid w:val="001D0369"/>
    <w:rPr>
      <w:b/>
      <w:bCs/>
      <w:sz w:val="20"/>
      <w:szCs w:val="20"/>
    </w:rPr>
  </w:style>
  <w:style w:type="table" w:styleId="GridTable1Light">
    <w:name w:val="Grid Table 1 Light"/>
    <w:basedOn w:val="TableNormal"/>
    <w:uiPriority w:val="46"/>
    <w:rsid w:val="00DB1545"/>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Heading1Char">
    <w:name w:val="Heading 1 Char"/>
    <w:basedOn w:val="DefaultParagraphFont"/>
    <w:link w:val="Heading1"/>
    <w:uiPriority w:val="9"/>
    <w:rsid w:val="008A3FD0"/>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8A3FD0"/>
    <w:rPr>
      <w:rFonts w:asciiTheme="majorHAnsi" w:eastAsiaTheme="majorEastAsia" w:hAnsiTheme="majorHAnsi" w:cstheme="majorBidi"/>
      <w:color w:val="2F5496" w:themeColor="accent1" w:themeShade="BF"/>
      <w:sz w:val="26"/>
      <w:szCs w:val="26"/>
    </w:rPr>
  </w:style>
  <w:style w:type="paragraph" w:styleId="TOCHeading">
    <w:name w:val="TOC Heading"/>
    <w:basedOn w:val="Heading1"/>
    <w:next w:val="Normal"/>
    <w:uiPriority w:val="39"/>
    <w:unhideWhenUsed/>
    <w:qFormat/>
    <w:rsid w:val="003A7FD6"/>
    <w:pPr>
      <w:outlineLvl w:val="9"/>
    </w:pPr>
  </w:style>
  <w:style w:type="paragraph" w:styleId="TOC1">
    <w:name w:val="toc 1"/>
    <w:basedOn w:val="Normal"/>
    <w:next w:val="Normal"/>
    <w:autoRedefine/>
    <w:uiPriority w:val="39"/>
    <w:unhideWhenUsed/>
    <w:rsid w:val="006A7E59"/>
    <w:pPr>
      <w:tabs>
        <w:tab w:val="right" w:leader="dot" w:pos="9350"/>
      </w:tabs>
      <w:spacing w:after="100"/>
    </w:pPr>
  </w:style>
  <w:style w:type="paragraph" w:styleId="TOC2">
    <w:name w:val="toc 2"/>
    <w:basedOn w:val="Normal"/>
    <w:next w:val="Normal"/>
    <w:autoRedefine/>
    <w:uiPriority w:val="39"/>
    <w:unhideWhenUsed/>
    <w:rsid w:val="003A7FD6"/>
    <w:pPr>
      <w:spacing w:after="100"/>
      <w:ind w:left="220"/>
    </w:pPr>
  </w:style>
  <w:style w:type="character" w:styleId="Hyperlink">
    <w:name w:val="Hyperlink"/>
    <w:basedOn w:val="DefaultParagraphFont"/>
    <w:uiPriority w:val="99"/>
    <w:unhideWhenUsed/>
    <w:rsid w:val="003A7FD6"/>
    <w:rPr>
      <w:color w:val="0563C1" w:themeColor="hyperlink"/>
      <w:u w:val="single"/>
    </w:rPr>
  </w:style>
  <w:style w:type="paragraph" w:styleId="Bibliography">
    <w:name w:val="Bibliography"/>
    <w:basedOn w:val="Normal"/>
    <w:next w:val="Normal"/>
    <w:uiPriority w:val="37"/>
    <w:unhideWhenUsed/>
    <w:rsid w:val="00813860"/>
    <w:pPr>
      <w:tabs>
        <w:tab w:val="left" w:pos="264"/>
      </w:tabs>
      <w:spacing w:after="0" w:line="480" w:lineRule="auto"/>
      <w:ind w:left="264" w:hanging="264"/>
    </w:pPr>
  </w:style>
  <w:style w:type="paragraph" w:styleId="Title">
    <w:name w:val="Title"/>
    <w:basedOn w:val="Normal"/>
    <w:next w:val="Normal"/>
    <w:link w:val="TitleChar"/>
    <w:uiPriority w:val="10"/>
    <w:qFormat/>
    <w:rsid w:val="00D54DD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54DDB"/>
    <w:rPr>
      <w:rFonts w:asciiTheme="majorHAnsi" w:eastAsiaTheme="majorEastAsia" w:hAnsiTheme="majorHAnsi" w:cstheme="majorBidi"/>
      <w:spacing w:val="-10"/>
      <w:kern w:val="28"/>
      <w:sz w:val="56"/>
      <w:szCs w:val="56"/>
    </w:rPr>
  </w:style>
  <w:style w:type="character" w:customStyle="1" w:styleId="Heading3Char">
    <w:name w:val="Heading 3 Char"/>
    <w:basedOn w:val="DefaultParagraphFont"/>
    <w:link w:val="Heading3"/>
    <w:uiPriority w:val="9"/>
    <w:rsid w:val="00303D5F"/>
    <w:rPr>
      <w:rFonts w:asciiTheme="majorHAnsi" w:eastAsiaTheme="majorEastAsia" w:hAnsiTheme="majorHAnsi" w:cstheme="majorBidi"/>
      <w:color w:val="1F3763" w:themeColor="accent1" w:themeShade="7F"/>
      <w:sz w:val="24"/>
      <w:szCs w:val="24"/>
    </w:rPr>
  </w:style>
  <w:style w:type="paragraph" w:styleId="Revision">
    <w:name w:val="Revision"/>
    <w:hidden/>
    <w:uiPriority w:val="99"/>
    <w:semiHidden/>
    <w:rsid w:val="005B2AFA"/>
    <w:pPr>
      <w:spacing w:after="0" w:line="240" w:lineRule="auto"/>
    </w:pPr>
  </w:style>
  <w:style w:type="table" w:styleId="ListTable1Light-Accent3">
    <w:name w:val="List Table 1 Light Accent 3"/>
    <w:basedOn w:val="TableNormal"/>
    <w:uiPriority w:val="46"/>
    <w:rsid w:val="005E1296"/>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3180584">
      <w:bodyDiv w:val="1"/>
      <w:marLeft w:val="0"/>
      <w:marRight w:val="0"/>
      <w:marTop w:val="0"/>
      <w:marBottom w:val="0"/>
      <w:divBdr>
        <w:top w:val="none" w:sz="0" w:space="0" w:color="auto"/>
        <w:left w:val="none" w:sz="0" w:space="0" w:color="auto"/>
        <w:bottom w:val="none" w:sz="0" w:space="0" w:color="auto"/>
        <w:right w:val="none" w:sz="0" w:space="0" w:color="auto"/>
      </w:divBdr>
    </w:div>
    <w:div w:id="1314985462">
      <w:bodyDiv w:val="1"/>
      <w:marLeft w:val="0"/>
      <w:marRight w:val="0"/>
      <w:marTop w:val="0"/>
      <w:marBottom w:val="0"/>
      <w:divBdr>
        <w:top w:val="none" w:sz="0" w:space="0" w:color="auto"/>
        <w:left w:val="none" w:sz="0" w:space="0" w:color="auto"/>
        <w:bottom w:val="none" w:sz="0" w:space="0" w:color="auto"/>
        <w:right w:val="none" w:sz="0" w:space="0" w:color="auto"/>
      </w:divBdr>
    </w:div>
    <w:div w:id="1798720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3F0165-6271-4B7F-BF68-B53F9278C9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9512</Words>
  <Characters>54220</Characters>
  <Application>Microsoft Office Word</Application>
  <DocSecurity>0</DocSecurity>
  <Lines>451</Lines>
  <Paragraphs>127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Yarlagadda, Brinda N</dc:creator>
  <cp:keywords/>
  <dc:description/>
  <cp:lastModifiedBy>Yarlagadda, Brinda N</cp:lastModifiedBy>
  <cp:revision>2</cp:revision>
  <dcterms:created xsi:type="dcterms:W3CDTF">2024-08-29T22:41:00Z</dcterms:created>
  <dcterms:modified xsi:type="dcterms:W3CDTF">2024-08-29T22:41:00Z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id="As1CDDwG"/&gt;&lt;style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value="true"/&gt;&lt;/prefs&gt;&lt;/data&gt;</vt:lpwstr>
  </property>
</Properties>
</file>