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C8DBD" w14:textId="0A3F7696" w:rsidR="0001137C" w:rsidRDefault="00B47C08" w:rsidP="0001137C">
      <w:bookmarkStart w:id="0" w:name="_Hlk107478570"/>
      <w:r>
        <w:t xml:space="preserve">Supplemental </w:t>
      </w:r>
      <w:r w:rsidR="0001137C">
        <w:t xml:space="preserve">Table </w:t>
      </w:r>
      <w:r>
        <w:t>5</w:t>
      </w:r>
      <w:r w:rsidR="0001137C">
        <w:t xml:space="preserve">.  Details for studies included in the systematic review. Details </w:t>
      </w:r>
      <w:proofErr w:type="gramStart"/>
      <w:r w:rsidR="0001137C">
        <w:t>include:</w:t>
      </w:r>
      <w:proofErr w:type="gramEnd"/>
      <w:r w:rsidR="0001137C">
        <w:t xml:space="preserve"> study ID, country, study name, size, follow up period, risk factors studied, outcomes, model adjustments and Newcastle-Ottowa Scale score.</w:t>
      </w:r>
    </w:p>
    <w:p w14:paraId="55265550" w14:textId="77777777" w:rsidR="0001137C" w:rsidRDefault="0001137C" w:rsidP="0001137C"/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262"/>
        <w:gridCol w:w="1710"/>
        <w:gridCol w:w="1701"/>
        <w:gridCol w:w="1559"/>
        <w:gridCol w:w="2127"/>
        <w:gridCol w:w="4110"/>
        <w:gridCol w:w="1418"/>
      </w:tblGrid>
      <w:tr w:rsidR="0001137C" w:rsidRPr="00AD54A0" w14:paraId="787F895F" w14:textId="77777777" w:rsidTr="000A609C">
        <w:tc>
          <w:tcPr>
            <w:tcW w:w="1262" w:type="dxa"/>
          </w:tcPr>
          <w:p w14:paraId="3AA3CD1B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Author, Year, Country</w:t>
            </w:r>
          </w:p>
        </w:tc>
        <w:tc>
          <w:tcPr>
            <w:tcW w:w="1710" w:type="dxa"/>
          </w:tcPr>
          <w:p w14:paraId="390065F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Study size</w:t>
            </w:r>
          </w:p>
        </w:tc>
        <w:tc>
          <w:tcPr>
            <w:tcW w:w="1701" w:type="dxa"/>
          </w:tcPr>
          <w:p w14:paraId="5F558B4D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Follow up period</w:t>
            </w:r>
          </w:p>
        </w:tc>
        <w:tc>
          <w:tcPr>
            <w:tcW w:w="1559" w:type="dxa"/>
          </w:tcPr>
          <w:p w14:paraId="6FCDF47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Risk factor</w:t>
            </w:r>
          </w:p>
        </w:tc>
        <w:tc>
          <w:tcPr>
            <w:tcW w:w="2127" w:type="dxa"/>
          </w:tcPr>
          <w:p w14:paraId="4B2978B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Adjustments</w:t>
            </w:r>
          </w:p>
        </w:tc>
        <w:tc>
          <w:tcPr>
            <w:tcW w:w="4110" w:type="dxa"/>
          </w:tcPr>
          <w:p w14:paraId="1108D08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Results</w:t>
            </w:r>
          </w:p>
        </w:tc>
        <w:tc>
          <w:tcPr>
            <w:tcW w:w="1418" w:type="dxa"/>
          </w:tcPr>
          <w:p w14:paraId="1A34D942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NOS score</w:t>
            </w:r>
          </w:p>
        </w:tc>
      </w:tr>
      <w:tr w:rsidR="0001137C" w:rsidRPr="00AD54A0" w14:paraId="7EA018B4" w14:textId="77777777" w:rsidTr="000A609C">
        <w:tc>
          <w:tcPr>
            <w:tcW w:w="1262" w:type="dxa"/>
          </w:tcPr>
          <w:p w14:paraId="4FC5FDE4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Cho 2000</w:t>
            </w:r>
          </w:p>
          <w:p w14:paraId="79AA01BF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0A11E823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USA</w:t>
            </w:r>
          </w:p>
        </w:tc>
        <w:tc>
          <w:tcPr>
            <w:tcW w:w="1710" w:type="dxa"/>
          </w:tcPr>
          <w:p w14:paraId="6C0341FB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32764 women</w:t>
            </w:r>
          </w:p>
          <w:p w14:paraId="54072E06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29488 men</w:t>
            </w:r>
          </w:p>
        </w:tc>
        <w:tc>
          <w:tcPr>
            <w:tcW w:w="1701" w:type="dxa"/>
          </w:tcPr>
          <w:p w14:paraId="327D6F20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8-10 </w:t>
            </w:r>
            <w:proofErr w:type="gramStart"/>
            <w:r w:rsidRPr="00D030A8">
              <w:rPr>
                <w:sz w:val="20"/>
                <w:szCs w:val="20"/>
              </w:rPr>
              <w:t>yrs;</w:t>
            </w:r>
            <w:proofErr w:type="gramEnd"/>
          </w:p>
          <w:p w14:paraId="111CFB64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Recruit 1976 (F) 1986 (M</w:t>
            </w:r>
            <w:proofErr w:type="gramStart"/>
            <w:r w:rsidRPr="00D030A8">
              <w:rPr>
                <w:sz w:val="20"/>
                <w:szCs w:val="20"/>
              </w:rPr>
              <w:t>);</w:t>
            </w:r>
            <w:proofErr w:type="gramEnd"/>
          </w:p>
          <w:p w14:paraId="1FE4D9D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1992 FU</w:t>
            </w:r>
          </w:p>
        </w:tc>
        <w:tc>
          <w:tcPr>
            <w:tcW w:w="1559" w:type="dxa"/>
          </w:tcPr>
          <w:p w14:paraId="29869F0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Alcohol g/day</w:t>
            </w:r>
          </w:p>
        </w:tc>
        <w:tc>
          <w:tcPr>
            <w:tcW w:w="2127" w:type="dxa"/>
          </w:tcPr>
          <w:p w14:paraId="2C9045D5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Age, smoking</w:t>
            </w:r>
          </w:p>
        </w:tc>
        <w:tc>
          <w:tcPr>
            <w:tcW w:w="4110" w:type="dxa"/>
          </w:tcPr>
          <w:p w14:paraId="35D3D83E" w14:textId="77777777" w:rsidR="0001137C" w:rsidRPr="00D030A8" w:rsidRDefault="0001137C" w:rsidP="000A609C">
            <w:pPr>
              <w:rPr>
                <w:rFonts w:cstheme="minorHAnsi"/>
                <w:sz w:val="20"/>
                <w:szCs w:val="20"/>
              </w:rPr>
            </w:pPr>
            <w:r w:rsidRPr="00AD54A0">
              <w:rPr>
                <w:rFonts w:cstheme="minorHAnsi"/>
                <w:sz w:val="20"/>
                <w:szCs w:val="20"/>
              </w:rPr>
              <w:t xml:space="preserve">Cho et al assessed alcohol as g/day (0.1-4.9; 5-14.9; 15-29.9; 30+), compared to 0g/day. There was no association between alcohol (g/day) and wet AMD. </w:t>
            </w:r>
          </w:p>
          <w:p w14:paraId="1B1B9087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B8441E5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4*</w:t>
            </w:r>
          </w:p>
          <w:p w14:paraId="6BE0A02B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1*</w:t>
            </w:r>
          </w:p>
          <w:p w14:paraId="236D7162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3*</w:t>
            </w:r>
          </w:p>
          <w:p w14:paraId="38A37579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71DE77A0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good</w:t>
            </w:r>
          </w:p>
        </w:tc>
      </w:tr>
      <w:tr w:rsidR="0001137C" w:rsidRPr="00AD54A0" w14:paraId="0E7766AB" w14:textId="77777777" w:rsidTr="000A609C">
        <w:tc>
          <w:tcPr>
            <w:tcW w:w="1262" w:type="dxa"/>
          </w:tcPr>
          <w:p w14:paraId="5EE09AAA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Cho 2004</w:t>
            </w:r>
          </w:p>
          <w:p w14:paraId="699A4D89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5F9D828B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USA</w:t>
            </w:r>
          </w:p>
        </w:tc>
        <w:tc>
          <w:tcPr>
            <w:tcW w:w="1710" w:type="dxa"/>
          </w:tcPr>
          <w:p w14:paraId="38A5FF6A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77562 women,</w:t>
            </w:r>
          </w:p>
          <w:p w14:paraId="53445515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121700 </w:t>
            </w:r>
            <w:proofErr w:type="gramStart"/>
            <w:r w:rsidRPr="00D030A8">
              <w:rPr>
                <w:sz w:val="20"/>
                <w:szCs w:val="20"/>
              </w:rPr>
              <w:t>recruited;</w:t>
            </w:r>
            <w:proofErr w:type="gramEnd"/>
          </w:p>
          <w:p w14:paraId="7F80DCB8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0DA073B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40866 men, 51529 </w:t>
            </w:r>
            <w:proofErr w:type="gramStart"/>
            <w:r w:rsidRPr="00D030A8">
              <w:rPr>
                <w:sz w:val="20"/>
                <w:szCs w:val="20"/>
              </w:rPr>
              <w:t>recruited;</w:t>
            </w:r>
            <w:proofErr w:type="gramEnd"/>
          </w:p>
        </w:tc>
        <w:tc>
          <w:tcPr>
            <w:tcW w:w="1701" w:type="dxa"/>
          </w:tcPr>
          <w:p w14:paraId="5F84B48F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18 yr (women), </w:t>
            </w:r>
          </w:p>
          <w:p w14:paraId="010FB3CF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Recruit </w:t>
            </w:r>
            <w:proofErr w:type="gramStart"/>
            <w:r w:rsidRPr="00D030A8">
              <w:rPr>
                <w:sz w:val="20"/>
                <w:szCs w:val="20"/>
              </w:rPr>
              <w:t>1976;</w:t>
            </w:r>
            <w:proofErr w:type="gramEnd"/>
          </w:p>
          <w:p w14:paraId="5271C83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1996 FU</w:t>
            </w:r>
          </w:p>
          <w:p w14:paraId="721AD2C6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12 yr (men),</w:t>
            </w:r>
          </w:p>
          <w:p w14:paraId="0A14F7B6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Recruit </w:t>
            </w:r>
            <w:proofErr w:type="gramStart"/>
            <w:r w:rsidRPr="00D030A8">
              <w:rPr>
                <w:sz w:val="20"/>
                <w:szCs w:val="20"/>
              </w:rPr>
              <w:t>1986;</w:t>
            </w:r>
            <w:proofErr w:type="gramEnd"/>
          </w:p>
          <w:p w14:paraId="616FA54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1996 FU</w:t>
            </w:r>
          </w:p>
        </w:tc>
        <w:tc>
          <w:tcPr>
            <w:tcW w:w="1559" w:type="dxa"/>
          </w:tcPr>
          <w:p w14:paraId="1325974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Vitamin A, Vitamin C, Vitamin E, beta-carotene, </w:t>
            </w:r>
          </w:p>
        </w:tc>
        <w:tc>
          <w:tcPr>
            <w:tcW w:w="2127" w:type="dxa"/>
          </w:tcPr>
          <w:p w14:paraId="24292E86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Age, smoking, BMI, hypertension, physical activity, profession, high cholesterol, alcohol, energy &amp; fish intake</w:t>
            </w:r>
          </w:p>
        </w:tc>
        <w:tc>
          <w:tcPr>
            <w:tcW w:w="4110" w:type="dxa"/>
          </w:tcPr>
          <w:p w14:paraId="5AEA9934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Cho et al assessed vitamins A, C, </w:t>
            </w:r>
            <w:proofErr w:type="gramStart"/>
            <w:r w:rsidRPr="00D030A8">
              <w:rPr>
                <w:sz w:val="20"/>
                <w:szCs w:val="20"/>
              </w:rPr>
              <w:t>E</w:t>
            </w:r>
            <w:proofErr w:type="gramEnd"/>
            <w:r w:rsidRPr="00D030A8">
              <w:rPr>
                <w:sz w:val="20"/>
                <w:szCs w:val="20"/>
              </w:rPr>
              <w:t xml:space="preserve"> and beta carotene as quartiles, using Q1 as reference. There was no significant association between any risk factor assessed and wet AMD.</w:t>
            </w:r>
          </w:p>
          <w:p w14:paraId="75044783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03874CF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4*</w:t>
            </w:r>
          </w:p>
          <w:p w14:paraId="50E60BBB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2*</w:t>
            </w:r>
          </w:p>
          <w:p w14:paraId="245CD94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3*</w:t>
            </w:r>
          </w:p>
          <w:p w14:paraId="19094D0C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14DD7252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good</w:t>
            </w:r>
          </w:p>
        </w:tc>
      </w:tr>
      <w:tr w:rsidR="0001137C" w:rsidRPr="00AD54A0" w14:paraId="7DF31813" w14:textId="77777777" w:rsidTr="000A609C">
        <w:tc>
          <w:tcPr>
            <w:tcW w:w="1262" w:type="dxa"/>
          </w:tcPr>
          <w:p w14:paraId="15AA6E6A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Jonasson 2014</w:t>
            </w:r>
          </w:p>
          <w:p w14:paraId="465A8624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19D8DE4F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Iceland</w:t>
            </w:r>
          </w:p>
        </w:tc>
        <w:tc>
          <w:tcPr>
            <w:tcW w:w="1710" w:type="dxa"/>
          </w:tcPr>
          <w:p w14:paraId="2FD53E43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proofErr w:type="gramStart"/>
            <w:r w:rsidRPr="00D030A8">
              <w:rPr>
                <w:sz w:val="20"/>
                <w:szCs w:val="20"/>
              </w:rPr>
              <w:t>2868;</w:t>
            </w:r>
            <w:proofErr w:type="gramEnd"/>
          </w:p>
          <w:p w14:paraId="22C267B5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4910 </w:t>
            </w:r>
            <w:proofErr w:type="gramStart"/>
            <w:r w:rsidRPr="00D030A8">
              <w:rPr>
                <w:sz w:val="20"/>
                <w:szCs w:val="20"/>
              </w:rPr>
              <w:t>recruited;</w:t>
            </w:r>
            <w:proofErr w:type="gramEnd"/>
          </w:p>
          <w:p w14:paraId="17115CA7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01C3A9A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5 </w:t>
            </w:r>
            <w:proofErr w:type="gramStart"/>
            <w:r w:rsidRPr="00D030A8">
              <w:rPr>
                <w:sz w:val="20"/>
                <w:szCs w:val="20"/>
              </w:rPr>
              <w:t>yr;</w:t>
            </w:r>
            <w:proofErr w:type="gramEnd"/>
          </w:p>
          <w:p w14:paraId="2600E7CF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2002-6 recruit; 2007-11 FU</w:t>
            </w:r>
          </w:p>
        </w:tc>
        <w:tc>
          <w:tcPr>
            <w:tcW w:w="1559" w:type="dxa"/>
          </w:tcPr>
          <w:p w14:paraId="0BC9BD14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Smoking, diabetes, BMI, total cholesterol, HDL, C reactive protein</w:t>
            </w:r>
          </w:p>
        </w:tc>
        <w:tc>
          <w:tcPr>
            <w:tcW w:w="2127" w:type="dxa"/>
          </w:tcPr>
          <w:p w14:paraId="556769AD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Age, sex, smoking, hypertension, cod liver oil, pulse pressure, diabetes, BMI, total cholesterol, HDL, C reactive protein</w:t>
            </w:r>
          </w:p>
        </w:tc>
        <w:tc>
          <w:tcPr>
            <w:tcW w:w="4110" w:type="dxa"/>
          </w:tcPr>
          <w:p w14:paraId="7B4E01A3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AD54A0">
              <w:rPr>
                <w:rFonts w:cstheme="minorHAnsi"/>
                <w:sz w:val="20"/>
                <w:szCs w:val="20"/>
              </w:rPr>
              <w:t xml:space="preserve">There was no increased risk of wet AMD associated with current (OR 0.97; 95% CI 0.39-2.42) or past smoking (OR 0.93; 95% CI 0.52-1.65). There was also no increased risk of wet AMD found per 1kg/m3 increase in weight (OR 0.96; 95% CI 0.89-1.04). </w:t>
            </w:r>
          </w:p>
          <w:p w14:paraId="7AA1CAB7" w14:textId="77777777" w:rsidR="0001137C" w:rsidRPr="00AD54A0" w:rsidRDefault="0001137C" w:rsidP="000A609C">
            <w:pPr>
              <w:rPr>
                <w:rFonts w:cstheme="minorHAnsi"/>
                <w:sz w:val="20"/>
                <w:szCs w:val="20"/>
              </w:rPr>
            </w:pPr>
            <w:r w:rsidRPr="00AD54A0">
              <w:rPr>
                <w:rFonts w:cstheme="minorHAnsi"/>
                <w:sz w:val="20"/>
                <w:szCs w:val="20"/>
              </w:rPr>
              <w:t>CRP was also not associated with wet AMD (1-3mg/L = OR 1.06; 95% CI 0.52-2.18); &gt;3mg/L OR 1.31; 95% CI 0.60-2.86), ref &lt;1mg/L). Diabetes was not associated with wet AMD (OR 1.29; 95% CI 0.56-2.98)</w:t>
            </w:r>
          </w:p>
          <w:p w14:paraId="2BEABC1A" w14:textId="77777777" w:rsidR="0001137C" w:rsidRPr="00D030A8" w:rsidRDefault="0001137C" w:rsidP="000A609C">
            <w:pPr>
              <w:rPr>
                <w:rFonts w:ascii="AdvP6EC0" w:hAnsi="AdvP6EC0" w:cs="AdvP6EC0"/>
                <w:sz w:val="20"/>
                <w:szCs w:val="20"/>
              </w:rPr>
            </w:pPr>
          </w:p>
          <w:p w14:paraId="673F0164" w14:textId="77777777" w:rsidR="0001137C" w:rsidRPr="00AD54A0" w:rsidRDefault="0001137C" w:rsidP="000A609C">
            <w:pPr>
              <w:rPr>
                <w:rFonts w:ascii="AdvP6EC0" w:hAnsi="AdvP6EC0" w:cs="AdvP6EC0"/>
                <w:sz w:val="20"/>
                <w:szCs w:val="20"/>
              </w:rPr>
            </w:pPr>
            <w:r w:rsidRPr="00AD54A0">
              <w:rPr>
                <w:rFonts w:ascii="AdvP6EC0" w:hAnsi="AdvP6EC0" w:cs="AdvP6EC0"/>
                <w:sz w:val="20"/>
                <w:szCs w:val="20"/>
              </w:rPr>
              <w:t xml:space="preserve">Serum cholesterol (OR 1.03; 95% CI 0.80-1.32) and HDL (OR 0.67; 95% CI 0.32-1.40) were not associated with wet AMD. </w:t>
            </w:r>
          </w:p>
        </w:tc>
        <w:tc>
          <w:tcPr>
            <w:tcW w:w="1418" w:type="dxa"/>
          </w:tcPr>
          <w:p w14:paraId="77255242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4*</w:t>
            </w:r>
          </w:p>
          <w:p w14:paraId="6DD1B49F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2*</w:t>
            </w:r>
          </w:p>
          <w:p w14:paraId="210B215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2*</w:t>
            </w:r>
          </w:p>
          <w:p w14:paraId="430AB789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0D2FCDB4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good</w:t>
            </w:r>
          </w:p>
        </w:tc>
      </w:tr>
      <w:tr w:rsidR="0001137C" w:rsidRPr="00AD54A0" w14:paraId="74A85EB6" w14:textId="77777777" w:rsidTr="000A609C">
        <w:tc>
          <w:tcPr>
            <w:tcW w:w="1262" w:type="dxa"/>
          </w:tcPr>
          <w:p w14:paraId="71EF9F1D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Klein 2003</w:t>
            </w:r>
          </w:p>
          <w:p w14:paraId="10B81273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00A88373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USA</w:t>
            </w:r>
          </w:p>
        </w:tc>
        <w:tc>
          <w:tcPr>
            <w:tcW w:w="1710" w:type="dxa"/>
          </w:tcPr>
          <w:p w14:paraId="5BC772B2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proofErr w:type="gramStart"/>
            <w:r w:rsidRPr="00D030A8">
              <w:rPr>
                <w:sz w:val="20"/>
                <w:szCs w:val="20"/>
              </w:rPr>
              <w:t>2764;</w:t>
            </w:r>
            <w:proofErr w:type="gramEnd"/>
          </w:p>
          <w:p w14:paraId="0D87FF0B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4926 </w:t>
            </w:r>
            <w:proofErr w:type="gramStart"/>
            <w:r w:rsidRPr="00D030A8">
              <w:rPr>
                <w:sz w:val="20"/>
                <w:szCs w:val="20"/>
              </w:rPr>
              <w:t>recruited;</w:t>
            </w:r>
            <w:proofErr w:type="gramEnd"/>
          </w:p>
          <w:p w14:paraId="355008E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3684 at 5YR </w:t>
            </w:r>
            <w:proofErr w:type="gramStart"/>
            <w:r w:rsidRPr="00D030A8">
              <w:rPr>
                <w:sz w:val="20"/>
                <w:szCs w:val="20"/>
              </w:rPr>
              <w:t>FU;</w:t>
            </w:r>
            <w:proofErr w:type="gramEnd"/>
          </w:p>
          <w:p w14:paraId="5A72AA2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2764 at 10yr FU</w:t>
            </w:r>
          </w:p>
        </w:tc>
        <w:tc>
          <w:tcPr>
            <w:tcW w:w="1701" w:type="dxa"/>
          </w:tcPr>
          <w:p w14:paraId="7BF6C6B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10 </w:t>
            </w:r>
            <w:proofErr w:type="gramStart"/>
            <w:r w:rsidRPr="00D030A8">
              <w:rPr>
                <w:sz w:val="20"/>
                <w:szCs w:val="20"/>
              </w:rPr>
              <w:t>yr;</w:t>
            </w:r>
            <w:proofErr w:type="gramEnd"/>
          </w:p>
          <w:p w14:paraId="4532B39F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1988-90 </w:t>
            </w:r>
            <w:proofErr w:type="gramStart"/>
            <w:r w:rsidRPr="00D030A8">
              <w:rPr>
                <w:sz w:val="20"/>
                <w:szCs w:val="20"/>
              </w:rPr>
              <w:t>recruit;</w:t>
            </w:r>
            <w:proofErr w:type="gramEnd"/>
          </w:p>
          <w:p w14:paraId="4521C3E3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1993-5 5YR </w:t>
            </w:r>
            <w:proofErr w:type="gramStart"/>
            <w:r w:rsidRPr="00D030A8">
              <w:rPr>
                <w:sz w:val="20"/>
                <w:szCs w:val="20"/>
              </w:rPr>
              <w:t>FU;</w:t>
            </w:r>
            <w:proofErr w:type="gramEnd"/>
          </w:p>
          <w:p w14:paraId="3B64AF3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lastRenderedPageBreak/>
              <w:t>1998-2000 10 YR FU</w:t>
            </w:r>
          </w:p>
        </w:tc>
        <w:tc>
          <w:tcPr>
            <w:tcW w:w="1559" w:type="dxa"/>
          </w:tcPr>
          <w:p w14:paraId="20A36D7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lastRenderedPageBreak/>
              <w:t>SBP, DBP, pul press, total cholesterol, HDL, BMI,</w:t>
            </w:r>
          </w:p>
        </w:tc>
        <w:tc>
          <w:tcPr>
            <w:tcW w:w="2127" w:type="dxa"/>
          </w:tcPr>
          <w:p w14:paraId="38ABFBF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Age, sex, smoking, alcohol, vitamin use</w:t>
            </w:r>
          </w:p>
        </w:tc>
        <w:tc>
          <w:tcPr>
            <w:tcW w:w="4110" w:type="dxa"/>
          </w:tcPr>
          <w:p w14:paraId="38EE55B3" w14:textId="77777777" w:rsidR="0001137C" w:rsidRPr="00AD54A0" w:rsidRDefault="0001137C" w:rsidP="000A609C">
            <w:pPr>
              <w:rPr>
                <w:rFonts w:cstheme="minorHAnsi"/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An increase of 10mmHg in SBP </w:t>
            </w:r>
            <w:r w:rsidRPr="00AD54A0">
              <w:rPr>
                <w:rFonts w:cstheme="minorHAnsi"/>
                <w:color w:val="000000" w:themeColor="text1"/>
                <w:sz w:val="20"/>
                <w:szCs w:val="20"/>
              </w:rPr>
              <w:t>(1.22; 95% CI 1.06–1.41) and pulse pressure (1.34; 95% CI 1.14–1.60)</w:t>
            </w:r>
            <w:r w:rsidRPr="00D030A8">
              <w:rPr>
                <w:rFonts w:ascii="Goudy" w:hAnsi="Goudy" w:cs="Goudy"/>
                <w:color w:val="000000" w:themeColor="text1"/>
                <w:sz w:val="20"/>
                <w:szCs w:val="20"/>
              </w:rPr>
              <w:t xml:space="preserve"> </w:t>
            </w:r>
            <w:r w:rsidRPr="00D030A8">
              <w:rPr>
                <w:sz w:val="20"/>
                <w:szCs w:val="20"/>
              </w:rPr>
              <w:t xml:space="preserve">were associated with increased </w:t>
            </w:r>
            <w:r w:rsidRPr="00AD54A0">
              <w:rPr>
                <w:rFonts w:cstheme="minorHAnsi"/>
                <w:sz w:val="20"/>
                <w:szCs w:val="20"/>
              </w:rPr>
              <w:t xml:space="preserve">risk </w:t>
            </w:r>
            <w:r w:rsidRPr="00AD54A0">
              <w:rPr>
                <w:rFonts w:cstheme="minorHAnsi"/>
                <w:sz w:val="20"/>
                <w:szCs w:val="20"/>
              </w:rPr>
              <w:lastRenderedPageBreak/>
              <w:t>of wet AMD. DBP was not associated with an increased risk (0.95; 95% CI 0.70–1.29).</w:t>
            </w:r>
          </w:p>
          <w:p w14:paraId="2A5A907E" w14:textId="77777777" w:rsidR="0001137C" w:rsidRPr="00AD54A0" w:rsidRDefault="0001137C" w:rsidP="000A609C">
            <w:pPr>
              <w:rPr>
                <w:rFonts w:cstheme="minorHAnsi"/>
                <w:sz w:val="20"/>
                <w:szCs w:val="20"/>
              </w:rPr>
            </w:pPr>
          </w:p>
          <w:p w14:paraId="6F65EACB" w14:textId="77777777" w:rsidR="0001137C" w:rsidRPr="00AD54A0" w:rsidRDefault="0001137C" w:rsidP="000A609C">
            <w:pPr>
              <w:rPr>
                <w:rFonts w:cstheme="minorHAnsi"/>
                <w:sz w:val="20"/>
                <w:szCs w:val="20"/>
              </w:rPr>
            </w:pPr>
            <w:r w:rsidRPr="00AD54A0">
              <w:rPr>
                <w:rFonts w:cstheme="minorHAnsi"/>
                <w:sz w:val="20"/>
                <w:szCs w:val="20"/>
              </w:rPr>
              <w:t>There was no increased risk for wet AMD associated with low BMI (&lt;22) or high BMI (&gt;30), compared to normal BMI (22-29.0) (1.22 (0.36–4.19); 1.27 (0.65–2.48) respectively).</w:t>
            </w:r>
          </w:p>
          <w:p w14:paraId="33ED505A" w14:textId="77777777" w:rsidR="0001137C" w:rsidRPr="00AD54A0" w:rsidRDefault="0001137C" w:rsidP="000A609C">
            <w:pPr>
              <w:rPr>
                <w:rFonts w:cstheme="minorHAnsi"/>
                <w:sz w:val="20"/>
                <w:szCs w:val="20"/>
              </w:rPr>
            </w:pPr>
          </w:p>
          <w:p w14:paraId="3230680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AD54A0">
              <w:rPr>
                <w:rFonts w:cstheme="minorHAnsi"/>
                <w:sz w:val="20"/>
                <w:szCs w:val="20"/>
              </w:rPr>
              <w:t>Serum cholesterol (0.93; 95% CI 0.86–1.00) and HDL (0.94; 95% CI 0.78–1.13) were also not associated with AMD.</w:t>
            </w:r>
          </w:p>
        </w:tc>
        <w:tc>
          <w:tcPr>
            <w:tcW w:w="1418" w:type="dxa"/>
          </w:tcPr>
          <w:p w14:paraId="0613E4D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lastRenderedPageBreak/>
              <w:t>4*</w:t>
            </w:r>
          </w:p>
          <w:p w14:paraId="443F7941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2*</w:t>
            </w:r>
          </w:p>
          <w:p w14:paraId="521B8855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3*</w:t>
            </w:r>
          </w:p>
          <w:p w14:paraId="0549F6EE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0192B7F8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lastRenderedPageBreak/>
              <w:t>good</w:t>
            </w:r>
          </w:p>
        </w:tc>
      </w:tr>
      <w:tr w:rsidR="0001137C" w:rsidRPr="00AD54A0" w14:paraId="2E841183" w14:textId="77777777" w:rsidTr="000A609C">
        <w:tc>
          <w:tcPr>
            <w:tcW w:w="1262" w:type="dxa"/>
          </w:tcPr>
          <w:p w14:paraId="7A46601B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lastRenderedPageBreak/>
              <w:t>Knudtson 2007</w:t>
            </w:r>
          </w:p>
          <w:p w14:paraId="78E1D814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0B2B633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USA</w:t>
            </w:r>
          </w:p>
        </w:tc>
        <w:tc>
          <w:tcPr>
            <w:tcW w:w="1710" w:type="dxa"/>
          </w:tcPr>
          <w:p w14:paraId="1A8AEB43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3509</w:t>
            </w:r>
          </w:p>
        </w:tc>
        <w:tc>
          <w:tcPr>
            <w:tcW w:w="1701" w:type="dxa"/>
          </w:tcPr>
          <w:p w14:paraId="5E70237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15 yr</w:t>
            </w:r>
          </w:p>
        </w:tc>
        <w:tc>
          <w:tcPr>
            <w:tcW w:w="1559" w:type="dxa"/>
          </w:tcPr>
          <w:p w14:paraId="0F0E241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Alcohol (heavy drinking – never, past, current)</w:t>
            </w:r>
          </w:p>
        </w:tc>
        <w:tc>
          <w:tcPr>
            <w:tcW w:w="2127" w:type="dxa"/>
          </w:tcPr>
          <w:p w14:paraId="2C8B4A3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Age, SBP, vitamin use, smoking, sex</w:t>
            </w:r>
          </w:p>
        </w:tc>
        <w:tc>
          <w:tcPr>
            <w:tcW w:w="4110" w:type="dxa"/>
          </w:tcPr>
          <w:p w14:paraId="76ABF5BA" w14:textId="77777777" w:rsidR="0001137C" w:rsidRPr="00AD54A0" w:rsidRDefault="0001137C" w:rsidP="000A609C">
            <w:pPr>
              <w:rPr>
                <w:rFonts w:cstheme="minorHAnsi"/>
                <w:sz w:val="20"/>
                <w:szCs w:val="20"/>
              </w:rPr>
            </w:pPr>
            <w:r w:rsidRPr="00AD54A0">
              <w:rPr>
                <w:rFonts w:cstheme="minorHAnsi"/>
                <w:sz w:val="20"/>
                <w:szCs w:val="20"/>
              </w:rPr>
              <w:t xml:space="preserve">Heavy drinking was not associated with wet AMD, in current heavy drinkers (3.00; 95% CI 0.67, 13.5) and past heavy drinkers (1.63; 95% CI 0.72, 3.71), however this was not significant.  </w:t>
            </w:r>
          </w:p>
          <w:p w14:paraId="3DFECC2B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2EB612A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4*</w:t>
            </w:r>
          </w:p>
          <w:p w14:paraId="4AFB766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1*</w:t>
            </w:r>
          </w:p>
          <w:p w14:paraId="2BFA27D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2*</w:t>
            </w:r>
          </w:p>
          <w:p w14:paraId="36D7DF9D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12AA68D3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good</w:t>
            </w:r>
          </w:p>
        </w:tc>
      </w:tr>
      <w:tr w:rsidR="0001137C" w:rsidRPr="00AD54A0" w14:paraId="35A5210C" w14:textId="77777777" w:rsidTr="000A609C">
        <w:tc>
          <w:tcPr>
            <w:tcW w:w="1262" w:type="dxa"/>
          </w:tcPr>
          <w:p w14:paraId="1BA0A48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Merle 2021</w:t>
            </w:r>
          </w:p>
          <w:p w14:paraId="7CD4DC5B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0D167EE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France</w:t>
            </w:r>
          </w:p>
        </w:tc>
        <w:tc>
          <w:tcPr>
            <w:tcW w:w="1710" w:type="dxa"/>
          </w:tcPr>
          <w:p w14:paraId="33102B48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963 </w:t>
            </w:r>
            <w:proofErr w:type="gramStart"/>
            <w:r w:rsidRPr="00D030A8">
              <w:rPr>
                <w:sz w:val="20"/>
                <w:szCs w:val="20"/>
              </w:rPr>
              <w:t>recruited;</w:t>
            </w:r>
            <w:proofErr w:type="gramEnd"/>
          </w:p>
          <w:p w14:paraId="0E593330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435 FU</w:t>
            </w:r>
          </w:p>
        </w:tc>
        <w:tc>
          <w:tcPr>
            <w:tcW w:w="1701" w:type="dxa"/>
          </w:tcPr>
          <w:p w14:paraId="0F0D7D9A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Recruit </w:t>
            </w:r>
            <w:proofErr w:type="gramStart"/>
            <w:r w:rsidRPr="00D030A8">
              <w:rPr>
                <w:sz w:val="20"/>
                <w:szCs w:val="20"/>
              </w:rPr>
              <w:t>2006-8;</w:t>
            </w:r>
            <w:proofErr w:type="gramEnd"/>
          </w:p>
          <w:p w14:paraId="1398232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2015-17 FU</w:t>
            </w:r>
          </w:p>
        </w:tc>
        <w:tc>
          <w:tcPr>
            <w:tcW w:w="1559" w:type="dxa"/>
          </w:tcPr>
          <w:p w14:paraId="4E89A7CC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Beta-carotene, cholesterol, triglycerides</w:t>
            </w:r>
          </w:p>
        </w:tc>
        <w:tc>
          <w:tcPr>
            <w:tcW w:w="2127" w:type="dxa"/>
          </w:tcPr>
          <w:p w14:paraId="11F7170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Sex, AMD grade, smoking, alcohol, season, BMI, diabetes, cholesterol, triglycerides, martial status, activity, genetic risk score</w:t>
            </w:r>
          </w:p>
        </w:tc>
        <w:tc>
          <w:tcPr>
            <w:tcW w:w="4110" w:type="dxa"/>
          </w:tcPr>
          <w:p w14:paraId="4F3B19D2" w14:textId="77777777" w:rsidR="0001137C" w:rsidRPr="00AD54A0" w:rsidRDefault="0001137C" w:rsidP="000A609C">
            <w:pPr>
              <w:rPr>
                <w:rFonts w:cstheme="minorHAnsi"/>
                <w:sz w:val="20"/>
                <w:szCs w:val="20"/>
              </w:rPr>
            </w:pPr>
            <w:r w:rsidRPr="00AD54A0">
              <w:rPr>
                <w:rFonts w:cstheme="minorHAnsi"/>
                <w:sz w:val="20"/>
                <w:szCs w:val="20"/>
              </w:rPr>
              <w:t>Serum cholesterol (HR 1.33; 95% CI (0.71, 2.47), triglycerides (HR 1.39; 95% CI 0.87, 2.23) and beta-carotene (HR 1.26; 95% CI 0.80, 1.99).  (per 1SD increase) were not significantly associated with AMD per 1 SD increase.</w:t>
            </w:r>
          </w:p>
          <w:p w14:paraId="295A628F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0B83D68D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3*</w:t>
            </w:r>
          </w:p>
          <w:p w14:paraId="5BCAA774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2*</w:t>
            </w:r>
          </w:p>
          <w:p w14:paraId="0886EAE1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2*</w:t>
            </w:r>
          </w:p>
          <w:p w14:paraId="3AED7622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42D9B943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good</w:t>
            </w:r>
          </w:p>
        </w:tc>
      </w:tr>
      <w:tr w:rsidR="0001137C" w:rsidRPr="00AD54A0" w14:paraId="0A3C025C" w14:textId="77777777" w:rsidTr="000A609C">
        <w:tc>
          <w:tcPr>
            <w:tcW w:w="1262" w:type="dxa"/>
          </w:tcPr>
          <w:p w14:paraId="1AF19DC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Tan 2007</w:t>
            </w:r>
          </w:p>
          <w:p w14:paraId="423FB683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21498ECB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Australia</w:t>
            </w:r>
          </w:p>
        </w:tc>
        <w:tc>
          <w:tcPr>
            <w:tcW w:w="1710" w:type="dxa"/>
          </w:tcPr>
          <w:p w14:paraId="1DF7B500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2454</w:t>
            </w:r>
          </w:p>
          <w:p w14:paraId="42E77DC4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Recruit 3654 </w:t>
            </w:r>
          </w:p>
        </w:tc>
        <w:tc>
          <w:tcPr>
            <w:tcW w:w="1701" w:type="dxa"/>
          </w:tcPr>
          <w:p w14:paraId="45D0ADF5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10 yr</w:t>
            </w:r>
          </w:p>
          <w:p w14:paraId="71AE5D1A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 xml:space="preserve">Recruit: 1992-93 </w:t>
            </w:r>
          </w:p>
          <w:p w14:paraId="4936AB20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FU:2002-05</w:t>
            </w:r>
          </w:p>
        </w:tc>
        <w:tc>
          <w:tcPr>
            <w:tcW w:w="1559" w:type="dxa"/>
          </w:tcPr>
          <w:p w14:paraId="514FCE0E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Smoking (never, past current)</w:t>
            </w:r>
          </w:p>
        </w:tc>
        <w:tc>
          <w:tcPr>
            <w:tcW w:w="2127" w:type="dxa"/>
          </w:tcPr>
          <w:p w14:paraId="7DA0CA58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Age, sex, WBC, family history of AMD, HDL, very fair skin colour, fish intake</w:t>
            </w:r>
          </w:p>
        </w:tc>
        <w:tc>
          <w:tcPr>
            <w:tcW w:w="4110" w:type="dxa"/>
          </w:tcPr>
          <w:p w14:paraId="1C7F9B51" w14:textId="77777777" w:rsidR="0001137C" w:rsidRPr="00AD54A0" w:rsidRDefault="0001137C" w:rsidP="000A609C">
            <w:pPr>
              <w:rPr>
                <w:rFonts w:cstheme="minorHAnsi"/>
                <w:sz w:val="20"/>
                <w:szCs w:val="20"/>
              </w:rPr>
            </w:pPr>
            <w:r w:rsidRPr="00AD54A0">
              <w:rPr>
                <w:rFonts w:cstheme="minorHAnsi"/>
                <w:sz w:val="20"/>
                <w:szCs w:val="20"/>
              </w:rPr>
              <w:t>Current (1.9 (0.6-5.3) and past (0.8 (0.4-1.9) smoking was not associated with wet AMD (1.9 (95% CI 0.6-5.3); 0.8 (95% CI 0.4-1.9) respectively).</w:t>
            </w:r>
          </w:p>
          <w:p w14:paraId="667623F4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5D4E23F3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19C6191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4*</w:t>
            </w:r>
          </w:p>
          <w:p w14:paraId="5FBD4BD7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2*</w:t>
            </w:r>
          </w:p>
          <w:p w14:paraId="7C1351B1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3*</w:t>
            </w:r>
          </w:p>
          <w:p w14:paraId="0C31E44C" w14:textId="77777777" w:rsidR="0001137C" w:rsidRPr="00D030A8" w:rsidRDefault="0001137C" w:rsidP="000A609C">
            <w:pPr>
              <w:rPr>
                <w:sz w:val="20"/>
                <w:szCs w:val="20"/>
              </w:rPr>
            </w:pPr>
          </w:p>
          <w:p w14:paraId="710FE7C9" w14:textId="77777777" w:rsidR="0001137C" w:rsidRPr="00D030A8" w:rsidRDefault="0001137C" w:rsidP="000A609C">
            <w:pPr>
              <w:rPr>
                <w:sz w:val="20"/>
                <w:szCs w:val="20"/>
              </w:rPr>
            </w:pPr>
            <w:r w:rsidRPr="00D030A8">
              <w:rPr>
                <w:sz w:val="20"/>
                <w:szCs w:val="20"/>
              </w:rPr>
              <w:t>good</w:t>
            </w:r>
          </w:p>
        </w:tc>
      </w:tr>
    </w:tbl>
    <w:p w14:paraId="3B332C1C" w14:textId="77777777" w:rsidR="0001137C" w:rsidRDefault="0001137C" w:rsidP="0001137C">
      <w:pPr>
        <w:rPr>
          <w:rFonts w:ascii="Calibri" w:hAnsi="Calibri"/>
          <w:b/>
          <w:noProof/>
          <w:lang w:val="en-US"/>
        </w:rPr>
      </w:pPr>
    </w:p>
    <w:bookmarkEnd w:id="0"/>
    <w:p w14:paraId="352FF9DA" w14:textId="77777777" w:rsidR="0001137C" w:rsidRPr="00B11CE7" w:rsidRDefault="0001137C" w:rsidP="0001137C">
      <w:pPr>
        <w:rPr>
          <w:b/>
        </w:rPr>
      </w:pPr>
    </w:p>
    <w:p w14:paraId="234BEAF1" w14:textId="77777777" w:rsidR="00B47C08" w:rsidRDefault="00B47C08"/>
    <w:sectPr w:rsidR="00472E5F" w:rsidSect="00E31A6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6EC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oudy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37C"/>
    <w:rsid w:val="0001137C"/>
    <w:rsid w:val="00B47C08"/>
    <w:rsid w:val="00D57ABA"/>
    <w:rsid w:val="00DC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3842F"/>
  <w15:chartTrackingRefBased/>
  <w15:docId w15:val="{303F0803-1612-455C-A431-8F0AB84B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Fitton (Staff)</dc:creator>
  <cp:keywords/>
  <dc:description/>
  <cp:lastModifiedBy>Catherine Fitton (Staff)</cp:lastModifiedBy>
  <cp:revision>2</cp:revision>
  <dcterms:created xsi:type="dcterms:W3CDTF">2023-08-17T09:18:00Z</dcterms:created>
  <dcterms:modified xsi:type="dcterms:W3CDTF">2024-02-22T14:10:00Z</dcterms:modified>
</cp:coreProperties>
</file>