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3F4720" w14:textId="6045FA3D" w:rsidR="00FB1C4A" w:rsidRPr="006057FC" w:rsidRDefault="00222374" w:rsidP="00FB1C4A">
      <w:pPr>
        <w:rPr>
          <w:b/>
          <w:bCs/>
        </w:rPr>
      </w:pPr>
      <w:r w:rsidRPr="006057FC">
        <w:rPr>
          <w:b/>
          <w:bCs/>
        </w:rPr>
        <w:t xml:space="preserve">Supporting Online Material </w:t>
      </w:r>
    </w:p>
    <w:p w14:paraId="33987EC7" w14:textId="150DC34A" w:rsidR="00FB1C4A" w:rsidRPr="006057FC" w:rsidRDefault="00FB1C4A" w:rsidP="00FB1C4A">
      <w:pPr>
        <w:rPr>
          <w:b/>
          <w:bCs/>
        </w:rPr>
      </w:pPr>
      <w:r w:rsidRPr="006057FC">
        <w:rPr>
          <w:b/>
          <w:bCs/>
        </w:rPr>
        <w:t>1. Methods</w:t>
      </w:r>
      <w:r w:rsidR="00222374" w:rsidRPr="006057FC">
        <w:rPr>
          <w:b/>
          <w:bCs/>
        </w:rPr>
        <w:t xml:space="preserve"> for luminescence dating</w:t>
      </w:r>
    </w:p>
    <w:p w14:paraId="2C093CA7" w14:textId="2BE4837E" w:rsidR="00FB1C4A" w:rsidRPr="006057FC" w:rsidRDefault="00FB1C4A" w:rsidP="00FB1C4A">
      <w:r w:rsidRPr="006057FC">
        <w:t>1.</w:t>
      </w:r>
      <w:r w:rsidR="00385C46" w:rsidRPr="006057FC">
        <w:t>1</w:t>
      </w:r>
      <w:r w:rsidRPr="006057FC">
        <w:t xml:space="preserve"> </w:t>
      </w:r>
      <w:r w:rsidRPr="006057FC">
        <w:rPr>
          <w:i/>
          <w:iCs/>
        </w:rPr>
        <w:t>Sample preparation and analytical facilities</w:t>
      </w:r>
    </w:p>
    <w:p w14:paraId="7968B053" w14:textId="77777777" w:rsidR="00FB1C4A" w:rsidRPr="006057FC" w:rsidRDefault="00FB1C4A" w:rsidP="00FB1C4A">
      <w:r w:rsidRPr="006057FC">
        <w:t>All samples were prepared using routine optical dating procedures (Wintle, 1997). Samples were first treated with HCl acid and H</w:t>
      </w:r>
      <w:r w:rsidRPr="006057FC">
        <w:rPr>
          <w:vertAlign w:val="subscript"/>
        </w:rPr>
        <w:t>2</w:t>
      </w:r>
      <w:r w:rsidRPr="006057FC">
        <w:t>O</w:t>
      </w:r>
      <w:r w:rsidRPr="006057FC">
        <w:rPr>
          <w:vertAlign w:val="subscript"/>
        </w:rPr>
        <w:t>2</w:t>
      </w:r>
      <w:r w:rsidRPr="006057FC">
        <w:t xml:space="preserve"> solution to remove carbonates and organic matter, respectively. The remaining sediment was then dried and sieved to obtain the 180–212 µm in diameter grain-size fraction. Quartz grains were separated from other mineral grains using sodium </w:t>
      </w:r>
      <w:proofErr w:type="spellStart"/>
      <w:r w:rsidRPr="006057FC">
        <w:t>polytungstate</w:t>
      </w:r>
      <w:proofErr w:type="spellEnd"/>
      <w:r w:rsidRPr="006057FC">
        <w:t xml:space="preserve"> solutions of densities 2.70 and 2.62 g/cm</w:t>
      </w:r>
      <w:r w:rsidRPr="006057FC">
        <w:rPr>
          <w:vertAlign w:val="superscript"/>
        </w:rPr>
        <w:t>3</w:t>
      </w:r>
      <w:r w:rsidRPr="006057FC">
        <w:t>. Quartz grains were etched using 40% hydrofluoric (HF) acid for 45 min to remove the alpha-irradiated layer around the surface of each grain. Grains were then rinsed in HCl acid to remove any precipitated fluorides and sieved again.</w:t>
      </w:r>
    </w:p>
    <w:p w14:paraId="4041624E" w14:textId="104CB24A" w:rsidR="00FB1C4A" w:rsidRPr="006057FC" w:rsidRDefault="00FB1C4A" w:rsidP="00FB1C4A">
      <w:r w:rsidRPr="006057FC">
        <w:t>Single-grain OSL measurements of D</w:t>
      </w:r>
      <w:r w:rsidRPr="006057FC">
        <w:rPr>
          <w:vertAlign w:val="subscript"/>
        </w:rPr>
        <w:t>e</w:t>
      </w:r>
      <w:r w:rsidRPr="006057FC">
        <w:t xml:space="preserve"> were made for all samples. The OSL measurements were made on </w:t>
      </w:r>
      <w:r w:rsidR="00385C46" w:rsidRPr="006057FC">
        <w:t>the same</w:t>
      </w:r>
      <w:r w:rsidRPr="006057FC">
        <w:t xml:space="preserve"> automated Risø TL-DA-20 luminescence reader equipped with </w:t>
      </w:r>
      <w:r w:rsidR="00385C46" w:rsidRPr="006057FC">
        <w:t xml:space="preserve">a </w:t>
      </w:r>
      <w:r w:rsidRPr="006057FC">
        <w:t>focused green (532 nm) laser for single-grain stimulation and infrared (870 nm) light-emitting diodes (LEDs) (B</w:t>
      </w:r>
      <w:r w:rsidRPr="006057FC">
        <w:rPr>
          <w:rFonts w:cstheme="minorHAnsi"/>
        </w:rPr>
        <w:t>ø</w:t>
      </w:r>
      <w:r w:rsidRPr="006057FC">
        <w:t xml:space="preserve">tter-Jensen et al., 2003). Luminescence emissions were detected using </w:t>
      </w:r>
      <w:r w:rsidR="00385C46" w:rsidRPr="006057FC">
        <w:t xml:space="preserve">an </w:t>
      </w:r>
      <w:r w:rsidRPr="006057FC">
        <w:t>Electron Tubes Ltd 9235QA photomultiplier tube, and the OSL signals detected through Hoya U-340 filters. The single-grain measurements were made using aluminium discs drilled with 100 holes, each 300 µm in diameter and 300 µm deep (B</w:t>
      </w:r>
      <w:r w:rsidRPr="006057FC">
        <w:rPr>
          <w:rFonts w:cstheme="minorHAnsi"/>
        </w:rPr>
        <w:t>ø</w:t>
      </w:r>
      <w:r w:rsidRPr="006057FC">
        <w:t xml:space="preserve">tter-Jensen et al., 2003). Irradiations were carried out inside </w:t>
      </w:r>
      <w:r w:rsidR="00385C46" w:rsidRPr="006057FC">
        <w:t>the</w:t>
      </w:r>
      <w:r w:rsidRPr="006057FC">
        <w:t xml:space="preserve"> luminescence reader using</w:t>
      </w:r>
      <w:r w:rsidR="00385C46" w:rsidRPr="006057FC">
        <w:t xml:space="preserve"> a</w:t>
      </w:r>
      <w:r w:rsidRPr="006057FC">
        <w:t xml:space="preserve"> </w:t>
      </w:r>
      <w:r w:rsidRPr="006057FC">
        <w:rPr>
          <w:vertAlign w:val="superscript"/>
        </w:rPr>
        <w:t>90</w:t>
      </w:r>
      <w:r w:rsidRPr="006057FC">
        <w:t>Sr/</w:t>
      </w:r>
      <w:r w:rsidRPr="006057FC">
        <w:rPr>
          <w:vertAlign w:val="superscript"/>
        </w:rPr>
        <w:t>90</w:t>
      </w:r>
      <w:r w:rsidRPr="006057FC">
        <w:t>Y beta source that ha</w:t>
      </w:r>
      <w:r w:rsidR="00385C46" w:rsidRPr="006057FC">
        <w:t>s</w:t>
      </w:r>
      <w:r w:rsidRPr="006057FC">
        <w:t xml:space="preserve"> been calibrated using a range of known gamma-irradiated quartz standards for both multi-grain aliquots and individual grain positions. Spatial variations in beta dose rate to individual grain positions were taken into account for D</w:t>
      </w:r>
      <w:r w:rsidRPr="006057FC">
        <w:rPr>
          <w:vertAlign w:val="subscript"/>
        </w:rPr>
        <w:t>e</w:t>
      </w:r>
      <w:r w:rsidRPr="006057FC">
        <w:t xml:space="preserve"> determination, based on measurements made using the same gamma-irradiated quartz standards (Ballarini et al., 2006). A systematic check of the beta dose calibrations and an inter-machine calibration check were conducted in 2022. </w:t>
      </w:r>
    </w:p>
    <w:p w14:paraId="27651172" w14:textId="0EAF9AD6" w:rsidR="00FB1C4A" w:rsidRPr="006057FC" w:rsidRDefault="00FB1C4A" w:rsidP="00FB1C4A">
      <w:pPr>
        <w:rPr>
          <w:i/>
          <w:iCs/>
        </w:rPr>
      </w:pPr>
      <w:r w:rsidRPr="006057FC">
        <w:t>1.</w:t>
      </w:r>
      <w:r w:rsidR="00385C46" w:rsidRPr="006057FC">
        <w:t>2</w:t>
      </w:r>
      <w:r w:rsidRPr="006057FC">
        <w:t xml:space="preserve"> </w:t>
      </w:r>
      <w:r w:rsidRPr="006057FC">
        <w:rPr>
          <w:i/>
          <w:iCs/>
        </w:rPr>
        <w:t>Measurement and analysis of OSL signals for D</w:t>
      </w:r>
      <w:r w:rsidRPr="006057FC">
        <w:rPr>
          <w:i/>
          <w:iCs/>
          <w:vertAlign w:val="subscript"/>
        </w:rPr>
        <w:t>e</w:t>
      </w:r>
      <w:r w:rsidRPr="006057FC">
        <w:rPr>
          <w:i/>
          <w:iCs/>
        </w:rPr>
        <w:t xml:space="preserve"> determination</w:t>
      </w:r>
    </w:p>
    <w:p w14:paraId="6B5B0459" w14:textId="7C294D8F" w:rsidR="00FB1C4A" w:rsidRPr="006057FC" w:rsidRDefault="00FB1C4A" w:rsidP="00FB1C4A">
      <w:pPr>
        <w:rPr>
          <w:lang w:val="en-US"/>
        </w:rPr>
      </w:pPr>
      <w:r w:rsidRPr="006057FC">
        <w:rPr>
          <w:lang w:val="en-US"/>
        </w:rPr>
        <w:t>All single-grain measurements were made using the single-aliquot regenerative-dose (SAR) procedure (Galbraith et al., 1999; Murray and Wintle, 2000). The SAR procedure involves measuring the OSL signals from the natural (burial) dose (L</w:t>
      </w:r>
      <w:r w:rsidRPr="006057FC">
        <w:rPr>
          <w:vertAlign w:val="subscript"/>
          <w:lang w:val="en-US"/>
        </w:rPr>
        <w:t>n</w:t>
      </w:r>
      <w:r w:rsidRPr="006057FC">
        <w:rPr>
          <w:lang w:val="en-US"/>
        </w:rPr>
        <w:t>) and from a series of regenerative doses to adequately bracket L</w:t>
      </w:r>
      <w:r w:rsidRPr="006057FC">
        <w:rPr>
          <w:vertAlign w:val="subscript"/>
          <w:lang w:val="en-US"/>
        </w:rPr>
        <w:t>n</w:t>
      </w:r>
      <w:r w:rsidRPr="006057FC">
        <w:rPr>
          <w:lang w:val="en-US"/>
        </w:rPr>
        <w:t xml:space="preserve"> and define the shape of individual dose response curves. Grains were preheated at 2</w:t>
      </w:r>
      <w:r w:rsidR="00385C46" w:rsidRPr="006057FC">
        <w:rPr>
          <w:lang w:val="en-US"/>
        </w:rPr>
        <w:t>6</w:t>
      </w:r>
      <w:r w:rsidRPr="006057FC">
        <w:rPr>
          <w:lang w:val="en-US"/>
        </w:rPr>
        <w:t xml:space="preserve">0°C for 10 s prior to optical stimulation by an intense, green (532 nm) laser beam for 2 s at 125°C. A fixed test dose (~10 </w:t>
      </w:r>
      <w:r w:rsidR="00385C46" w:rsidRPr="006057FC">
        <w:rPr>
          <w:lang w:val="en-US"/>
        </w:rPr>
        <w:t>Gy</w:t>
      </w:r>
      <w:r w:rsidRPr="006057FC">
        <w:rPr>
          <w:lang w:val="en-US"/>
        </w:rPr>
        <w:t>, preheated at 160°C for 5 s) was given after each natural and regenerative dose, and the induced OSL signals (T</w:t>
      </w:r>
      <w:r w:rsidRPr="006057FC">
        <w:rPr>
          <w:vertAlign w:val="subscript"/>
          <w:lang w:val="en-US"/>
        </w:rPr>
        <w:t>n</w:t>
      </w:r>
      <w:r w:rsidRPr="006057FC">
        <w:rPr>
          <w:lang w:val="en-US"/>
        </w:rPr>
        <w:t xml:space="preserve"> and T</w:t>
      </w:r>
      <w:r w:rsidRPr="006057FC">
        <w:rPr>
          <w:vertAlign w:val="subscript"/>
          <w:lang w:val="en-US"/>
        </w:rPr>
        <w:t>x</w:t>
      </w:r>
      <w:r w:rsidRPr="006057FC">
        <w:rPr>
          <w:lang w:val="en-US"/>
        </w:rPr>
        <w:t>) were used to correct for any sensitivity changes during the SAR sequence. A duplicate regenerative dose was included in the sequence to check on the adequacy of this sensitivity correction, and a ‘zero regenerative dose’ measurement cycle was included to monitor the extent of any ‘recuperation’ induced by the preheat treatment. We also applied the OSL IR depletion ratio test (Duller, 2001) to each grain or aliquot at the end of the SAR sequence, using an infrared exposure of 40 s at 50°C. Aberrant grains were rejected using the following quality-assurance criteria:</w:t>
      </w:r>
    </w:p>
    <w:p w14:paraId="1DC2C48B" w14:textId="77777777" w:rsidR="00FB1C4A" w:rsidRPr="006057FC" w:rsidRDefault="00FB1C4A" w:rsidP="00283285">
      <w:pPr>
        <w:numPr>
          <w:ilvl w:val="0"/>
          <w:numId w:val="1"/>
        </w:numPr>
        <w:spacing w:after="120"/>
        <w:ind w:left="1139" w:hanging="357"/>
        <w:rPr>
          <w:lang w:bidi="en-US"/>
        </w:rPr>
      </w:pPr>
      <w:r w:rsidRPr="006057FC">
        <w:rPr>
          <w:lang w:bidi="en-US"/>
        </w:rPr>
        <w:t>The initial T</w:t>
      </w:r>
      <w:r w:rsidRPr="006057FC">
        <w:rPr>
          <w:vertAlign w:val="subscript"/>
          <w:lang w:bidi="en-US"/>
        </w:rPr>
        <w:t>n</w:t>
      </w:r>
      <w:r w:rsidRPr="006057FC">
        <w:rPr>
          <w:lang w:bidi="en-US"/>
        </w:rPr>
        <w:t xml:space="preserve"> signal is less than 3σ above the corresponding background count, or the relative error on T</w:t>
      </w:r>
      <w:r w:rsidRPr="006057FC">
        <w:rPr>
          <w:vertAlign w:val="subscript"/>
          <w:lang w:bidi="en-US"/>
        </w:rPr>
        <w:t>n</w:t>
      </w:r>
      <w:r w:rsidRPr="006057FC">
        <w:rPr>
          <w:lang w:bidi="en-US"/>
        </w:rPr>
        <w:t xml:space="preserve"> is &gt;25%.</w:t>
      </w:r>
    </w:p>
    <w:p w14:paraId="53FAC5DD" w14:textId="77777777" w:rsidR="00FB1C4A" w:rsidRPr="006057FC" w:rsidRDefault="00FB1C4A" w:rsidP="00283285">
      <w:pPr>
        <w:numPr>
          <w:ilvl w:val="0"/>
          <w:numId w:val="1"/>
        </w:numPr>
        <w:spacing w:after="120"/>
        <w:ind w:left="1139" w:hanging="357"/>
        <w:rPr>
          <w:lang w:bidi="en-US"/>
        </w:rPr>
      </w:pPr>
      <w:r w:rsidRPr="006057FC">
        <w:rPr>
          <w:lang w:bidi="en-US"/>
        </w:rPr>
        <w:t xml:space="preserve">The recuperation ratio (i.e., the ratio of the </w:t>
      </w:r>
      <w:r w:rsidRPr="006057FC">
        <w:rPr>
          <w:lang w:val="en-US"/>
        </w:rPr>
        <w:t>L</w:t>
      </w:r>
      <w:r w:rsidRPr="006057FC">
        <w:rPr>
          <w:vertAlign w:val="subscript"/>
          <w:lang w:val="en-US"/>
        </w:rPr>
        <w:t>x</w:t>
      </w:r>
      <w:r w:rsidRPr="006057FC">
        <w:rPr>
          <w:lang w:val="en-US"/>
        </w:rPr>
        <w:t>/T</w:t>
      </w:r>
      <w:r w:rsidRPr="006057FC">
        <w:rPr>
          <w:vertAlign w:val="subscript"/>
          <w:lang w:val="en-US"/>
        </w:rPr>
        <w:t xml:space="preserve">x </w:t>
      </w:r>
      <w:r w:rsidRPr="006057FC">
        <w:rPr>
          <w:lang w:bidi="en-US"/>
        </w:rPr>
        <w:t>values for the 0 Gy and maximum regenerative doses) is &gt;5%.</w:t>
      </w:r>
    </w:p>
    <w:p w14:paraId="5685800F" w14:textId="77777777" w:rsidR="00FB1C4A" w:rsidRPr="006057FC" w:rsidRDefault="00FB1C4A" w:rsidP="00283285">
      <w:pPr>
        <w:numPr>
          <w:ilvl w:val="0"/>
          <w:numId w:val="1"/>
        </w:numPr>
        <w:spacing w:after="120"/>
        <w:ind w:left="1139" w:hanging="357"/>
        <w:rPr>
          <w:lang w:bidi="en-US"/>
        </w:rPr>
      </w:pPr>
      <w:r w:rsidRPr="006057FC">
        <w:rPr>
          <w:lang w:bidi="en-US"/>
        </w:rPr>
        <w:t xml:space="preserve">The recycling ratio (i.e., the ratio of </w:t>
      </w:r>
      <w:r w:rsidRPr="006057FC">
        <w:rPr>
          <w:lang w:val="en-US"/>
        </w:rPr>
        <w:t>L</w:t>
      </w:r>
      <w:r w:rsidRPr="006057FC">
        <w:rPr>
          <w:vertAlign w:val="subscript"/>
          <w:lang w:val="en-US"/>
        </w:rPr>
        <w:t>x</w:t>
      </w:r>
      <w:r w:rsidRPr="006057FC">
        <w:rPr>
          <w:lang w:val="en-US"/>
        </w:rPr>
        <w:t>/T</w:t>
      </w:r>
      <w:r w:rsidRPr="006057FC">
        <w:rPr>
          <w:vertAlign w:val="subscript"/>
          <w:lang w:val="en-US"/>
        </w:rPr>
        <w:t xml:space="preserve">x </w:t>
      </w:r>
      <w:r w:rsidRPr="006057FC">
        <w:rPr>
          <w:lang w:bidi="en-US"/>
        </w:rPr>
        <w:t>values for the duplicate regenerative doses) is not consistent with unity at 2σ.</w:t>
      </w:r>
    </w:p>
    <w:p w14:paraId="5A8E91F2" w14:textId="77777777" w:rsidR="00FB1C4A" w:rsidRPr="006057FC" w:rsidRDefault="00FB1C4A" w:rsidP="00283285">
      <w:pPr>
        <w:numPr>
          <w:ilvl w:val="0"/>
          <w:numId w:val="1"/>
        </w:numPr>
        <w:spacing w:after="120"/>
        <w:ind w:left="1139" w:hanging="357"/>
        <w:rPr>
          <w:lang w:bidi="en-US"/>
        </w:rPr>
      </w:pPr>
      <w:r w:rsidRPr="006057FC">
        <w:rPr>
          <w:lang w:bidi="en-US"/>
        </w:rPr>
        <w:lastRenderedPageBreak/>
        <w:t>The OSL IR depletion ratio is more than 2σ less than unity.</w:t>
      </w:r>
    </w:p>
    <w:p w14:paraId="2A81CA3B" w14:textId="4615FE7F" w:rsidR="00FB1C4A" w:rsidRPr="006057FC" w:rsidRDefault="00FB1C4A" w:rsidP="00283285">
      <w:pPr>
        <w:numPr>
          <w:ilvl w:val="0"/>
          <w:numId w:val="1"/>
        </w:numPr>
        <w:spacing w:after="120"/>
        <w:ind w:left="1139" w:hanging="357"/>
        <w:rPr>
          <w:lang w:bidi="en-US"/>
        </w:rPr>
      </w:pPr>
      <w:r w:rsidRPr="006057FC">
        <w:rPr>
          <w:lang w:bidi="en-US"/>
        </w:rPr>
        <w:t>The L</w:t>
      </w:r>
      <w:r w:rsidRPr="006057FC">
        <w:rPr>
          <w:vertAlign w:val="subscript"/>
          <w:lang w:bidi="en-US"/>
        </w:rPr>
        <w:t>x</w:t>
      </w:r>
      <w:r w:rsidRPr="006057FC">
        <w:rPr>
          <w:lang w:bidi="en-US"/>
        </w:rPr>
        <w:t>/T</w:t>
      </w:r>
      <w:r w:rsidRPr="006057FC">
        <w:rPr>
          <w:vertAlign w:val="subscript"/>
          <w:lang w:bidi="en-US"/>
        </w:rPr>
        <w:t>x</w:t>
      </w:r>
      <w:r w:rsidRPr="006057FC">
        <w:rPr>
          <w:lang w:bidi="en-US"/>
        </w:rPr>
        <w:t xml:space="preserve"> ratios are </w:t>
      </w:r>
      <w:r w:rsidRPr="006057FC">
        <w:rPr>
          <w:lang w:val="en-US"/>
        </w:rPr>
        <w:t xml:space="preserve">too scattered to be reliably fitted with a curve </w:t>
      </w:r>
      <w:r w:rsidR="00385C46" w:rsidRPr="006057FC">
        <w:rPr>
          <w:lang w:val="en-US"/>
        </w:rPr>
        <w:t xml:space="preserve">defined as </w:t>
      </w:r>
      <w:r w:rsidRPr="006057FC">
        <w:rPr>
          <w:lang w:val="en-US"/>
        </w:rPr>
        <w:t>hav</w:t>
      </w:r>
      <w:r w:rsidR="00385C46" w:rsidRPr="006057FC">
        <w:rPr>
          <w:lang w:val="en-US"/>
        </w:rPr>
        <w:t>ing</w:t>
      </w:r>
      <w:r w:rsidRPr="006057FC">
        <w:rPr>
          <w:lang w:val="en-US"/>
        </w:rPr>
        <w:t xml:space="preserve"> a large </w:t>
      </w:r>
      <w:r w:rsidRPr="006057FC">
        <w:rPr>
          <w:lang w:bidi="en-US"/>
        </w:rPr>
        <w:t>figure-of-merit (FOM) or reduced chi-squared (</w:t>
      </w:r>
      <w:proofErr w:type="spellStart"/>
      <w:r w:rsidRPr="006057FC">
        <w:rPr>
          <w:lang w:bidi="en-US"/>
        </w:rPr>
        <w:t>rcs</w:t>
      </w:r>
      <w:proofErr w:type="spellEnd"/>
      <w:r w:rsidRPr="006057FC">
        <w:rPr>
          <w:lang w:bidi="en-US"/>
        </w:rPr>
        <w:t xml:space="preserve">) value. We set an upper limit of 10% for the FOM value and 5 for the </w:t>
      </w:r>
      <w:proofErr w:type="spellStart"/>
      <w:r w:rsidRPr="006057FC">
        <w:rPr>
          <w:lang w:bidi="en-US"/>
        </w:rPr>
        <w:t>rcs</w:t>
      </w:r>
      <w:proofErr w:type="spellEnd"/>
      <w:r w:rsidRPr="006057FC">
        <w:rPr>
          <w:lang w:bidi="en-US"/>
        </w:rPr>
        <w:t xml:space="preserve"> value, which has been demonstrated to select satisfactory </w:t>
      </w:r>
      <w:r w:rsidRPr="006057FC">
        <w:rPr>
          <w:lang w:val="en-US"/>
        </w:rPr>
        <w:t>dose-response curves</w:t>
      </w:r>
      <w:r w:rsidRPr="006057FC">
        <w:rPr>
          <w:lang w:bidi="en-US"/>
        </w:rPr>
        <w:t xml:space="preserve"> (DRCs).</w:t>
      </w:r>
    </w:p>
    <w:p w14:paraId="503800B1" w14:textId="3E8556E0" w:rsidR="00FB1C4A" w:rsidRPr="006057FC" w:rsidRDefault="00385C46" w:rsidP="00283285">
      <w:pPr>
        <w:numPr>
          <w:ilvl w:val="0"/>
          <w:numId w:val="1"/>
        </w:numPr>
        <w:spacing w:after="120"/>
        <w:ind w:left="1139" w:hanging="357"/>
        <w:rPr>
          <w:lang w:bidi="en-US"/>
        </w:rPr>
      </w:pPr>
      <w:r w:rsidRPr="006057FC">
        <w:rPr>
          <w:lang w:bidi="en-US"/>
        </w:rPr>
        <w:t>The L</w:t>
      </w:r>
      <w:r w:rsidRPr="006057FC">
        <w:rPr>
          <w:vertAlign w:val="subscript"/>
          <w:lang w:bidi="en-US"/>
        </w:rPr>
        <w:t>n</w:t>
      </w:r>
      <w:r w:rsidRPr="006057FC">
        <w:rPr>
          <w:lang w:bidi="en-US"/>
        </w:rPr>
        <w:t>/T</w:t>
      </w:r>
      <w:r w:rsidRPr="006057FC">
        <w:rPr>
          <w:vertAlign w:val="subscript"/>
          <w:lang w:bidi="en-US"/>
        </w:rPr>
        <w:t>n</w:t>
      </w:r>
      <w:r w:rsidRPr="006057FC">
        <w:rPr>
          <w:lang w:bidi="en-US"/>
        </w:rPr>
        <w:t xml:space="preserve"> ratio is statistically consistent with, or higher than, the saturation level of the corresponding DRC, so that a finite D</w:t>
      </w:r>
      <w:r w:rsidRPr="006057FC">
        <w:rPr>
          <w:vertAlign w:val="subscript"/>
          <w:lang w:bidi="en-US"/>
        </w:rPr>
        <w:t>e</w:t>
      </w:r>
      <w:r w:rsidRPr="006057FC">
        <w:rPr>
          <w:lang w:bidi="en-US"/>
        </w:rPr>
        <w:t xml:space="preserve"> value and error estimate could not be obtained, or t</w:t>
      </w:r>
      <w:r w:rsidR="00FB1C4A" w:rsidRPr="006057FC">
        <w:rPr>
          <w:lang w:bidi="en-US"/>
        </w:rPr>
        <w:t>he D</w:t>
      </w:r>
      <w:r w:rsidR="00FB1C4A" w:rsidRPr="006057FC">
        <w:rPr>
          <w:vertAlign w:val="subscript"/>
          <w:lang w:bidi="en-US"/>
        </w:rPr>
        <w:t>e</w:t>
      </w:r>
      <w:r w:rsidR="00FB1C4A" w:rsidRPr="006057FC">
        <w:rPr>
          <w:lang w:bidi="en-US"/>
        </w:rPr>
        <w:t xml:space="preserve"> value is obtained by extrapolation of the fitted DRC, rather than interpolation among the regenerative-dose signals.</w:t>
      </w:r>
    </w:p>
    <w:p w14:paraId="4D7525CA" w14:textId="2A3577E9" w:rsidR="003A1AF1" w:rsidRPr="006057FC" w:rsidRDefault="006057FC" w:rsidP="00FB1C4A">
      <w:pPr>
        <w:rPr>
          <w:rFonts w:ascii="Calibri" w:eastAsia="Calibri" w:hAnsi="Calibri" w:cs="Calibri"/>
        </w:rPr>
      </w:pPr>
      <w:r>
        <w:rPr>
          <w:rFonts w:ascii="Calibri" w:eastAsia="Calibri" w:hAnsi="Calibri" w:cs="Calibri"/>
        </w:rPr>
        <w:t>Table S1 l</w:t>
      </w:r>
      <w:r w:rsidR="003A1AF1" w:rsidRPr="006057FC">
        <w:rPr>
          <w:rFonts w:ascii="Calibri" w:eastAsia="Calibri" w:hAnsi="Calibri" w:cs="Calibri"/>
        </w:rPr>
        <w:t>ists the numbers of individual grains measured, rejected and accepted for D</w:t>
      </w:r>
      <w:r w:rsidR="003A1AF1" w:rsidRPr="006057FC">
        <w:rPr>
          <w:rFonts w:ascii="Calibri" w:eastAsia="Calibri" w:hAnsi="Calibri" w:cs="Calibri"/>
          <w:vertAlign w:val="subscript"/>
        </w:rPr>
        <w:t>e</w:t>
      </w:r>
      <w:r w:rsidR="003A1AF1" w:rsidRPr="006057FC">
        <w:rPr>
          <w:rFonts w:ascii="Calibri" w:eastAsia="Calibri" w:hAnsi="Calibri" w:cs="Calibri"/>
        </w:rPr>
        <w:t xml:space="preserve"> determination for the sample, and the reasons for their rejection.</w:t>
      </w:r>
    </w:p>
    <w:p w14:paraId="1E7D5213" w14:textId="77777777" w:rsidR="002C0768" w:rsidRPr="006057FC" w:rsidRDefault="002C0768" w:rsidP="00FB1C4A">
      <w:pPr>
        <w:rPr>
          <w:rFonts w:ascii="Calibri" w:eastAsia="Calibri" w:hAnsi="Calibri" w:cs="Calibri"/>
        </w:rPr>
      </w:pPr>
    </w:p>
    <w:p w14:paraId="58B6F445" w14:textId="28525D29" w:rsidR="00206BDD" w:rsidRPr="006057FC" w:rsidRDefault="00206BDD" w:rsidP="00206BDD">
      <w:pPr>
        <w:spacing w:before="360" w:after="0" w:line="276" w:lineRule="auto"/>
        <w:jc w:val="both"/>
        <w:rPr>
          <w:rFonts w:ascii="Calibri" w:eastAsia="Calibri" w:hAnsi="Calibri" w:cs="Calibri"/>
        </w:rPr>
      </w:pPr>
      <w:r w:rsidRPr="006057FC">
        <w:rPr>
          <w:rFonts w:ascii="Calibri" w:eastAsia="Calibri" w:hAnsi="Calibri" w:cs="Calibri"/>
          <w:b/>
          <w:i/>
        </w:rPr>
        <w:t>Table S1:</w:t>
      </w:r>
      <w:r w:rsidRPr="006057FC">
        <w:rPr>
          <w:rFonts w:ascii="Calibri" w:eastAsia="Calibri" w:hAnsi="Calibri" w:cs="Calibri"/>
          <w:bCs/>
          <w:i/>
        </w:rPr>
        <w:t xml:space="preserve"> Number of individual quartz grains measured, rejected and accepted for each sample, together with the reasons for their rejection (see text for reference to numbers).</w:t>
      </w:r>
    </w:p>
    <w:tbl>
      <w:tblPr>
        <w:tblpPr w:leftFromText="180" w:rightFromText="180" w:vertAnchor="text" w:horzAnchor="margin" w:tblpY="2"/>
        <w:tblW w:w="8189" w:type="dxa"/>
        <w:tblLook w:val="04A0" w:firstRow="1" w:lastRow="0" w:firstColumn="1" w:lastColumn="0" w:noHBand="0" w:noVBand="1"/>
      </w:tblPr>
      <w:tblGrid>
        <w:gridCol w:w="1418"/>
        <w:gridCol w:w="1128"/>
        <w:gridCol w:w="551"/>
        <w:gridCol w:w="551"/>
        <w:gridCol w:w="518"/>
        <w:gridCol w:w="518"/>
        <w:gridCol w:w="551"/>
        <w:gridCol w:w="503"/>
        <w:gridCol w:w="438"/>
        <w:gridCol w:w="970"/>
        <w:gridCol w:w="1043"/>
      </w:tblGrid>
      <w:tr w:rsidR="00B67B67" w:rsidRPr="006057FC" w14:paraId="4BA89F2C" w14:textId="77777777" w:rsidTr="00B67B67">
        <w:trPr>
          <w:trHeight w:val="316"/>
        </w:trPr>
        <w:tc>
          <w:tcPr>
            <w:tcW w:w="1418" w:type="dxa"/>
            <w:vMerge w:val="restart"/>
            <w:tcBorders>
              <w:top w:val="single" w:sz="4" w:space="0" w:color="auto"/>
              <w:left w:val="nil"/>
              <w:right w:val="nil"/>
            </w:tcBorders>
            <w:shd w:val="clear" w:color="auto" w:fill="D9D9D9"/>
            <w:noWrap/>
            <w:vAlign w:val="center"/>
            <w:hideMark/>
          </w:tcPr>
          <w:p w14:paraId="0602AB3E" w14:textId="77777777" w:rsidR="00B67B67" w:rsidRPr="006057FC" w:rsidRDefault="00B67B67" w:rsidP="003A1AF1">
            <w:pPr>
              <w:spacing w:before="40" w:after="40" w:line="240" w:lineRule="auto"/>
              <w:rPr>
                <w:rFonts w:ascii="Calibri" w:eastAsia="Calibri" w:hAnsi="Calibri" w:cs="Calibri"/>
                <w:b/>
                <w:bCs/>
                <w:lang w:eastAsia="en-AU"/>
              </w:rPr>
            </w:pPr>
            <w:r w:rsidRPr="006057FC">
              <w:rPr>
                <w:rFonts w:ascii="Calibri" w:eastAsia="Calibri" w:hAnsi="Calibri" w:cs="Calibri"/>
                <w:b/>
                <w:bCs/>
                <w:lang w:eastAsia="en-AU"/>
              </w:rPr>
              <w:t>Sample</w:t>
            </w:r>
          </w:p>
        </w:tc>
        <w:tc>
          <w:tcPr>
            <w:tcW w:w="1128" w:type="dxa"/>
            <w:vMerge w:val="restart"/>
            <w:tcBorders>
              <w:top w:val="single" w:sz="4" w:space="0" w:color="auto"/>
              <w:left w:val="nil"/>
              <w:right w:val="nil"/>
            </w:tcBorders>
            <w:shd w:val="clear" w:color="auto" w:fill="D9D9D9"/>
            <w:noWrap/>
            <w:vAlign w:val="center"/>
            <w:hideMark/>
          </w:tcPr>
          <w:p w14:paraId="2F7014AF" w14:textId="77777777" w:rsidR="00B67B67" w:rsidRPr="006057FC" w:rsidRDefault="00B67B67" w:rsidP="003A1AF1">
            <w:pPr>
              <w:spacing w:before="40" w:after="40" w:line="240" w:lineRule="auto"/>
              <w:jc w:val="center"/>
              <w:rPr>
                <w:rFonts w:ascii="Calibri" w:eastAsia="Calibri" w:hAnsi="Calibri" w:cs="Calibri"/>
                <w:b/>
                <w:bCs/>
                <w:lang w:eastAsia="en-AU"/>
              </w:rPr>
            </w:pPr>
            <w:r w:rsidRPr="006057FC">
              <w:rPr>
                <w:rFonts w:ascii="Calibri" w:eastAsia="Calibri" w:hAnsi="Calibri" w:cs="Calibri"/>
                <w:b/>
                <w:bCs/>
                <w:lang w:eastAsia="en-AU"/>
              </w:rPr>
              <w:t>No. of measured grains</w:t>
            </w:r>
          </w:p>
        </w:tc>
        <w:tc>
          <w:tcPr>
            <w:tcW w:w="3630" w:type="dxa"/>
            <w:gridSpan w:val="7"/>
            <w:tcBorders>
              <w:top w:val="single" w:sz="4" w:space="0" w:color="auto"/>
              <w:left w:val="nil"/>
              <w:bottom w:val="single" w:sz="4" w:space="0" w:color="auto"/>
              <w:right w:val="nil"/>
            </w:tcBorders>
            <w:shd w:val="clear" w:color="auto" w:fill="D9D9D9"/>
            <w:noWrap/>
            <w:vAlign w:val="center"/>
            <w:hideMark/>
          </w:tcPr>
          <w:p w14:paraId="79D64906" w14:textId="77777777" w:rsidR="00B67B67" w:rsidRPr="006057FC" w:rsidRDefault="00B67B67" w:rsidP="003A1AF1">
            <w:pPr>
              <w:spacing w:before="40" w:after="40" w:line="240" w:lineRule="auto"/>
              <w:jc w:val="center"/>
              <w:rPr>
                <w:rFonts w:ascii="Calibri" w:eastAsia="Calibri" w:hAnsi="Calibri" w:cs="Calibri"/>
                <w:b/>
                <w:bCs/>
                <w:lang w:eastAsia="en-AU"/>
              </w:rPr>
            </w:pPr>
            <w:r w:rsidRPr="006057FC">
              <w:rPr>
                <w:rFonts w:ascii="Calibri" w:eastAsia="Calibri" w:hAnsi="Calibri" w:cs="Calibri"/>
                <w:b/>
                <w:bCs/>
                <w:lang w:eastAsia="en-AU"/>
              </w:rPr>
              <w:t>Rejection criteria (see text)</w:t>
            </w:r>
          </w:p>
        </w:tc>
        <w:tc>
          <w:tcPr>
            <w:tcW w:w="970" w:type="dxa"/>
            <w:vMerge w:val="restart"/>
            <w:tcBorders>
              <w:top w:val="single" w:sz="4" w:space="0" w:color="auto"/>
              <w:left w:val="nil"/>
              <w:right w:val="nil"/>
            </w:tcBorders>
            <w:shd w:val="clear" w:color="auto" w:fill="D9D9D9"/>
            <w:vAlign w:val="center"/>
          </w:tcPr>
          <w:p w14:paraId="2CBC6803" w14:textId="77777777" w:rsidR="00B67B67" w:rsidRPr="006057FC" w:rsidRDefault="00B67B67" w:rsidP="003A1AF1">
            <w:pPr>
              <w:spacing w:before="40" w:after="40" w:line="240" w:lineRule="auto"/>
              <w:jc w:val="center"/>
              <w:rPr>
                <w:rFonts w:ascii="Calibri" w:eastAsia="Calibri" w:hAnsi="Calibri" w:cs="Calibri"/>
                <w:b/>
                <w:bCs/>
                <w:lang w:eastAsia="en-AU"/>
              </w:rPr>
            </w:pPr>
            <w:r w:rsidRPr="006057FC">
              <w:rPr>
                <w:rFonts w:ascii="Calibri" w:eastAsia="Calibri" w:hAnsi="Calibri" w:cs="Calibri"/>
                <w:b/>
                <w:bCs/>
                <w:lang w:eastAsia="en-AU"/>
              </w:rPr>
              <w:t>Sum of rejected grains</w:t>
            </w:r>
          </w:p>
        </w:tc>
        <w:tc>
          <w:tcPr>
            <w:tcW w:w="1043" w:type="dxa"/>
            <w:vMerge w:val="restart"/>
            <w:tcBorders>
              <w:top w:val="single" w:sz="4" w:space="0" w:color="auto"/>
              <w:left w:val="nil"/>
              <w:right w:val="nil"/>
            </w:tcBorders>
            <w:shd w:val="clear" w:color="auto" w:fill="D9D9D9"/>
            <w:vAlign w:val="center"/>
          </w:tcPr>
          <w:p w14:paraId="52EF063E" w14:textId="77777777" w:rsidR="00B67B67" w:rsidRPr="006057FC" w:rsidRDefault="00B67B67" w:rsidP="003A1AF1">
            <w:pPr>
              <w:spacing w:before="40" w:after="40" w:line="240" w:lineRule="auto"/>
              <w:jc w:val="center"/>
              <w:rPr>
                <w:rFonts w:ascii="Calibri" w:eastAsia="Calibri" w:hAnsi="Calibri" w:cs="Calibri"/>
                <w:b/>
                <w:bCs/>
                <w:lang w:eastAsia="en-AU"/>
              </w:rPr>
            </w:pPr>
            <w:r w:rsidRPr="006057FC">
              <w:rPr>
                <w:rFonts w:ascii="Calibri" w:eastAsia="Calibri" w:hAnsi="Calibri" w:cs="Calibri"/>
                <w:b/>
                <w:bCs/>
                <w:lang w:eastAsia="en-AU"/>
              </w:rPr>
              <w:t>No. of accepted grains</w:t>
            </w:r>
          </w:p>
        </w:tc>
      </w:tr>
      <w:tr w:rsidR="00B67B67" w:rsidRPr="006057FC" w14:paraId="0392A6B2" w14:textId="77777777" w:rsidTr="00B67B67">
        <w:trPr>
          <w:trHeight w:val="316"/>
        </w:trPr>
        <w:tc>
          <w:tcPr>
            <w:tcW w:w="1418" w:type="dxa"/>
            <w:vMerge/>
            <w:tcBorders>
              <w:left w:val="nil"/>
              <w:bottom w:val="single" w:sz="4" w:space="0" w:color="auto"/>
              <w:right w:val="nil"/>
            </w:tcBorders>
            <w:shd w:val="clear" w:color="auto" w:fill="auto"/>
            <w:noWrap/>
            <w:vAlign w:val="center"/>
          </w:tcPr>
          <w:p w14:paraId="1EEF2C82" w14:textId="77777777" w:rsidR="00B67B67" w:rsidRPr="006057FC" w:rsidRDefault="00B67B67" w:rsidP="003A1AF1">
            <w:pPr>
              <w:spacing w:before="40" w:after="40" w:line="240" w:lineRule="auto"/>
              <w:jc w:val="center"/>
              <w:rPr>
                <w:rFonts w:ascii="Calibri" w:eastAsia="Calibri" w:hAnsi="Calibri" w:cs="Calibri"/>
                <w:b/>
                <w:bCs/>
                <w:lang w:eastAsia="en-AU"/>
              </w:rPr>
            </w:pPr>
          </w:p>
        </w:tc>
        <w:tc>
          <w:tcPr>
            <w:tcW w:w="1128" w:type="dxa"/>
            <w:vMerge/>
            <w:tcBorders>
              <w:left w:val="nil"/>
              <w:bottom w:val="single" w:sz="4" w:space="0" w:color="auto"/>
              <w:right w:val="nil"/>
            </w:tcBorders>
            <w:shd w:val="clear" w:color="auto" w:fill="auto"/>
            <w:noWrap/>
            <w:vAlign w:val="center"/>
          </w:tcPr>
          <w:p w14:paraId="588B42AE" w14:textId="77777777" w:rsidR="00B67B67" w:rsidRPr="006057FC" w:rsidRDefault="00B67B67" w:rsidP="003A1AF1">
            <w:pPr>
              <w:spacing w:before="40" w:after="40" w:line="240" w:lineRule="auto"/>
              <w:jc w:val="center"/>
              <w:rPr>
                <w:rFonts w:ascii="Calibri" w:eastAsia="Calibri" w:hAnsi="Calibri" w:cs="Calibri"/>
                <w:b/>
                <w:bCs/>
                <w:lang w:eastAsia="en-AU"/>
              </w:rPr>
            </w:pPr>
          </w:p>
        </w:tc>
        <w:tc>
          <w:tcPr>
            <w:tcW w:w="551" w:type="dxa"/>
            <w:tcBorders>
              <w:top w:val="single" w:sz="4" w:space="0" w:color="auto"/>
              <w:left w:val="nil"/>
              <w:bottom w:val="single" w:sz="4" w:space="0" w:color="auto"/>
              <w:right w:val="nil"/>
            </w:tcBorders>
            <w:shd w:val="clear" w:color="auto" w:fill="D9D9D9"/>
            <w:noWrap/>
            <w:vAlign w:val="center"/>
          </w:tcPr>
          <w:p w14:paraId="7189E3AD" w14:textId="77777777" w:rsidR="00B67B67" w:rsidRPr="006057FC" w:rsidRDefault="00B67B67" w:rsidP="003A1AF1">
            <w:pPr>
              <w:spacing w:before="40" w:after="40" w:line="240" w:lineRule="auto"/>
              <w:jc w:val="center"/>
              <w:rPr>
                <w:rFonts w:ascii="Calibri" w:eastAsia="Calibri" w:hAnsi="Calibri" w:cs="Calibri"/>
                <w:b/>
                <w:bCs/>
                <w:lang w:eastAsia="en-AU"/>
              </w:rPr>
            </w:pPr>
            <w:r w:rsidRPr="006057FC">
              <w:rPr>
                <w:rFonts w:ascii="Calibri" w:eastAsia="Calibri" w:hAnsi="Calibri" w:cs="Calibri"/>
                <w:b/>
                <w:bCs/>
                <w:lang w:eastAsia="en-AU"/>
              </w:rPr>
              <w:t>1</w:t>
            </w:r>
          </w:p>
        </w:tc>
        <w:tc>
          <w:tcPr>
            <w:tcW w:w="551" w:type="dxa"/>
            <w:tcBorders>
              <w:top w:val="single" w:sz="4" w:space="0" w:color="auto"/>
              <w:left w:val="nil"/>
              <w:bottom w:val="single" w:sz="4" w:space="0" w:color="auto"/>
              <w:right w:val="nil"/>
            </w:tcBorders>
            <w:shd w:val="clear" w:color="auto" w:fill="D9D9D9"/>
            <w:vAlign w:val="center"/>
          </w:tcPr>
          <w:p w14:paraId="51F05537" w14:textId="77777777" w:rsidR="00B67B67" w:rsidRPr="006057FC" w:rsidRDefault="00B67B67" w:rsidP="003A1AF1">
            <w:pPr>
              <w:spacing w:before="40" w:after="40" w:line="240" w:lineRule="auto"/>
              <w:jc w:val="center"/>
              <w:rPr>
                <w:rFonts w:ascii="Calibri" w:eastAsia="Calibri" w:hAnsi="Calibri" w:cs="Calibri"/>
                <w:b/>
                <w:bCs/>
                <w:lang w:eastAsia="en-AU"/>
              </w:rPr>
            </w:pPr>
            <w:r w:rsidRPr="006057FC">
              <w:rPr>
                <w:rFonts w:ascii="Calibri" w:eastAsia="Calibri" w:hAnsi="Calibri" w:cs="Calibri"/>
                <w:b/>
                <w:bCs/>
                <w:lang w:eastAsia="en-AU"/>
              </w:rPr>
              <w:t>2</w:t>
            </w:r>
          </w:p>
        </w:tc>
        <w:tc>
          <w:tcPr>
            <w:tcW w:w="518" w:type="dxa"/>
            <w:tcBorders>
              <w:top w:val="single" w:sz="4" w:space="0" w:color="auto"/>
              <w:left w:val="nil"/>
              <w:bottom w:val="single" w:sz="4" w:space="0" w:color="auto"/>
              <w:right w:val="nil"/>
            </w:tcBorders>
            <w:shd w:val="clear" w:color="auto" w:fill="D9D9D9"/>
            <w:vAlign w:val="center"/>
          </w:tcPr>
          <w:p w14:paraId="0C01F214" w14:textId="77777777" w:rsidR="00B67B67" w:rsidRPr="006057FC" w:rsidRDefault="00B67B67" w:rsidP="003A1AF1">
            <w:pPr>
              <w:spacing w:before="40" w:after="40" w:line="240" w:lineRule="auto"/>
              <w:jc w:val="center"/>
              <w:rPr>
                <w:rFonts w:ascii="Calibri" w:eastAsia="Calibri" w:hAnsi="Calibri" w:cs="Calibri"/>
                <w:b/>
                <w:bCs/>
                <w:lang w:eastAsia="en-AU"/>
              </w:rPr>
            </w:pPr>
            <w:r w:rsidRPr="006057FC">
              <w:rPr>
                <w:rFonts w:ascii="Calibri" w:eastAsia="Calibri" w:hAnsi="Calibri" w:cs="Calibri"/>
                <w:b/>
                <w:bCs/>
                <w:lang w:eastAsia="en-AU"/>
              </w:rPr>
              <w:t>3</w:t>
            </w:r>
          </w:p>
        </w:tc>
        <w:tc>
          <w:tcPr>
            <w:tcW w:w="518" w:type="dxa"/>
            <w:tcBorders>
              <w:left w:val="nil"/>
              <w:bottom w:val="single" w:sz="4" w:space="0" w:color="auto"/>
              <w:right w:val="nil"/>
            </w:tcBorders>
            <w:shd w:val="clear" w:color="auto" w:fill="D9D9D9"/>
            <w:vAlign w:val="center"/>
          </w:tcPr>
          <w:p w14:paraId="41B0AD9A" w14:textId="77777777" w:rsidR="00B67B67" w:rsidRPr="006057FC" w:rsidRDefault="00B67B67" w:rsidP="003A1AF1">
            <w:pPr>
              <w:spacing w:before="40" w:after="40" w:line="240" w:lineRule="auto"/>
              <w:jc w:val="center"/>
              <w:rPr>
                <w:rFonts w:ascii="Calibri" w:eastAsia="Calibri" w:hAnsi="Calibri" w:cs="Calibri"/>
                <w:b/>
                <w:bCs/>
                <w:lang w:eastAsia="en-AU"/>
              </w:rPr>
            </w:pPr>
            <w:r w:rsidRPr="006057FC">
              <w:rPr>
                <w:rFonts w:ascii="Calibri" w:eastAsia="Calibri" w:hAnsi="Calibri" w:cs="Calibri"/>
                <w:b/>
                <w:bCs/>
                <w:lang w:eastAsia="en-AU"/>
              </w:rPr>
              <w:t>4</w:t>
            </w:r>
          </w:p>
        </w:tc>
        <w:tc>
          <w:tcPr>
            <w:tcW w:w="518" w:type="dxa"/>
            <w:tcBorders>
              <w:left w:val="nil"/>
              <w:bottom w:val="single" w:sz="4" w:space="0" w:color="auto"/>
              <w:right w:val="nil"/>
            </w:tcBorders>
            <w:shd w:val="clear" w:color="auto" w:fill="D9D9D9"/>
            <w:vAlign w:val="center"/>
          </w:tcPr>
          <w:p w14:paraId="3200B999" w14:textId="77777777" w:rsidR="00B67B67" w:rsidRPr="006057FC" w:rsidRDefault="00B67B67" w:rsidP="003A1AF1">
            <w:pPr>
              <w:spacing w:before="40" w:after="40" w:line="240" w:lineRule="auto"/>
              <w:jc w:val="center"/>
              <w:rPr>
                <w:rFonts w:ascii="Calibri" w:eastAsia="Calibri" w:hAnsi="Calibri" w:cs="Calibri"/>
                <w:b/>
                <w:bCs/>
                <w:lang w:eastAsia="en-AU"/>
              </w:rPr>
            </w:pPr>
            <w:r w:rsidRPr="006057FC">
              <w:rPr>
                <w:rFonts w:ascii="Calibri" w:eastAsia="Calibri" w:hAnsi="Calibri" w:cs="Calibri"/>
                <w:b/>
                <w:bCs/>
                <w:lang w:eastAsia="en-AU"/>
              </w:rPr>
              <w:t>5</w:t>
            </w:r>
          </w:p>
        </w:tc>
        <w:tc>
          <w:tcPr>
            <w:tcW w:w="503" w:type="dxa"/>
            <w:tcBorders>
              <w:left w:val="nil"/>
              <w:bottom w:val="single" w:sz="4" w:space="0" w:color="auto"/>
              <w:right w:val="nil"/>
            </w:tcBorders>
            <w:shd w:val="clear" w:color="auto" w:fill="D9D9D9"/>
            <w:vAlign w:val="center"/>
          </w:tcPr>
          <w:p w14:paraId="60DCF573" w14:textId="77777777" w:rsidR="00B67B67" w:rsidRPr="006057FC" w:rsidRDefault="00B67B67" w:rsidP="003A1AF1">
            <w:pPr>
              <w:spacing w:before="40" w:after="40" w:line="240" w:lineRule="auto"/>
              <w:jc w:val="center"/>
              <w:rPr>
                <w:rFonts w:ascii="Calibri" w:eastAsia="Calibri" w:hAnsi="Calibri" w:cs="Calibri"/>
                <w:b/>
                <w:bCs/>
                <w:lang w:eastAsia="en-AU"/>
              </w:rPr>
            </w:pPr>
            <w:r w:rsidRPr="006057FC">
              <w:rPr>
                <w:rFonts w:ascii="Calibri" w:eastAsia="Calibri" w:hAnsi="Calibri" w:cs="Calibri"/>
                <w:b/>
                <w:bCs/>
                <w:lang w:eastAsia="en-AU"/>
              </w:rPr>
              <w:t>6</w:t>
            </w:r>
          </w:p>
        </w:tc>
        <w:tc>
          <w:tcPr>
            <w:tcW w:w="471" w:type="dxa"/>
            <w:tcBorders>
              <w:left w:val="nil"/>
              <w:bottom w:val="single" w:sz="4" w:space="0" w:color="auto"/>
              <w:right w:val="nil"/>
            </w:tcBorders>
            <w:shd w:val="clear" w:color="auto" w:fill="D9D9D9"/>
            <w:vAlign w:val="center"/>
          </w:tcPr>
          <w:p w14:paraId="17C138F0" w14:textId="77777777" w:rsidR="00B67B67" w:rsidRPr="006057FC" w:rsidRDefault="00B67B67" w:rsidP="003A1AF1">
            <w:pPr>
              <w:spacing w:before="40" w:after="40" w:line="240" w:lineRule="auto"/>
              <w:jc w:val="center"/>
              <w:rPr>
                <w:rFonts w:ascii="Calibri" w:eastAsia="Calibri" w:hAnsi="Calibri" w:cs="Calibri"/>
                <w:b/>
                <w:bCs/>
                <w:lang w:eastAsia="en-AU"/>
              </w:rPr>
            </w:pPr>
          </w:p>
        </w:tc>
        <w:tc>
          <w:tcPr>
            <w:tcW w:w="970" w:type="dxa"/>
            <w:vMerge/>
            <w:tcBorders>
              <w:left w:val="nil"/>
              <w:bottom w:val="single" w:sz="4" w:space="0" w:color="auto"/>
              <w:right w:val="nil"/>
            </w:tcBorders>
          </w:tcPr>
          <w:p w14:paraId="6AB201D6" w14:textId="77777777" w:rsidR="00B67B67" w:rsidRPr="006057FC" w:rsidRDefault="00B67B67" w:rsidP="003A1AF1">
            <w:pPr>
              <w:spacing w:before="40" w:after="40" w:line="240" w:lineRule="auto"/>
              <w:jc w:val="center"/>
              <w:rPr>
                <w:rFonts w:ascii="Calibri" w:eastAsia="Calibri" w:hAnsi="Calibri" w:cs="Calibri"/>
                <w:b/>
                <w:bCs/>
                <w:lang w:eastAsia="en-AU"/>
              </w:rPr>
            </w:pPr>
          </w:p>
        </w:tc>
        <w:tc>
          <w:tcPr>
            <w:tcW w:w="1043" w:type="dxa"/>
            <w:vMerge/>
            <w:tcBorders>
              <w:left w:val="nil"/>
              <w:bottom w:val="single" w:sz="4" w:space="0" w:color="auto"/>
              <w:right w:val="nil"/>
            </w:tcBorders>
            <w:vAlign w:val="center"/>
          </w:tcPr>
          <w:p w14:paraId="49FD66DA" w14:textId="77777777" w:rsidR="00B67B67" w:rsidRPr="006057FC" w:rsidRDefault="00B67B67" w:rsidP="003A1AF1">
            <w:pPr>
              <w:spacing w:before="40" w:after="40" w:line="240" w:lineRule="auto"/>
              <w:jc w:val="center"/>
              <w:rPr>
                <w:rFonts w:ascii="Calibri" w:eastAsia="Calibri" w:hAnsi="Calibri" w:cs="Calibri"/>
                <w:b/>
                <w:bCs/>
                <w:lang w:eastAsia="en-AU"/>
              </w:rPr>
            </w:pPr>
          </w:p>
        </w:tc>
      </w:tr>
      <w:tr w:rsidR="00B67B67" w:rsidRPr="006057FC" w14:paraId="4B7F8F5F" w14:textId="77777777" w:rsidTr="00B67B67">
        <w:trPr>
          <w:trHeight w:val="304"/>
        </w:trPr>
        <w:tc>
          <w:tcPr>
            <w:tcW w:w="1418" w:type="dxa"/>
            <w:tcBorders>
              <w:top w:val="single" w:sz="4" w:space="0" w:color="auto"/>
              <w:left w:val="nil"/>
              <w:right w:val="nil"/>
            </w:tcBorders>
            <w:shd w:val="clear" w:color="auto" w:fill="auto"/>
            <w:noWrap/>
          </w:tcPr>
          <w:p w14:paraId="2C11A06E" w14:textId="3E67F51E" w:rsidR="00B67B67" w:rsidRPr="006057FC" w:rsidRDefault="00B67B67" w:rsidP="003A1AF1">
            <w:pPr>
              <w:spacing w:before="40" w:after="40" w:line="240" w:lineRule="auto"/>
              <w:rPr>
                <w:rFonts w:ascii="Calibri" w:eastAsia="Calibri" w:hAnsi="Calibri" w:cs="Calibri"/>
                <w:lang w:eastAsia="en-AU"/>
              </w:rPr>
            </w:pPr>
            <w:r w:rsidRPr="006057FC">
              <w:rPr>
                <w:rFonts w:ascii="Calibri" w:eastAsia="Calibri" w:hAnsi="Calibri" w:cs="Calibri"/>
                <w:lang w:eastAsia="en-AU"/>
              </w:rPr>
              <w:t>MRS17-8</w:t>
            </w:r>
          </w:p>
        </w:tc>
        <w:tc>
          <w:tcPr>
            <w:tcW w:w="1128" w:type="dxa"/>
            <w:tcBorders>
              <w:top w:val="single" w:sz="4" w:space="0" w:color="auto"/>
              <w:left w:val="nil"/>
              <w:right w:val="nil"/>
            </w:tcBorders>
            <w:shd w:val="clear" w:color="auto" w:fill="auto"/>
            <w:noWrap/>
            <w:vAlign w:val="center"/>
          </w:tcPr>
          <w:p w14:paraId="3B44646B" w14:textId="009F5271"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1000</w:t>
            </w:r>
          </w:p>
        </w:tc>
        <w:tc>
          <w:tcPr>
            <w:tcW w:w="551" w:type="dxa"/>
            <w:tcBorders>
              <w:top w:val="single" w:sz="4" w:space="0" w:color="auto"/>
              <w:left w:val="nil"/>
              <w:right w:val="nil"/>
            </w:tcBorders>
            <w:shd w:val="clear" w:color="auto" w:fill="auto"/>
            <w:noWrap/>
            <w:vAlign w:val="center"/>
          </w:tcPr>
          <w:p w14:paraId="49CD2926" w14:textId="2FE23F19"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473</w:t>
            </w:r>
          </w:p>
        </w:tc>
        <w:tc>
          <w:tcPr>
            <w:tcW w:w="551" w:type="dxa"/>
            <w:tcBorders>
              <w:top w:val="single" w:sz="4" w:space="0" w:color="auto"/>
              <w:left w:val="nil"/>
              <w:right w:val="nil"/>
            </w:tcBorders>
            <w:vAlign w:val="center"/>
          </w:tcPr>
          <w:p w14:paraId="5EB06D32" w14:textId="547EF6EA"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200</w:t>
            </w:r>
          </w:p>
        </w:tc>
        <w:tc>
          <w:tcPr>
            <w:tcW w:w="518" w:type="dxa"/>
            <w:tcBorders>
              <w:top w:val="single" w:sz="4" w:space="0" w:color="auto"/>
              <w:left w:val="nil"/>
              <w:right w:val="nil"/>
            </w:tcBorders>
            <w:vAlign w:val="center"/>
          </w:tcPr>
          <w:p w14:paraId="315A0190" w14:textId="35877F8A"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2</w:t>
            </w:r>
          </w:p>
        </w:tc>
        <w:tc>
          <w:tcPr>
            <w:tcW w:w="518" w:type="dxa"/>
            <w:tcBorders>
              <w:top w:val="single" w:sz="4" w:space="0" w:color="auto"/>
              <w:left w:val="nil"/>
              <w:right w:val="nil"/>
            </w:tcBorders>
            <w:vAlign w:val="center"/>
          </w:tcPr>
          <w:p w14:paraId="64FAC874" w14:textId="2EBB5BE8"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44</w:t>
            </w:r>
          </w:p>
        </w:tc>
        <w:tc>
          <w:tcPr>
            <w:tcW w:w="518" w:type="dxa"/>
            <w:tcBorders>
              <w:top w:val="single" w:sz="4" w:space="0" w:color="auto"/>
              <w:left w:val="nil"/>
              <w:right w:val="nil"/>
            </w:tcBorders>
            <w:vAlign w:val="center"/>
          </w:tcPr>
          <w:p w14:paraId="03E8ED80" w14:textId="7CC2B6D2"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79</w:t>
            </w:r>
          </w:p>
        </w:tc>
        <w:tc>
          <w:tcPr>
            <w:tcW w:w="503" w:type="dxa"/>
            <w:tcBorders>
              <w:top w:val="single" w:sz="4" w:space="0" w:color="auto"/>
              <w:left w:val="nil"/>
              <w:right w:val="nil"/>
            </w:tcBorders>
            <w:vAlign w:val="center"/>
          </w:tcPr>
          <w:p w14:paraId="19EBF56F" w14:textId="0FBE5AE8"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5</w:t>
            </w:r>
          </w:p>
        </w:tc>
        <w:tc>
          <w:tcPr>
            <w:tcW w:w="471" w:type="dxa"/>
            <w:tcBorders>
              <w:top w:val="single" w:sz="4" w:space="0" w:color="auto"/>
              <w:left w:val="nil"/>
              <w:right w:val="nil"/>
            </w:tcBorders>
            <w:vAlign w:val="center"/>
          </w:tcPr>
          <w:p w14:paraId="0C336411" w14:textId="77777777" w:rsidR="00B67B67" w:rsidRPr="006057FC" w:rsidRDefault="00B67B67" w:rsidP="003A1AF1">
            <w:pPr>
              <w:spacing w:before="40" w:after="40" w:line="240" w:lineRule="auto"/>
              <w:jc w:val="center"/>
              <w:rPr>
                <w:rFonts w:ascii="Calibri" w:eastAsia="Calibri" w:hAnsi="Calibri" w:cs="Calibri"/>
                <w:lang w:eastAsia="en-AU"/>
              </w:rPr>
            </w:pPr>
          </w:p>
        </w:tc>
        <w:tc>
          <w:tcPr>
            <w:tcW w:w="970" w:type="dxa"/>
            <w:tcBorders>
              <w:top w:val="single" w:sz="4" w:space="0" w:color="auto"/>
              <w:left w:val="nil"/>
              <w:right w:val="nil"/>
            </w:tcBorders>
            <w:vAlign w:val="center"/>
          </w:tcPr>
          <w:p w14:paraId="2A929141" w14:textId="095904F7"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803</w:t>
            </w:r>
          </w:p>
        </w:tc>
        <w:tc>
          <w:tcPr>
            <w:tcW w:w="1043" w:type="dxa"/>
            <w:tcBorders>
              <w:top w:val="single" w:sz="4" w:space="0" w:color="auto"/>
              <w:left w:val="nil"/>
              <w:right w:val="nil"/>
            </w:tcBorders>
            <w:vAlign w:val="center"/>
          </w:tcPr>
          <w:p w14:paraId="53DB437A" w14:textId="4885EDDE"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197</w:t>
            </w:r>
          </w:p>
        </w:tc>
      </w:tr>
      <w:tr w:rsidR="00B67B67" w:rsidRPr="006057FC" w14:paraId="12CFC057" w14:textId="77777777" w:rsidTr="00B67B67">
        <w:trPr>
          <w:trHeight w:val="304"/>
        </w:trPr>
        <w:tc>
          <w:tcPr>
            <w:tcW w:w="1418" w:type="dxa"/>
            <w:tcBorders>
              <w:left w:val="nil"/>
              <w:right w:val="nil"/>
            </w:tcBorders>
            <w:shd w:val="clear" w:color="auto" w:fill="auto"/>
            <w:noWrap/>
          </w:tcPr>
          <w:p w14:paraId="0F652CBC" w14:textId="5B7A1B9E" w:rsidR="00B67B67" w:rsidRPr="006057FC" w:rsidRDefault="00B67B67" w:rsidP="003A1AF1">
            <w:pPr>
              <w:spacing w:before="40" w:after="40" w:line="240" w:lineRule="auto"/>
              <w:rPr>
                <w:rFonts w:ascii="Calibri" w:eastAsia="Calibri" w:hAnsi="Calibri" w:cs="Calibri"/>
                <w:lang w:eastAsia="en-AU"/>
              </w:rPr>
            </w:pPr>
            <w:r w:rsidRPr="006057FC">
              <w:rPr>
                <w:rFonts w:ascii="Calibri" w:eastAsia="Calibri" w:hAnsi="Calibri" w:cs="Calibri"/>
                <w:lang w:eastAsia="en-AU"/>
              </w:rPr>
              <w:t>MRS6</w:t>
            </w:r>
          </w:p>
        </w:tc>
        <w:tc>
          <w:tcPr>
            <w:tcW w:w="1128" w:type="dxa"/>
            <w:tcBorders>
              <w:left w:val="nil"/>
              <w:right w:val="nil"/>
            </w:tcBorders>
            <w:shd w:val="clear" w:color="auto" w:fill="auto"/>
            <w:noWrap/>
            <w:vAlign w:val="center"/>
          </w:tcPr>
          <w:p w14:paraId="3771DBC6" w14:textId="419E0418"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1000</w:t>
            </w:r>
          </w:p>
        </w:tc>
        <w:tc>
          <w:tcPr>
            <w:tcW w:w="551" w:type="dxa"/>
            <w:tcBorders>
              <w:left w:val="nil"/>
              <w:right w:val="nil"/>
            </w:tcBorders>
            <w:shd w:val="clear" w:color="auto" w:fill="auto"/>
            <w:noWrap/>
            <w:vAlign w:val="center"/>
          </w:tcPr>
          <w:p w14:paraId="26090C9A" w14:textId="4E82D714"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449</w:t>
            </w:r>
          </w:p>
        </w:tc>
        <w:tc>
          <w:tcPr>
            <w:tcW w:w="551" w:type="dxa"/>
            <w:tcBorders>
              <w:left w:val="nil"/>
              <w:right w:val="nil"/>
            </w:tcBorders>
            <w:vAlign w:val="center"/>
          </w:tcPr>
          <w:p w14:paraId="44354956" w14:textId="1083D4BA"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190</w:t>
            </w:r>
          </w:p>
        </w:tc>
        <w:tc>
          <w:tcPr>
            <w:tcW w:w="518" w:type="dxa"/>
            <w:tcBorders>
              <w:left w:val="nil"/>
              <w:right w:val="nil"/>
            </w:tcBorders>
            <w:vAlign w:val="center"/>
          </w:tcPr>
          <w:p w14:paraId="4B4B3678" w14:textId="2C849925"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1</w:t>
            </w:r>
          </w:p>
        </w:tc>
        <w:tc>
          <w:tcPr>
            <w:tcW w:w="518" w:type="dxa"/>
            <w:tcBorders>
              <w:left w:val="nil"/>
              <w:right w:val="nil"/>
            </w:tcBorders>
            <w:vAlign w:val="center"/>
          </w:tcPr>
          <w:p w14:paraId="1F756559" w14:textId="2B1A963C"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81</w:t>
            </w:r>
          </w:p>
        </w:tc>
        <w:tc>
          <w:tcPr>
            <w:tcW w:w="518" w:type="dxa"/>
            <w:tcBorders>
              <w:left w:val="nil"/>
              <w:right w:val="nil"/>
            </w:tcBorders>
            <w:vAlign w:val="center"/>
          </w:tcPr>
          <w:p w14:paraId="75BDD34E" w14:textId="7617E288"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81</w:t>
            </w:r>
          </w:p>
        </w:tc>
        <w:tc>
          <w:tcPr>
            <w:tcW w:w="503" w:type="dxa"/>
            <w:tcBorders>
              <w:left w:val="nil"/>
              <w:right w:val="nil"/>
            </w:tcBorders>
            <w:vAlign w:val="center"/>
          </w:tcPr>
          <w:p w14:paraId="0E605E96" w14:textId="6275EABA"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7</w:t>
            </w:r>
          </w:p>
        </w:tc>
        <w:tc>
          <w:tcPr>
            <w:tcW w:w="471" w:type="dxa"/>
            <w:tcBorders>
              <w:left w:val="nil"/>
              <w:right w:val="nil"/>
            </w:tcBorders>
            <w:vAlign w:val="center"/>
          </w:tcPr>
          <w:p w14:paraId="22194EBA" w14:textId="77777777" w:rsidR="00B67B67" w:rsidRPr="006057FC" w:rsidRDefault="00B67B67" w:rsidP="003A1AF1">
            <w:pPr>
              <w:spacing w:before="40" w:after="40" w:line="240" w:lineRule="auto"/>
              <w:jc w:val="center"/>
              <w:rPr>
                <w:rFonts w:ascii="Calibri" w:eastAsia="Calibri" w:hAnsi="Calibri" w:cs="Calibri"/>
                <w:lang w:eastAsia="en-AU"/>
              </w:rPr>
            </w:pPr>
          </w:p>
        </w:tc>
        <w:tc>
          <w:tcPr>
            <w:tcW w:w="970" w:type="dxa"/>
            <w:tcBorders>
              <w:left w:val="nil"/>
              <w:right w:val="nil"/>
            </w:tcBorders>
            <w:vAlign w:val="center"/>
          </w:tcPr>
          <w:p w14:paraId="3FEDEBD2" w14:textId="369B5F38"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809</w:t>
            </w:r>
          </w:p>
        </w:tc>
        <w:tc>
          <w:tcPr>
            <w:tcW w:w="1043" w:type="dxa"/>
            <w:tcBorders>
              <w:left w:val="nil"/>
              <w:right w:val="nil"/>
            </w:tcBorders>
            <w:vAlign w:val="center"/>
          </w:tcPr>
          <w:p w14:paraId="257C9E40" w14:textId="7FDEC503"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191</w:t>
            </w:r>
          </w:p>
        </w:tc>
      </w:tr>
      <w:tr w:rsidR="00B67B67" w:rsidRPr="006057FC" w14:paraId="4DF52511" w14:textId="77777777" w:rsidTr="00B67B67">
        <w:trPr>
          <w:trHeight w:val="304"/>
        </w:trPr>
        <w:tc>
          <w:tcPr>
            <w:tcW w:w="1418" w:type="dxa"/>
            <w:tcBorders>
              <w:left w:val="nil"/>
              <w:right w:val="nil"/>
            </w:tcBorders>
            <w:shd w:val="clear" w:color="auto" w:fill="auto"/>
            <w:noWrap/>
          </w:tcPr>
          <w:p w14:paraId="221547A8" w14:textId="24518DF7" w:rsidR="00B67B67" w:rsidRPr="006057FC" w:rsidRDefault="00B67B67" w:rsidP="003A1AF1">
            <w:pPr>
              <w:spacing w:before="40" w:after="40" w:line="240" w:lineRule="auto"/>
              <w:rPr>
                <w:rFonts w:ascii="Calibri" w:eastAsia="Calibri" w:hAnsi="Calibri" w:cs="Calibri"/>
                <w:lang w:eastAsia="en-AU"/>
              </w:rPr>
            </w:pPr>
            <w:r w:rsidRPr="006057FC">
              <w:rPr>
                <w:rFonts w:ascii="Calibri" w:eastAsia="Calibri" w:hAnsi="Calibri" w:cs="Calibri"/>
                <w:lang w:eastAsia="en-AU"/>
              </w:rPr>
              <w:t>MRS5</w:t>
            </w:r>
          </w:p>
        </w:tc>
        <w:tc>
          <w:tcPr>
            <w:tcW w:w="1128" w:type="dxa"/>
            <w:tcBorders>
              <w:left w:val="nil"/>
              <w:right w:val="nil"/>
            </w:tcBorders>
            <w:shd w:val="clear" w:color="auto" w:fill="auto"/>
            <w:noWrap/>
            <w:vAlign w:val="center"/>
          </w:tcPr>
          <w:p w14:paraId="256ABA32" w14:textId="0A8420A7"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1000</w:t>
            </w:r>
          </w:p>
        </w:tc>
        <w:tc>
          <w:tcPr>
            <w:tcW w:w="551" w:type="dxa"/>
            <w:tcBorders>
              <w:left w:val="nil"/>
              <w:right w:val="nil"/>
            </w:tcBorders>
            <w:shd w:val="clear" w:color="auto" w:fill="auto"/>
            <w:noWrap/>
            <w:vAlign w:val="center"/>
          </w:tcPr>
          <w:p w14:paraId="0A75D28E" w14:textId="244F6AC4"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345</w:t>
            </w:r>
          </w:p>
        </w:tc>
        <w:tc>
          <w:tcPr>
            <w:tcW w:w="551" w:type="dxa"/>
            <w:tcBorders>
              <w:left w:val="nil"/>
              <w:right w:val="nil"/>
            </w:tcBorders>
            <w:vAlign w:val="center"/>
          </w:tcPr>
          <w:p w14:paraId="651B4283" w14:textId="2B160FAE"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215</w:t>
            </w:r>
          </w:p>
        </w:tc>
        <w:tc>
          <w:tcPr>
            <w:tcW w:w="518" w:type="dxa"/>
            <w:tcBorders>
              <w:left w:val="nil"/>
              <w:right w:val="nil"/>
            </w:tcBorders>
            <w:vAlign w:val="center"/>
          </w:tcPr>
          <w:p w14:paraId="61D38CE1" w14:textId="4DB26DF4"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1</w:t>
            </w:r>
          </w:p>
        </w:tc>
        <w:tc>
          <w:tcPr>
            <w:tcW w:w="518" w:type="dxa"/>
            <w:tcBorders>
              <w:left w:val="nil"/>
              <w:right w:val="nil"/>
            </w:tcBorders>
            <w:vAlign w:val="center"/>
          </w:tcPr>
          <w:p w14:paraId="0BD08628" w14:textId="63843324" w:rsidR="00B67B67" w:rsidRPr="006057FC" w:rsidRDefault="00B67B67" w:rsidP="00B67B67">
            <w:pPr>
              <w:spacing w:before="40" w:after="40" w:line="240" w:lineRule="auto"/>
              <w:rPr>
                <w:rFonts w:ascii="Calibri" w:eastAsia="Calibri" w:hAnsi="Calibri" w:cs="Calibri"/>
                <w:lang w:eastAsia="en-AU"/>
              </w:rPr>
            </w:pPr>
            <w:r w:rsidRPr="006057FC">
              <w:rPr>
                <w:rFonts w:ascii="Calibri" w:eastAsia="Calibri" w:hAnsi="Calibri" w:cs="Calibri"/>
                <w:lang w:eastAsia="en-AU"/>
              </w:rPr>
              <w:t>62</w:t>
            </w:r>
          </w:p>
        </w:tc>
        <w:tc>
          <w:tcPr>
            <w:tcW w:w="518" w:type="dxa"/>
            <w:tcBorders>
              <w:left w:val="nil"/>
              <w:right w:val="nil"/>
            </w:tcBorders>
            <w:vAlign w:val="center"/>
          </w:tcPr>
          <w:p w14:paraId="59B76E04" w14:textId="168A3270"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129</w:t>
            </w:r>
          </w:p>
        </w:tc>
        <w:tc>
          <w:tcPr>
            <w:tcW w:w="503" w:type="dxa"/>
            <w:tcBorders>
              <w:left w:val="nil"/>
              <w:right w:val="nil"/>
            </w:tcBorders>
            <w:vAlign w:val="center"/>
          </w:tcPr>
          <w:p w14:paraId="6D048636" w14:textId="5E0C5A60"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22</w:t>
            </w:r>
          </w:p>
        </w:tc>
        <w:tc>
          <w:tcPr>
            <w:tcW w:w="471" w:type="dxa"/>
            <w:tcBorders>
              <w:left w:val="nil"/>
              <w:right w:val="nil"/>
            </w:tcBorders>
            <w:vAlign w:val="center"/>
          </w:tcPr>
          <w:p w14:paraId="619DC1FF" w14:textId="77777777" w:rsidR="00B67B67" w:rsidRPr="006057FC" w:rsidRDefault="00B67B67" w:rsidP="003A1AF1">
            <w:pPr>
              <w:spacing w:before="40" w:after="40" w:line="240" w:lineRule="auto"/>
              <w:jc w:val="center"/>
              <w:rPr>
                <w:rFonts w:ascii="Calibri" w:eastAsia="Calibri" w:hAnsi="Calibri" w:cs="Calibri"/>
                <w:lang w:eastAsia="en-AU"/>
              </w:rPr>
            </w:pPr>
          </w:p>
        </w:tc>
        <w:tc>
          <w:tcPr>
            <w:tcW w:w="970" w:type="dxa"/>
            <w:tcBorders>
              <w:left w:val="nil"/>
              <w:right w:val="nil"/>
            </w:tcBorders>
            <w:vAlign w:val="center"/>
          </w:tcPr>
          <w:p w14:paraId="7C28418E" w14:textId="2C9C3B03"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774</w:t>
            </w:r>
          </w:p>
        </w:tc>
        <w:tc>
          <w:tcPr>
            <w:tcW w:w="1043" w:type="dxa"/>
            <w:tcBorders>
              <w:left w:val="nil"/>
              <w:right w:val="nil"/>
            </w:tcBorders>
            <w:vAlign w:val="center"/>
          </w:tcPr>
          <w:p w14:paraId="2F67D056" w14:textId="498C761E"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226</w:t>
            </w:r>
          </w:p>
        </w:tc>
      </w:tr>
      <w:tr w:rsidR="00B67B67" w:rsidRPr="006057FC" w14:paraId="190DAC0E" w14:textId="77777777" w:rsidTr="00B67B67">
        <w:trPr>
          <w:trHeight w:val="304"/>
        </w:trPr>
        <w:tc>
          <w:tcPr>
            <w:tcW w:w="1418" w:type="dxa"/>
            <w:tcBorders>
              <w:left w:val="nil"/>
              <w:right w:val="nil"/>
            </w:tcBorders>
            <w:shd w:val="clear" w:color="auto" w:fill="auto"/>
            <w:noWrap/>
          </w:tcPr>
          <w:p w14:paraId="448393A7" w14:textId="1DEF971A" w:rsidR="00B67B67" w:rsidRPr="006057FC" w:rsidRDefault="00B67B67" w:rsidP="003A1AF1">
            <w:pPr>
              <w:spacing w:before="40" w:after="40" w:line="240" w:lineRule="auto"/>
              <w:rPr>
                <w:rFonts w:ascii="Calibri" w:eastAsia="Calibri" w:hAnsi="Calibri" w:cs="Calibri"/>
                <w:lang w:eastAsia="en-AU"/>
              </w:rPr>
            </w:pPr>
            <w:r w:rsidRPr="006057FC">
              <w:rPr>
                <w:rFonts w:ascii="Calibri" w:eastAsia="Calibri" w:hAnsi="Calibri" w:cs="Calibri"/>
                <w:lang w:eastAsia="en-AU"/>
              </w:rPr>
              <w:t>MRS17-1</w:t>
            </w:r>
          </w:p>
        </w:tc>
        <w:tc>
          <w:tcPr>
            <w:tcW w:w="1128" w:type="dxa"/>
            <w:tcBorders>
              <w:left w:val="nil"/>
              <w:right w:val="nil"/>
            </w:tcBorders>
            <w:shd w:val="clear" w:color="auto" w:fill="auto"/>
            <w:noWrap/>
            <w:vAlign w:val="center"/>
          </w:tcPr>
          <w:p w14:paraId="06C435DD" w14:textId="4DD3097F"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1000</w:t>
            </w:r>
          </w:p>
        </w:tc>
        <w:tc>
          <w:tcPr>
            <w:tcW w:w="551" w:type="dxa"/>
            <w:tcBorders>
              <w:left w:val="nil"/>
              <w:right w:val="nil"/>
            </w:tcBorders>
            <w:shd w:val="clear" w:color="auto" w:fill="auto"/>
            <w:noWrap/>
            <w:vAlign w:val="center"/>
          </w:tcPr>
          <w:p w14:paraId="30532652" w14:textId="7884D770"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487</w:t>
            </w:r>
          </w:p>
        </w:tc>
        <w:tc>
          <w:tcPr>
            <w:tcW w:w="551" w:type="dxa"/>
            <w:tcBorders>
              <w:left w:val="nil"/>
              <w:right w:val="nil"/>
            </w:tcBorders>
            <w:vAlign w:val="center"/>
          </w:tcPr>
          <w:p w14:paraId="00F1D2C3" w14:textId="1E24D0FD"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154</w:t>
            </w:r>
          </w:p>
        </w:tc>
        <w:tc>
          <w:tcPr>
            <w:tcW w:w="518" w:type="dxa"/>
            <w:tcBorders>
              <w:left w:val="nil"/>
              <w:right w:val="nil"/>
            </w:tcBorders>
            <w:vAlign w:val="center"/>
          </w:tcPr>
          <w:p w14:paraId="582F3471" w14:textId="05723C13"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4</w:t>
            </w:r>
          </w:p>
        </w:tc>
        <w:tc>
          <w:tcPr>
            <w:tcW w:w="518" w:type="dxa"/>
            <w:tcBorders>
              <w:left w:val="nil"/>
              <w:right w:val="nil"/>
            </w:tcBorders>
            <w:vAlign w:val="center"/>
          </w:tcPr>
          <w:p w14:paraId="25FBB655" w14:textId="21C2592D"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44</w:t>
            </w:r>
          </w:p>
        </w:tc>
        <w:tc>
          <w:tcPr>
            <w:tcW w:w="518" w:type="dxa"/>
            <w:tcBorders>
              <w:left w:val="nil"/>
              <w:right w:val="nil"/>
            </w:tcBorders>
            <w:vAlign w:val="center"/>
          </w:tcPr>
          <w:p w14:paraId="448EB3AB" w14:textId="3BD315D9"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74</w:t>
            </w:r>
          </w:p>
        </w:tc>
        <w:tc>
          <w:tcPr>
            <w:tcW w:w="503" w:type="dxa"/>
            <w:tcBorders>
              <w:left w:val="nil"/>
              <w:right w:val="nil"/>
            </w:tcBorders>
            <w:vAlign w:val="center"/>
          </w:tcPr>
          <w:p w14:paraId="318F8A54" w14:textId="2D2C0530"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20</w:t>
            </w:r>
          </w:p>
        </w:tc>
        <w:tc>
          <w:tcPr>
            <w:tcW w:w="471" w:type="dxa"/>
            <w:tcBorders>
              <w:left w:val="nil"/>
              <w:right w:val="nil"/>
            </w:tcBorders>
            <w:vAlign w:val="center"/>
          </w:tcPr>
          <w:p w14:paraId="6ABA7EDF" w14:textId="77777777" w:rsidR="00B67B67" w:rsidRPr="006057FC" w:rsidRDefault="00B67B67" w:rsidP="003A1AF1">
            <w:pPr>
              <w:spacing w:before="40" w:after="40" w:line="240" w:lineRule="auto"/>
              <w:jc w:val="center"/>
              <w:rPr>
                <w:rFonts w:ascii="Calibri" w:eastAsia="Calibri" w:hAnsi="Calibri" w:cs="Calibri"/>
                <w:lang w:eastAsia="en-AU"/>
              </w:rPr>
            </w:pPr>
          </w:p>
        </w:tc>
        <w:tc>
          <w:tcPr>
            <w:tcW w:w="970" w:type="dxa"/>
            <w:tcBorders>
              <w:left w:val="nil"/>
              <w:right w:val="nil"/>
            </w:tcBorders>
            <w:vAlign w:val="center"/>
          </w:tcPr>
          <w:p w14:paraId="0FA2205C" w14:textId="1E9AD333"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783</w:t>
            </w:r>
          </w:p>
        </w:tc>
        <w:tc>
          <w:tcPr>
            <w:tcW w:w="1043" w:type="dxa"/>
            <w:tcBorders>
              <w:left w:val="nil"/>
              <w:right w:val="nil"/>
            </w:tcBorders>
            <w:vAlign w:val="center"/>
          </w:tcPr>
          <w:p w14:paraId="59C019C0" w14:textId="3271B282"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217</w:t>
            </w:r>
          </w:p>
        </w:tc>
      </w:tr>
      <w:tr w:rsidR="00B67B67" w:rsidRPr="006057FC" w14:paraId="78133ACE" w14:textId="77777777" w:rsidTr="00B67B67">
        <w:trPr>
          <w:trHeight w:val="304"/>
        </w:trPr>
        <w:tc>
          <w:tcPr>
            <w:tcW w:w="1418" w:type="dxa"/>
            <w:tcBorders>
              <w:left w:val="nil"/>
              <w:right w:val="nil"/>
            </w:tcBorders>
            <w:shd w:val="clear" w:color="auto" w:fill="auto"/>
            <w:noWrap/>
          </w:tcPr>
          <w:p w14:paraId="6493D7C9" w14:textId="246C36CF" w:rsidR="00B67B67" w:rsidRPr="006057FC" w:rsidRDefault="00B67B67" w:rsidP="003A1AF1">
            <w:pPr>
              <w:spacing w:before="40" w:after="40" w:line="240" w:lineRule="auto"/>
              <w:rPr>
                <w:rFonts w:ascii="Calibri" w:eastAsia="Calibri" w:hAnsi="Calibri" w:cs="Calibri"/>
                <w:lang w:eastAsia="en-AU"/>
              </w:rPr>
            </w:pPr>
            <w:r w:rsidRPr="006057FC">
              <w:rPr>
                <w:rFonts w:ascii="Calibri" w:eastAsia="Calibri" w:hAnsi="Calibri" w:cs="Calibri"/>
                <w:lang w:eastAsia="en-AU"/>
              </w:rPr>
              <w:t>MRS7</w:t>
            </w:r>
          </w:p>
        </w:tc>
        <w:tc>
          <w:tcPr>
            <w:tcW w:w="1128" w:type="dxa"/>
            <w:tcBorders>
              <w:left w:val="nil"/>
              <w:right w:val="nil"/>
            </w:tcBorders>
            <w:shd w:val="clear" w:color="auto" w:fill="auto"/>
            <w:noWrap/>
            <w:vAlign w:val="center"/>
          </w:tcPr>
          <w:p w14:paraId="16CA1D3A" w14:textId="30EA4F19"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1000</w:t>
            </w:r>
          </w:p>
        </w:tc>
        <w:tc>
          <w:tcPr>
            <w:tcW w:w="551" w:type="dxa"/>
            <w:tcBorders>
              <w:left w:val="nil"/>
              <w:right w:val="nil"/>
            </w:tcBorders>
            <w:shd w:val="clear" w:color="auto" w:fill="auto"/>
            <w:noWrap/>
            <w:vAlign w:val="center"/>
          </w:tcPr>
          <w:p w14:paraId="62D0006D" w14:textId="3F4A97DB"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602</w:t>
            </w:r>
          </w:p>
        </w:tc>
        <w:tc>
          <w:tcPr>
            <w:tcW w:w="551" w:type="dxa"/>
            <w:tcBorders>
              <w:left w:val="nil"/>
              <w:right w:val="nil"/>
            </w:tcBorders>
            <w:vAlign w:val="center"/>
          </w:tcPr>
          <w:p w14:paraId="60AD44F0" w14:textId="1EE9C500"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101</w:t>
            </w:r>
          </w:p>
        </w:tc>
        <w:tc>
          <w:tcPr>
            <w:tcW w:w="518" w:type="dxa"/>
            <w:tcBorders>
              <w:left w:val="nil"/>
              <w:right w:val="nil"/>
            </w:tcBorders>
            <w:vAlign w:val="center"/>
          </w:tcPr>
          <w:p w14:paraId="723AA83D" w14:textId="09374933"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2</w:t>
            </w:r>
          </w:p>
        </w:tc>
        <w:tc>
          <w:tcPr>
            <w:tcW w:w="518" w:type="dxa"/>
            <w:tcBorders>
              <w:left w:val="nil"/>
              <w:right w:val="nil"/>
            </w:tcBorders>
            <w:vAlign w:val="center"/>
          </w:tcPr>
          <w:p w14:paraId="4F55326E" w14:textId="7C2171C5"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54</w:t>
            </w:r>
          </w:p>
        </w:tc>
        <w:tc>
          <w:tcPr>
            <w:tcW w:w="518" w:type="dxa"/>
            <w:tcBorders>
              <w:left w:val="nil"/>
              <w:right w:val="nil"/>
            </w:tcBorders>
            <w:vAlign w:val="center"/>
          </w:tcPr>
          <w:p w14:paraId="127C92FC" w14:textId="40D54C9F"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64</w:t>
            </w:r>
          </w:p>
        </w:tc>
        <w:tc>
          <w:tcPr>
            <w:tcW w:w="503" w:type="dxa"/>
            <w:tcBorders>
              <w:left w:val="nil"/>
              <w:right w:val="nil"/>
            </w:tcBorders>
            <w:vAlign w:val="center"/>
          </w:tcPr>
          <w:p w14:paraId="501F8C09" w14:textId="7D9F8BC7"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23</w:t>
            </w:r>
          </w:p>
        </w:tc>
        <w:tc>
          <w:tcPr>
            <w:tcW w:w="471" w:type="dxa"/>
            <w:tcBorders>
              <w:left w:val="nil"/>
              <w:right w:val="nil"/>
            </w:tcBorders>
            <w:vAlign w:val="center"/>
          </w:tcPr>
          <w:p w14:paraId="654C21D7" w14:textId="77777777" w:rsidR="00B67B67" w:rsidRPr="006057FC" w:rsidRDefault="00B67B67" w:rsidP="003A1AF1">
            <w:pPr>
              <w:spacing w:before="40" w:after="40" w:line="240" w:lineRule="auto"/>
              <w:jc w:val="center"/>
              <w:rPr>
                <w:rFonts w:ascii="Calibri" w:eastAsia="Calibri" w:hAnsi="Calibri" w:cs="Calibri"/>
                <w:lang w:eastAsia="en-AU"/>
              </w:rPr>
            </w:pPr>
          </w:p>
        </w:tc>
        <w:tc>
          <w:tcPr>
            <w:tcW w:w="970" w:type="dxa"/>
            <w:tcBorders>
              <w:left w:val="nil"/>
              <w:right w:val="nil"/>
            </w:tcBorders>
            <w:vAlign w:val="center"/>
          </w:tcPr>
          <w:p w14:paraId="34BB1683" w14:textId="10FEC92E"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846</w:t>
            </w:r>
          </w:p>
        </w:tc>
        <w:tc>
          <w:tcPr>
            <w:tcW w:w="1043" w:type="dxa"/>
            <w:tcBorders>
              <w:left w:val="nil"/>
              <w:right w:val="nil"/>
            </w:tcBorders>
            <w:vAlign w:val="center"/>
          </w:tcPr>
          <w:p w14:paraId="085B7E87" w14:textId="54CF62D3"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154</w:t>
            </w:r>
          </w:p>
        </w:tc>
      </w:tr>
      <w:tr w:rsidR="00B67B67" w:rsidRPr="006057FC" w14:paraId="44ADB6BD" w14:textId="77777777" w:rsidTr="00B67B67">
        <w:trPr>
          <w:trHeight w:val="304"/>
        </w:trPr>
        <w:tc>
          <w:tcPr>
            <w:tcW w:w="1418" w:type="dxa"/>
            <w:tcBorders>
              <w:left w:val="nil"/>
              <w:right w:val="nil"/>
            </w:tcBorders>
            <w:shd w:val="clear" w:color="auto" w:fill="auto"/>
            <w:noWrap/>
          </w:tcPr>
          <w:p w14:paraId="3A231388" w14:textId="774EB636" w:rsidR="00B67B67" w:rsidRPr="006057FC" w:rsidRDefault="00B67B67" w:rsidP="003A1AF1">
            <w:pPr>
              <w:spacing w:before="40" w:after="40" w:line="240" w:lineRule="auto"/>
              <w:rPr>
                <w:rFonts w:ascii="Calibri" w:eastAsia="Calibri" w:hAnsi="Calibri" w:cs="Calibri"/>
                <w:lang w:eastAsia="en-AU"/>
              </w:rPr>
            </w:pPr>
            <w:r w:rsidRPr="006057FC">
              <w:rPr>
                <w:rFonts w:ascii="Calibri" w:eastAsia="Calibri" w:hAnsi="Calibri" w:cs="Calibri"/>
                <w:lang w:eastAsia="en-AU"/>
              </w:rPr>
              <w:t>MRS8</w:t>
            </w:r>
          </w:p>
        </w:tc>
        <w:tc>
          <w:tcPr>
            <w:tcW w:w="1128" w:type="dxa"/>
            <w:tcBorders>
              <w:left w:val="nil"/>
              <w:right w:val="nil"/>
            </w:tcBorders>
            <w:shd w:val="clear" w:color="auto" w:fill="auto"/>
            <w:noWrap/>
            <w:vAlign w:val="center"/>
          </w:tcPr>
          <w:p w14:paraId="6EB11B80" w14:textId="1D7D95D5"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1000</w:t>
            </w:r>
          </w:p>
        </w:tc>
        <w:tc>
          <w:tcPr>
            <w:tcW w:w="551" w:type="dxa"/>
            <w:tcBorders>
              <w:left w:val="nil"/>
              <w:right w:val="nil"/>
            </w:tcBorders>
            <w:shd w:val="clear" w:color="auto" w:fill="auto"/>
            <w:noWrap/>
            <w:vAlign w:val="center"/>
          </w:tcPr>
          <w:p w14:paraId="1B78E833" w14:textId="20E3F4EE"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565</w:t>
            </w:r>
          </w:p>
        </w:tc>
        <w:tc>
          <w:tcPr>
            <w:tcW w:w="551" w:type="dxa"/>
            <w:tcBorders>
              <w:left w:val="nil"/>
              <w:right w:val="nil"/>
            </w:tcBorders>
            <w:vAlign w:val="center"/>
          </w:tcPr>
          <w:p w14:paraId="0870B92F" w14:textId="4039B32C"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141</w:t>
            </w:r>
          </w:p>
        </w:tc>
        <w:tc>
          <w:tcPr>
            <w:tcW w:w="518" w:type="dxa"/>
            <w:tcBorders>
              <w:left w:val="nil"/>
              <w:right w:val="nil"/>
            </w:tcBorders>
            <w:vAlign w:val="center"/>
          </w:tcPr>
          <w:p w14:paraId="677CEC94" w14:textId="0CB9F1B2"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2</w:t>
            </w:r>
          </w:p>
        </w:tc>
        <w:tc>
          <w:tcPr>
            <w:tcW w:w="518" w:type="dxa"/>
            <w:tcBorders>
              <w:left w:val="nil"/>
              <w:right w:val="nil"/>
            </w:tcBorders>
            <w:vAlign w:val="center"/>
          </w:tcPr>
          <w:p w14:paraId="3E8CE5EC" w14:textId="65E4403B" w:rsidR="00B67B67" w:rsidRPr="006057FC" w:rsidRDefault="00B67B67" w:rsidP="00B67B67">
            <w:pPr>
              <w:spacing w:before="40" w:after="40" w:line="240" w:lineRule="auto"/>
              <w:rPr>
                <w:rFonts w:ascii="Calibri" w:eastAsia="Calibri" w:hAnsi="Calibri" w:cs="Calibri"/>
                <w:lang w:eastAsia="en-AU"/>
              </w:rPr>
            </w:pPr>
            <w:r w:rsidRPr="006057FC">
              <w:rPr>
                <w:rFonts w:ascii="Calibri" w:eastAsia="Calibri" w:hAnsi="Calibri" w:cs="Calibri"/>
                <w:lang w:eastAsia="en-AU"/>
              </w:rPr>
              <w:t>50</w:t>
            </w:r>
          </w:p>
        </w:tc>
        <w:tc>
          <w:tcPr>
            <w:tcW w:w="518" w:type="dxa"/>
            <w:tcBorders>
              <w:left w:val="nil"/>
              <w:right w:val="nil"/>
            </w:tcBorders>
            <w:vAlign w:val="center"/>
          </w:tcPr>
          <w:p w14:paraId="3E5D67C0" w14:textId="6E4495A2"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75</w:t>
            </w:r>
          </w:p>
        </w:tc>
        <w:tc>
          <w:tcPr>
            <w:tcW w:w="503" w:type="dxa"/>
            <w:tcBorders>
              <w:left w:val="nil"/>
              <w:right w:val="nil"/>
            </w:tcBorders>
            <w:vAlign w:val="center"/>
          </w:tcPr>
          <w:p w14:paraId="20620280" w14:textId="5ECA57B8"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26</w:t>
            </w:r>
          </w:p>
        </w:tc>
        <w:tc>
          <w:tcPr>
            <w:tcW w:w="471" w:type="dxa"/>
            <w:tcBorders>
              <w:left w:val="nil"/>
              <w:right w:val="nil"/>
            </w:tcBorders>
            <w:vAlign w:val="center"/>
          </w:tcPr>
          <w:p w14:paraId="6B06A27E" w14:textId="77777777" w:rsidR="00B67B67" w:rsidRPr="006057FC" w:rsidRDefault="00B67B67" w:rsidP="003A1AF1">
            <w:pPr>
              <w:spacing w:before="40" w:after="40" w:line="240" w:lineRule="auto"/>
              <w:jc w:val="center"/>
              <w:rPr>
                <w:rFonts w:ascii="Calibri" w:eastAsia="Calibri" w:hAnsi="Calibri" w:cs="Calibri"/>
                <w:lang w:eastAsia="en-AU"/>
              </w:rPr>
            </w:pPr>
          </w:p>
        </w:tc>
        <w:tc>
          <w:tcPr>
            <w:tcW w:w="970" w:type="dxa"/>
            <w:tcBorders>
              <w:left w:val="nil"/>
              <w:right w:val="nil"/>
            </w:tcBorders>
            <w:vAlign w:val="center"/>
          </w:tcPr>
          <w:p w14:paraId="7894AC3D" w14:textId="27138F3C"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859</w:t>
            </w:r>
          </w:p>
        </w:tc>
        <w:tc>
          <w:tcPr>
            <w:tcW w:w="1043" w:type="dxa"/>
            <w:tcBorders>
              <w:left w:val="nil"/>
              <w:right w:val="nil"/>
            </w:tcBorders>
            <w:vAlign w:val="center"/>
          </w:tcPr>
          <w:p w14:paraId="7AA092B9" w14:textId="6B55FB91"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141</w:t>
            </w:r>
          </w:p>
        </w:tc>
      </w:tr>
      <w:tr w:rsidR="00B67B67" w:rsidRPr="006057FC" w14:paraId="51CE8935" w14:textId="77777777" w:rsidTr="00B67B67">
        <w:trPr>
          <w:trHeight w:val="304"/>
        </w:trPr>
        <w:tc>
          <w:tcPr>
            <w:tcW w:w="1418" w:type="dxa"/>
            <w:tcBorders>
              <w:left w:val="nil"/>
              <w:bottom w:val="single" w:sz="4" w:space="0" w:color="auto"/>
              <w:right w:val="nil"/>
            </w:tcBorders>
            <w:shd w:val="clear" w:color="auto" w:fill="auto"/>
            <w:noWrap/>
          </w:tcPr>
          <w:p w14:paraId="73589140" w14:textId="7768D127" w:rsidR="00B67B67" w:rsidRPr="006057FC" w:rsidRDefault="00B67B67" w:rsidP="003A1AF1">
            <w:pPr>
              <w:spacing w:before="40" w:after="40" w:line="240" w:lineRule="auto"/>
              <w:rPr>
                <w:rFonts w:ascii="Calibri" w:eastAsia="Calibri" w:hAnsi="Calibri" w:cs="Calibri"/>
                <w:lang w:eastAsia="en-AU"/>
              </w:rPr>
            </w:pPr>
            <w:r w:rsidRPr="006057FC">
              <w:rPr>
                <w:rFonts w:ascii="Calibri" w:eastAsia="Calibri" w:hAnsi="Calibri" w:cs="Calibri"/>
                <w:lang w:eastAsia="en-AU"/>
              </w:rPr>
              <w:t>MRS9</w:t>
            </w:r>
          </w:p>
        </w:tc>
        <w:tc>
          <w:tcPr>
            <w:tcW w:w="1128" w:type="dxa"/>
            <w:tcBorders>
              <w:left w:val="nil"/>
              <w:bottom w:val="single" w:sz="4" w:space="0" w:color="auto"/>
              <w:right w:val="nil"/>
            </w:tcBorders>
            <w:shd w:val="clear" w:color="auto" w:fill="auto"/>
            <w:noWrap/>
            <w:vAlign w:val="center"/>
          </w:tcPr>
          <w:p w14:paraId="27C92EBA" w14:textId="0C6634D4"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900</w:t>
            </w:r>
          </w:p>
        </w:tc>
        <w:tc>
          <w:tcPr>
            <w:tcW w:w="551" w:type="dxa"/>
            <w:tcBorders>
              <w:left w:val="nil"/>
              <w:bottom w:val="single" w:sz="4" w:space="0" w:color="auto"/>
              <w:right w:val="nil"/>
            </w:tcBorders>
            <w:shd w:val="clear" w:color="auto" w:fill="auto"/>
            <w:noWrap/>
            <w:vAlign w:val="center"/>
          </w:tcPr>
          <w:p w14:paraId="6C124D64" w14:textId="14166BF7"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473</w:t>
            </w:r>
          </w:p>
        </w:tc>
        <w:tc>
          <w:tcPr>
            <w:tcW w:w="551" w:type="dxa"/>
            <w:tcBorders>
              <w:left w:val="nil"/>
              <w:bottom w:val="single" w:sz="4" w:space="0" w:color="auto"/>
              <w:right w:val="nil"/>
            </w:tcBorders>
            <w:vAlign w:val="center"/>
          </w:tcPr>
          <w:p w14:paraId="152FDB89" w14:textId="49D6A33C"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110</w:t>
            </w:r>
          </w:p>
        </w:tc>
        <w:tc>
          <w:tcPr>
            <w:tcW w:w="518" w:type="dxa"/>
            <w:tcBorders>
              <w:left w:val="nil"/>
              <w:bottom w:val="single" w:sz="4" w:space="0" w:color="auto"/>
              <w:right w:val="nil"/>
            </w:tcBorders>
            <w:vAlign w:val="center"/>
          </w:tcPr>
          <w:p w14:paraId="6805C0F4" w14:textId="4A40FE73"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0</w:t>
            </w:r>
          </w:p>
        </w:tc>
        <w:tc>
          <w:tcPr>
            <w:tcW w:w="518" w:type="dxa"/>
            <w:tcBorders>
              <w:left w:val="nil"/>
              <w:bottom w:val="single" w:sz="4" w:space="0" w:color="auto"/>
              <w:right w:val="nil"/>
            </w:tcBorders>
            <w:vAlign w:val="center"/>
          </w:tcPr>
          <w:p w14:paraId="3FC83498" w14:textId="39EB0979"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67</w:t>
            </w:r>
          </w:p>
        </w:tc>
        <w:tc>
          <w:tcPr>
            <w:tcW w:w="518" w:type="dxa"/>
            <w:tcBorders>
              <w:left w:val="nil"/>
              <w:bottom w:val="single" w:sz="4" w:space="0" w:color="auto"/>
              <w:right w:val="nil"/>
            </w:tcBorders>
            <w:vAlign w:val="center"/>
          </w:tcPr>
          <w:p w14:paraId="7E9690E5" w14:textId="427F1F12"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84</w:t>
            </w:r>
          </w:p>
        </w:tc>
        <w:tc>
          <w:tcPr>
            <w:tcW w:w="503" w:type="dxa"/>
            <w:tcBorders>
              <w:left w:val="nil"/>
              <w:bottom w:val="single" w:sz="4" w:space="0" w:color="auto"/>
              <w:right w:val="nil"/>
            </w:tcBorders>
            <w:vAlign w:val="center"/>
          </w:tcPr>
          <w:p w14:paraId="71418DAF" w14:textId="6D3EC4CC"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35</w:t>
            </w:r>
          </w:p>
        </w:tc>
        <w:tc>
          <w:tcPr>
            <w:tcW w:w="471" w:type="dxa"/>
            <w:tcBorders>
              <w:left w:val="nil"/>
              <w:bottom w:val="single" w:sz="4" w:space="0" w:color="auto"/>
              <w:right w:val="nil"/>
            </w:tcBorders>
            <w:vAlign w:val="center"/>
          </w:tcPr>
          <w:p w14:paraId="7AE5735F" w14:textId="77777777" w:rsidR="00B67B67" w:rsidRPr="006057FC" w:rsidRDefault="00B67B67" w:rsidP="003A1AF1">
            <w:pPr>
              <w:spacing w:before="40" w:after="40" w:line="240" w:lineRule="auto"/>
              <w:jc w:val="center"/>
              <w:rPr>
                <w:rFonts w:ascii="Calibri" w:eastAsia="Calibri" w:hAnsi="Calibri" w:cs="Calibri"/>
                <w:lang w:eastAsia="en-AU"/>
              </w:rPr>
            </w:pPr>
          </w:p>
        </w:tc>
        <w:tc>
          <w:tcPr>
            <w:tcW w:w="970" w:type="dxa"/>
            <w:tcBorders>
              <w:left w:val="nil"/>
              <w:bottom w:val="single" w:sz="4" w:space="0" w:color="auto"/>
              <w:right w:val="nil"/>
            </w:tcBorders>
            <w:vAlign w:val="center"/>
          </w:tcPr>
          <w:p w14:paraId="4F880D01" w14:textId="355FBB94"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769</w:t>
            </w:r>
          </w:p>
        </w:tc>
        <w:tc>
          <w:tcPr>
            <w:tcW w:w="1043" w:type="dxa"/>
            <w:tcBorders>
              <w:left w:val="nil"/>
              <w:bottom w:val="single" w:sz="4" w:space="0" w:color="auto"/>
              <w:right w:val="nil"/>
            </w:tcBorders>
            <w:vAlign w:val="center"/>
          </w:tcPr>
          <w:p w14:paraId="3167C531" w14:textId="0D4C8FFA" w:rsidR="00B67B67" w:rsidRPr="006057FC" w:rsidRDefault="00B67B67" w:rsidP="003A1AF1">
            <w:pPr>
              <w:spacing w:before="40" w:after="40" w:line="240" w:lineRule="auto"/>
              <w:jc w:val="center"/>
              <w:rPr>
                <w:rFonts w:ascii="Calibri" w:eastAsia="Calibri" w:hAnsi="Calibri" w:cs="Calibri"/>
                <w:lang w:eastAsia="en-AU"/>
              </w:rPr>
            </w:pPr>
            <w:r w:rsidRPr="006057FC">
              <w:rPr>
                <w:rFonts w:ascii="Calibri" w:eastAsia="Calibri" w:hAnsi="Calibri" w:cs="Calibri"/>
                <w:lang w:eastAsia="en-AU"/>
              </w:rPr>
              <w:t>131</w:t>
            </w:r>
          </w:p>
        </w:tc>
      </w:tr>
    </w:tbl>
    <w:p w14:paraId="3F2B2992" w14:textId="77777777" w:rsidR="003A1AF1" w:rsidRPr="006057FC" w:rsidRDefault="003A1AF1" w:rsidP="00FB1C4A"/>
    <w:p w14:paraId="4CF3AEC9" w14:textId="77777777" w:rsidR="00B67B67" w:rsidRPr="006057FC" w:rsidRDefault="00B67B67" w:rsidP="00FB1C4A"/>
    <w:p w14:paraId="7E01EF7F" w14:textId="77777777" w:rsidR="00B67B67" w:rsidRPr="006057FC" w:rsidRDefault="00B67B67" w:rsidP="00FB1C4A"/>
    <w:p w14:paraId="660C7D1B" w14:textId="77777777" w:rsidR="00B67B67" w:rsidRPr="006057FC" w:rsidRDefault="00B67B67" w:rsidP="00FB1C4A"/>
    <w:p w14:paraId="0F0494F8" w14:textId="77777777" w:rsidR="00B67B67" w:rsidRPr="006057FC" w:rsidRDefault="00B67B67" w:rsidP="00FB1C4A"/>
    <w:p w14:paraId="7C0C82A5" w14:textId="77777777" w:rsidR="00B67B67" w:rsidRPr="006057FC" w:rsidRDefault="00B67B67" w:rsidP="00FB1C4A"/>
    <w:p w14:paraId="31FB1815" w14:textId="77777777" w:rsidR="00B67B67" w:rsidRPr="006057FC" w:rsidRDefault="00B67B67" w:rsidP="00FB1C4A"/>
    <w:p w14:paraId="5510FA80" w14:textId="77777777" w:rsidR="00B67B67" w:rsidRPr="006057FC" w:rsidRDefault="00B67B67" w:rsidP="00FB1C4A"/>
    <w:p w14:paraId="1099645B" w14:textId="05F6302C" w:rsidR="00B67B67" w:rsidRPr="006057FC" w:rsidRDefault="00E7655D" w:rsidP="00FB1C4A">
      <w:r w:rsidRPr="006057FC">
        <w:rPr>
          <w:lang w:val="en-US"/>
        </w:rPr>
        <w:t xml:space="preserve">For the grains that passed criteria 1–5 (Table </w:t>
      </w:r>
      <w:r w:rsidR="00206BDD" w:rsidRPr="006057FC">
        <w:rPr>
          <w:lang w:val="en-US"/>
        </w:rPr>
        <w:t>S1</w:t>
      </w:r>
      <w:r w:rsidRPr="006057FC">
        <w:rPr>
          <w:lang w:val="en-US"/>
        </w:rPr>
        <w:t xml:space="preserve">), a </w:t>
      </w:r>
      <w:r w:rsidR="007F3327" w:rsidRPr="006057FC">
        <w:rPr>
          <w:lang w:val="en-US"/>
        </w:rPr>
        <w:t xml:space="preserve">further number of grains </w:t>
      </w:r>
      <w:r w:rsidRPr="006057FC">
        <w:rPr>
          <w:lang w:val="en-US"/>
        </w:rPr>
        <w:t>then failed because their L</w:t>
      </w:r>
      <w:r w:rsidRPr="006057FC">
        <w:rPr>
          <w:vertAlign w:val="subscript"/>
          <w:lang w:val="en-US"/>
        </w:rPr>
        <w:t>n</w:t>
      </w:r>
      <w:r w:rsidRPr="006057FC">
        <w:rPr>
          <w:lang w:val="en-US"/>
        </w:rPr>
        <w:t>/T</w:t>
      </w:r>
      <w:r w:rsidRPr="006057FC">
        <w:rPr>
          <w:vertAlign w:val="subscript"/>
          <w:lang w:val="en-US"/>
        </w:rPr>
        <w:t>n</w:t>
      </w:r>
      <w:r w:rsidRPr="006057FC">
        <w:rPr>
          <w:lang w:val="en-US"/>
        </w:rPr>
        <w:t xml:space="preserve"> ratios lay at or above the asymptote (so-called dose saturation level) of the dose response curve, so a D</w:t>
      </w:r>
      <w:r w:rsidRPr="006057FC">
        <w:rPr>
          <w:vertAlign w:val="subscript"/>
          <w:lang w:val="en-US"/>
        </w:rPr>
        <w:t>e</w:t>
      </w:r>
      <w:r w:rsidRPr="006057FC">
        <w:rPr>
          <w:lang w:val="en-US"/>
        </w:rPr>
        <w:t xml:space="preserve"> value could not be obtained (criteria 6). The proportion of such grains ranges from </w:t>
      </w:r>
      <w:r w:rsidR="00353154" w:rsidRPr="006057FC">
        <w:rPr>
          <w:lang w:val="en-US"/>
        </w:rPr>
        <w:t>2.5</w:t>
      </w:r>
      <w:r w:rsidRPr="006057FC">
        <w:rPr>
          <w:lang w:val="en-US"/>
        </w:rPr>
        <w:t xml:space="preserve">% </w:t>
      </w:r>
      <w:r w:rsidR="007F3327" w:rsidRPr="006057FC">
        <w:rPr>
          <w:lang w:val="en-US"/>
        </w:rPr>
        <w:t xml:space="preserve">(MRS17-8) </w:t>
      </w:r>
      <w:r w:rsidRPr="006057FC">
        <w:rPr>
          <w:lang w:val="en-US"/>
        </w:rPr>
        <w:t xml:space="preserve">to </w:t>
      </w:r>
      <w:r w:rsidR="00353154" w:rsidRPr="006057FC">
        <w:rPr>
          <w:lang w:val="en-US"/>
        </w:rPr>
        <w:t>21</w:t>
      </w:r>
      <w:r w:rsidRPr="006057FC">
        <w:rPr>
          <w:lang w:val="en-US"/>
        </w:rPr>
        <w:t>%</w:t>
      </w:r>
      <w:r w:rsidR="007F3327" w:rsidRPr="006057FC">
        <w:rPr>
          <w:lang w:val="en-US"/>
        </w:rPr>
        <w:t xml:space="preserve"> (MRS9)</w:t>
      </w:r>
      <w:r w:rsidR="00353154" w:rsidRPr="006057FC">
        <w:rPr>
          <w:lang w:val="en-US"/>
        </w:rPr>
        <w:t xml:space="preserve"> and increase with stratigraphic depth</w:t>
      </w:r>
      <w:r w:rsidRPr="006057FC">
        <w:rPr>
          <w:lang w:val="en-US"/>
        </w:rPr>
        <w:t>.</w:t>
      </w:r>
      <w:r w:rsidR="00C13940" w:rsidRPr="006057FC">
        <w:rPr>
          <w:lang w:val="en-US"/>
        </w:rPr>
        <w:t xml:space="preserve"> Samples from LGS, LRS and DGS all have &gt;10% saturated grains.</w:t>
      </w:r>
      <w:r w:rsidRPr="006057FC">
        <w:rPr>
          <w:lang w:val="en-US"/>
        </w:rPr>
        <w:t xml:space="preserve"> </w:t>
      </w:r>
      <w:r w:rsidR="00C13940" w:rsidRPr="006057FC">
        <w:rPr>
          <w:lang w:val="en-US"/>
        </w:rPr>
        <w:t>These likely</w:t>
      </w:r>
      <w:r w:rsidRPr="006057FC">
        <w:rPr>
          <w:lang w:val="en-US"/>
        </w:rPr>
        <w:t xml:space="preserve"> represent grains with OSL signals that reach dose saturation much earlier than others with the same depositional and burial history; it is well known that different quartz grains from the same sample exhibit a range of different dose response curve shapes and characteristic saturation dose (D</w:t>
      </w:r>
      <w:r w:rsidRPr="006057FC">
        <w:rPr>
          <w:vertAlign w:val="subscript"/>
          <w:lang w:val="en-US"/>
        </w:rPr>
        <w:t>0</w:t>
      </w:r>
      <w:r w:rsidRPr="006057FC">
        <w:rPr>
          <w:lang w:val="en-US"/>
        </w:rPr>
        <w:t>) values (e.g., Roberts et al., 1999; Duller, 2000; Jacobs et al., 2006).</w:t>
      </w:r>
      <w:r w:rsidR="00C13940" w:rsidRPr="006057FC">
        <w:rPr>
          <w:lang w:val="en-US"/>
        </w:rPr>
        <w:t xml:space="preserve"> </w:t>
      </w:r>
      <w:r w:rsidR="007F3327" w:rsidRPr="006057FC">
        <w:rPr>
          <w:lang w:val="en-US"/>
        </w:rPr>
        <w:t xml:space="preserve">If this is the case then rejection of these grains will not impact on the weighted mean De value of the sample. If saturated grains, however, represent older grains and their rejection result in the truncation of the true distribution of De values in the sample, then the weighted mean De value will be underestimated to an unknown extent. </w:t>
      </w:r>
      <w:r w:rsidR="00C13940" w:rsidRPr="006057FC">
        <w:rPr>
          <w:lang w:val="en-US"/>
        </w:rPr>
        <w:t xml:space="preserve">We explicitly tested this by </w:t>
      </w:r>
      <w:proofErr w:type="spellStart"/>
      <w:r w:rsidR="00C13940" w:rsidRPr="006057FC">
        <w:rPr>
          <w:lang w:val="en-US"/>
        </w:rPr>
        <w:t>analysing</w:t>
      </w:r>
      <w:proofErr w:type="spellEnd"/>
      <w:r w:rsidR="00C13940" w:rsidRPr="006057FC">
        <w:rPr>
          <w:lang w:val="en-US"/>
        </w:rPr>
        <w:t xml:space="preserve"> the samples in two different ways</w:t>
      </w:r>
      <w:r w:rsidR="008B4161" w:rsidRPr="006057FC">
        <w:rPr>
          <w:lang w:val="en-US"/>
        </w:rPr>
        <w:t>: (1) conventional and (2) L</w:t>
      </w:r>
      <w:r w:rsidR="008B4161" w:rsidRPr="006057FC">
        <w:rPr>
          <w:vertAlign w:val="subscript"/>
          <w:lang w:val="en-US"/>
        </w:rPr>
        <w:t>n</w:t>
      </w:r>
      <w:r w:rsidR="008B4161" w:rsidRPr="006057FC">
        <w:rPr>
          <w:lang w:val="en-US"/>
        </w:rPr>
        <w:t>T</w:t>
      </w:r>
      <w:r w:rsidR="008B4161" w:rsidRPr="006057FC">
        <w:rPr>
          <w:vertAlign w:val="subscript"/>
          <w:lang w:val="en-US"/>
        </w:rPr>
        <w:t>n</w:t>
      </w:r>
      <w:r w:rsidR="008B4161" w:rsidRPr="006057FC">
        <w:rPr>
          <w:lang w:val="en-US"/>
        </w:rPr>
        <w:t xml:space="preserve">. </w:t>
      </w:r>
      <w:r w:rsidR="00C13940" w:rsidRPr="006057FC">
        <w:rPr>
          <w:lang w:val="en-US"/>
        </w:rPr>
        <w:t xml:space="preserve"> </w:t>
      </w:r>
    </w:p>
    <w:p w14:paraId="6189F2CC" w14:textId="16DA5120" w:rsidR="001D318D" w:rsidRPr="006057FC" w:rsidRDefault="007330C0" w:rsidP="00FB1C4A">
      <w:pPr>
        <w:rPr>
          <w:rFonts w:eastAsia="Times New Roman" w:cstheme="minorHAnsi"/>
          <w:lang w:val="en-US" w:bidi="en-US"/>
        </w:rPr>
      </w:pPr>
      <w:r w:rsidRPr="006057FC">
        <w:t>In both approaches</w:t>
      </w:r>
      <w:r w:rsidR="008B4161" w:rsidRPr="006057FC">
        <w:t xml:space="preserve">, </w:t>
      </w:r>
      <w:r w:rsidR="00FB1C4A" w:rsidRPr="006057FC">
        <w:t>L</w:t>
      </w:r>
      <w:r w:rsidR="00FB1C4A" w:rsidRPr="006057FC">
        <w:rPr>
          <w:vertAlign w:val="subscript"/>
        </w:rPr>
        <w:t>n</w:t>
      </w:r>
      <w:r w:rsidR="00FB1C4A" w:rsidRPr="006057FC">
        <w:t>, L</w:t>
      </w:r>
      <w:r w:rsidR="00FB1C4A" w:rsidRPr="006057FC">
        <w:rPr>
          <w:vertAlign w:val="subscript"/>
        </w:rPr>
        <w:t>x</w:t>
      </w:r>
      <w:r w:rsidR="00FB1C4A" w:rsidRPr="006057FC">
        <w:t>, T</w:t>
      </w:r>
      <w:r w:rsidR="00FB1C4A" w:rsidRPr="006057FC">
        <w:rPr>
          <w:vertAlign w:val="subscript"/>
        </w:rPr>
        <w:t>n</w:t>
      </w:r>
      <w:r w:rsidR="00FB1C4A" w:rsidRPr="006057FC">
        <w:t xml:space="preserve"> and T</w:t>
      </w:r>
      <w:r w:rsidR="00FB1C4A" w:rsidRPr="006057FC">
        <w:rPr>
          <w:vertAlign w:val="subscript"/>
        </w:rPr>
        <w:t>x</w:t>
      </w:r>
      <w:r w:rsidR="00FB1C4A" w:rsidRPr="006057FC">
        <w:t xml:space="preserve"> values </w:t>
      </w:r>
      <w:r w:rsidRPr="006057FC">
        <w:t xml:space="preserve">are </w:t>
      </w:r>
      <w:r w:rsidR="00FB1C4A" w:rsidRPr="006057FC">
        <w:t>estimated from the first 0.22 s of OSL decay, with the mean count recorded over the last 0.3 s subtracted as background.</w:t>
      </w:r>
      <w:r w:rsidR="00FB1C4A" w:rsidRPr="006057FC">
        <w:rPr>
          <w:lang w:val="en-US"/>
        </w:rPr>
        <w:t xml:space="preserve"> </w:t>
      </w:r>
      <w:r w:rsidR="008B4161" w:rsidRPr="006057FC">
        <w:rPr>
          <w:lang w:val="en-US"/>
        </w:rPr>
        <w:t xml:space="preserve">Using the conventional way, </w:t>
      </w:r>
      <w:proofErr w:type="spellStart"/>
      <w:r w:rsidR="008B4161" w:rsidRPr="006057FC">
        <w:rPr>
          <w:lang w:val="en-US"/>
        </w:rPr>
        <w:t>i</w:t>
      </w:r>
      <w:r w:rsidR="00385C46" w:rsidRPr="006057FC">
        <w:t>ndividual</w:t>
      </w:r>
      <w:proofErr w:type="spellEnd"/>
      <w:r w:rsidR="00385C46" w:rsidRPr="006057FC">
        <w:t xml:space="preserve"> sensitivity-corrected (L</w:t>
      </w:r>
      <w:r w:rsidR="00385C46" w:rsidRPr="006057FC">
        <w:rPr>
          <w:vertAlign w:val="subscript"/>
        </w:rPr>
        <w:t>x</w:t>
      </w:r>
      <w:r w:rsidR="00385C46" w:rsidRPr="006057FC">
        <w:t>/T</w:t>
      </w:r>
      <w:r w:rsidR="00385C46" w:rsidRPr="006057FC">
        <w:rPr>
          <w:vertAlign w:val="subscript"/>
        </w:rPr>
        <w:t>x</w:t>
      </w:r>
      <w:r w:rsidR="00385C46" w:rsidRPr="006057FC">
        <w:t>) ratios are</w:t>
      </w:r>
      <w:r w:rsidR="008B4161" w:rsidRPr="006057FC">
        <w:t xml:space="preserve"> then</w:t>
      </w:r>
      <w:r w:rsidR="00385C46" w:rsidRPr="006057FC">
        <w:t xml:space="preserve"> fitted with a general order kinetic (GOK) function to create a dose response curve (DRC) for each accepted grain. The</w:t>
      </w:r>
      <w:r w:rsidR="00385C46" w:rsidRPr="006057FC">
        <w:rPr>
          <w:rFonts w:cstheme="minorHAnsi"/>
          <w:lang w:val="en-US"/>
        </w:rPr>
        <w:t xml:space="preserve"> sensitivity-corrected natural signal (L</w:t>
      </w:r>
      <w:r w:rsidR="00385C46" w:rsidRPr="006057FC">
        <w:rPr>
          <w:rFonts w:cstheme="minorHAnsi"/>
          <w:vertAlign w:val="subscript"/>
          <w:lang w:val="en-US"/>
        </w:rPr>
        <w:t>n</w:t>
      </w:r>
      <w:r w:rsidR="00385C46" w:rsidRPr="006057FC">
        <w:rPr>
          <w:rFonts w:cstheme="minorHAnsi"/>
          <w:lang w:val="en-US"/>
        </w:rPr>
        <w:t>/T</w:t>
      </w:r>
      <w:r w:rsidR="00385C46" w:rsidRPr="006057FC">
        <w:rPr>
          <w:rFonts w:cstheme="minorHAnsi"/>
          <w:vertAlign w:val="subscript"/>
          <w:lang w:val="en-US"/>
        </w:rPr>
        <w:t>n</w:t>
      </w:r>
      <w:r w:rsidR="00385C46" w:rsidRPr="006057FC">
        <w:rPr>
          <w:rFonts w:cstheme="minorHAnsi"/>
          <w:lang w:val="en-US"/>
        </w:rPr>
        <w:t>) is then projected onto the fitted DRC to estimate D</w:t>
      </w:r>
      <w:r w:rsidR="00385C46" w:rsidRPr="006057FC">
        <w:rPr>
          <w:rFonts w:cstheme="minorHAnsi"/>
          <w:vertAlign w:val="subscript"/>
          <w:lang w:val="en-US"/>
        </w:rPr>
        <w:t>e</w:t>
      </w:r>
      <w:r w:rsidR="00385C46" w:rsidRPr="006057FC">
        <w:rPr>
          <w:rFonts w:cstheme="minorHAnsi"/>
          <w:lang w:val="en-US"/>
        </w:rPr>
        <w:t xml:space="preserve"> by interpolation. This </w:t>
      </w:r>
      <w:r w:rsidR="00385C46" w:rsidRPr="006057FC">
        <w:rPr>
          <w:rFonts w:cstheme="minorHAnsi"/>
          <w:lang w:val="en-US"/>
        </w:rPr>
        <w:lastRenderedPageBreak/>
        <w:t>results in a distribution of D</w:t>
      </w:r>
      <w:r w:rsidR="00385C46" w:rsidRPr="006057FC">
        <w:rPr>
          <w:rFonts w:cstheme="minorHAnsi"/>
          <w:vertAlign w:val="subscript"/>
          <w:lang w:val="en-US"/>
        </w:rPr>
        <w:t>e</w:t>
      </w:r>
      <w:r w:rsidR="00385C46" w:rsidRPr="006057FC">
        <w:rPr>
          <w:rFonts w:cstheme="minorHAnsi"/>
          <w:lang w:val="en-US"/>
        </w:rPr>
        <w:t xml:space="preserve"> values for a sample of which the patterns, when plotted as radial plots, are </w:t>
      </w:r>
      <w:r w:rsidR="00385C46" w:rsidRPr="006057FC">
        <w:rPr>
          <w:rFonts w:eastAsia="Times New Roman" w:cstheme="minorHAnsi"/>
          <w:lang w:val="en-US" w:bidi="en-US"/>
        </w:rPr>
        <w:t>examined for any evidence of partial bleaching, post-depositional mixing and other factors that can give rise to spread in D</w:t>
      </w:r>
      <w:r w:rsidR="00385C46" w:rsidRPr="006057FC">
        <w:rPr>
          <w:rFonts w:eastAsia="Times New Roman" w:cstheme="minorHAnsi"/>
          <w:vertAlign w:val="subscript"/>
          <w:lang w:val="en-US" w:bidi="en-US"/>
        </w:rPr>
        <w:t>e</w:t>
      </w:r>
      <w:r w:rsidR="00385C46" w:rsidRPr="006057FC">
        <w:rPr>
          <w:rFonts w:eastAsia="Times New Roman" w:cstheme="minorHAnsi"/>
          <w:lang w:val="en-US" w:bidi="en-US"/>
        </w:rPr>
        <w:t xml:space="preserve"> estimates (Galbraith et al., 2005; Galbraith and Roberts, 2012). A final </w:t>
      </w:r>
      <w:r w:rsidR="00385C46" w:rsidRPr="006057FC">
        <w:rPr>
          <w:rFonts w:cstheme="minorHAnsi"/>
        </w:rPr>
        <w:t>D</w:t>
      </w:r>
      <w:r w:rsidR="00385C46" w:rsidRPr="006057FC">
        <w:rPr>
          <w:rFonts w:cstheme="minorHAnsi"/>
          <w:vertAlign w:val="subscript"/>
        </w:rPr>
        <w:t xml:space="preserve">e </w:t>
      </w:r>
      <w:r w:rsidR="00385C46" w:rsidRPr="006057FC">
        <w:rPr>
          <w:rFonts w:cstheme="minorHAnsi"/>
        </w:rPr>
        <w:t>estimate is then calculated by using an appropriate statistical model to combine the pool of D</w:t>
      </w:r>
      <w:r w:rsidR="00385C46" w:rsidRPr="006057FC">
        <w:rPr>
          <w:rFonts w:cstheme="minorHAnsi"/>
          <w:vertAlign w:val="subscript"/>
        </w:rPr>
        <w:t>e</w:t>
      </w:r>
      <w:r w:rsidR="00385C46" w:rsidRPr="006057FC">
        <w:rPr>
          <w:rFonts w:cstheme="minorHAnsi"/>
        </w:rPr>
        <w:t xml:space="preserve"> values</w:t>
      </w:r>
      <w:r w:rsidR="0099686C" w:rsidRPr="006057FC">
        <w:rPr>
          <w:rFonts w:cstheme="minorHAnsi"/>
        </w:rPr>
        <w:t xml:space="preserve"> for a single De estimate using for age determination</w:t>
      </w:r>
      <w:r w:rsidR="00385C46" w:rsidRPr="006057FC">
        <w:rPr>
          <w:rFonts w:eastAsia="Times New Roman" w:cstheme="minorHAnsi"/>
          <w:lang w:val="en-US" w:bidi="en-US"/>
        </w:rPr>
        <w:t xml:space="preserve"> (Galbraith et al., 1999; Galbraith and Roberts, 2012).</w:t>
      </w:r>
      <w:r w:rsidR="003A1AF1" w:rsidRPr="006057FC">
        <w:rPr>
          <w:rFonts w:eastAsia="Times New Roman" w:cstheme="minorHAnsi"/>
          <w:lang w:val="en-US" w:bidi="en-US"/>
        </w:rPr>
        <w:t xml:space="preserve"> </w:t>
      </w:r>
      <w:r w:rsidR="001D318D" w:rsidRPr="006057FC">
        <w:rPr>
          <w:rFonts w:eastAsia="Times New Roman" w:cstheme="minorHAnsi"/>
          <w:lang w:val="en-US" w:bidi="en-US"/>
        </w:rPr>
        <w:t xml:space="preserve">The radial plots for all samples are shown in Figure X. We used </w:t>
      </w:r>
      <w:r w:rsidR="00B47661" w:rsidRPr="006057FC">
        <w:rPr>
          <w:rFonts w:eastAsia="Times New Roman" w:cstheme="minorHAnsi"/>
          <w:lang w:val="en-US" w:bidi="en-US"/>
        </w:rPr>
        <w:t>two</w:t>
      </w:r>
      <w:r w:rsidR="001D318D" w:rsidRPr="006057FC">
        <w:rPr>
          <w:rFonts w:eastAsia="Times New Roman" w:cstheme="minorHAnsi"/>
          <w:lang w:val="en-US" w:bidi="en-US"/>
        </w:rPr>
        <w:t xml:space="preserve"> different </w:t>
      </w:r>
      <w:r w:rsidR="0099686C" w:rsidRPr="006057FC">
        <w:rPr>
          <w:rFonts w:eastAsia="Times New Roman" w:cstheme="minorHAnsi"/>
          <w:lang w:val="en-US" w:bidi="en-US"/>
        </w:rPr>
        <w:t xml:space="preserve">statistical approaches </w:t>
      </w:r>
      <w:r w:rsidR="001D318D" w:rsidRPr="006057FC">
        <w:rPr>
          <w:rFonts w:eastAsia="Times New Roman" w:cstheme="minorHAnsi"/>
          <w:lang w:val="en-US" w:bidi="en-US"/>
        </w:rPr>
        <w:t>to obtain the final weighted mean D</w:t>
      </w:r>
      <w:r w:rsidR="001D318D" w:rsidRPr="006057FC">
        <w:rPr>
          <w:rFonts w:eastAsia="Times New Roman" w:cstheme="minorHAnsi"/>
          <w:vertAlign w:val="subscript"/>
          <w:lang w:val="en-US" w:bidi="en-US"/>
        </w:rPr>
        <w:t>e</w:t>
      </w:r>
      <w:r w:rsidR="001D318D" w:rsidRPr="006057FC">
        <w:rPr>
          <w:rFonts w:eastAsia="Times New Roman" w:cstheme="minorHAnsi"/>
          <w:lang w:val="en-US" w:bidi="en-US"/>
        </w:rPr>
        <w:t xml:space="preserve"> values. </w:t>
      </w:r>
    </w:p>
    <w:p w14:paraId="6EE9EAE5" w14:textId="19C7A2DC" w:rsidR="001D318D" w:rsidRPr="006057FC" w:rsidRDefault="001D318D" w:rsidP="001D318D">
      <w:pPr>
        <w:pStyle w:val="Listenabsatz"/>
        <w:numPr>
          <w:ilvl w:val="0"/>
          <w:numId w:val="4"/>
        </w:numPr>
        <w:rPr>
          <w:rFonts w:ascii="Calibri" w:eastAsia="Calibri" w:hAnsi="Calibri" w:cs="Calibri"/>
          <w:lang w:bidi="en-AU"/>
        </w:rPr>
      </w:pPr>
      <w:r w:rsidRPr="006057FC">
        <w:rPr>
          <w:rFonts w:eastAsia="Times New Roman" w:cstheme="minorHAnsi"/>
          <w:lang w:val="en-US" w:bidi="en-US"/>
        </w:rPr>
        <w:t xml:space="preserve">The central age model (CAM) (MRS5, MRS6, MRS8, MRS9) which is representative of sediment that was well-bleached prior to deposition and that remained undisturbed since burial. The CAM </w:t>
      </w:r>
      <w:r w:rsidRPr="006057FC">
        <w:rPr>
          <w:rFonts w:ascii="Calibri" w:eastAsia="Calibri" w:hAnsi="Calibri" w:cs="Calibri"/>
        </w:rPr>
        <w:t xml:space="preserve">assumes </w:t>
      </w:r>
      <w:r w:rsidRPr="006057FC">
        <w:rPr>
          <w:rFonts w:ascii="Calibri" w:eastAsia="Calibri" w:hAnsi="Calibri" w:cs="Calibri"/>
          <w:lang w:bidi="en-AU"/>
        </w:rPr>
        <w:t>that the D</w:t>
      </w:r>
      <w:r w:rsidRPr="006057FC">
        <w:rPr>
          <w:rFonts w:ascii="Calibri" w:eastAsia="Calibri" w:hAnsi="Calibri" w:cs="Calibri"/>
          <w:vertAlign w:val="subscript"/>
          <w:lang w:bidi="en-AU"/>
        </w:rPr>
        <w:t>e</w:t>
      </w:r>
      <w:r w:rsidRPr="006057FC">
        <w:rPr>
          <w:rFonts w:ascii="Calibri" w:eastAsia="Calibri" w:hAnsi="Calibri" w:cs="Calibri"/>
          <w:lang w:bidi="en-AU"/>
        </w:rPr>
        <w:t xml:space="preserve"> values for all grains are centred on some average value of D</w:t>
      </w:r>
      <w:r w:rsidRPr="006057FC">
        <w:rPr>
          <w:rFonts w:ascii="Calibri" w:eastAsia="Calibri" w:hAnsi="Calibri" w:cs="Calibri"/>
          <w:vertAlign w:val="subscript"/>
          <w:lang w:bidi="en-AU"/>
        </w:rPr>
        <w:t>e</w:t>
      </w:r>
      <w:r w:rsidRPr="006057FC">
        <w:rPr>
          <w:rFonts w:ascii="Calibri" w:eastAsia="Calibri" w:hAnsi="Calibri" w:cs="Calibri"/>
          <w:lang w:bidi="en-AU"/>
        </w:rPr>
        <w:t xml:space="preserve"> (similar to the median) and the estimated standard error takes account of any D</w:t>
      </w:r>
      <w:r w:rsidRPr="006057FC">
        <w:rPr>
          <w:rFonts w:ascii="Calibri" w:eastAsia="Calibri" w:hAnsi="Calibri" w:cs="Calibri"/>
          <w:vertAlign w:val="subscript"/>
          <w:lang w:bidi="en-AU"/>
        </w:rPr>
        <w:t>e</w:t>
      </w:r>
      <w:r w:rsidRPr="006057FC">
        <w:rPr>
          <w:rFonts w:ascii="Calibri" w:eastAsia="Calibri" w:hAnsi="Calibri" w:cs="Calibri"/>
          <w:lang w:bidi="en-AU"/>
        </w:rPr>
        <w:t xml:space="preserve"> overdispersion; hence, the greater the OD, the larger the error (Galbraith and Roberts, 2012).</w:t>
      </w:r>
    </w:p>
    <w:p w14:paraId="67509742" w14:textId="4D90398C" w:rsidR="001D318D" w:rsidRPr="006057FC" w:rsidRDefault="001D318D" w:rsidP="001D318D">
      <w:pPr>
        <w:pStyle w:val="Listenabsatz"/>
        <w:numPr>
          <w:ilvl w:val="0"/>
          <w:numId w:val="4"/>
        </w:numPr>
        <w:rPr>
          <w:rFonts w:eastAsia="Times New Roman" w:cstheme="minorHAnsi"/>
          <w:lang w:val="en-US" w:bidi="en-US"/>
        </w:rPr>
      </w:pPr>
      <w:r w:rsidRPr="006057FC">
        <w:rPr>
          <w:rFonts w:eastAsia="Times New Roman" w:cstheme="minorHAnsi"/>
          <w:lang w:val="en-US" w:bidi="en-US"/>
        </w:rPr>
        <w:t xml:space="preserve">The </w:t>
      </w:r>
      <w:proofErr w:type="spellStart"/>
      <w:r w:rsidRPr="006057FC">
        <w:rPr>
          <w:rFonts w:eastAsia="Times New Roman" w:cstheme="minorHAnsi"/>
          <w:lang w:val="en-US" w:bidi="en-US"/>
        </w:rPr>
        <w:t>nMAD</w:t>
      </w:r>
      <w:proofErr w:type="spellEnd"/>
      <w:r w:rsidRPr="006057FC">
        <w:rPr>
          <w:rFonts w:eastAsia="Times New Roman" w:cstheme="minorHAnsi"/>
          <w:lang w:val="en-US" w:bidi="en-US"/>
        </w:rPr>
        <w:t xml:space="preserve"> CAM (MRS7, </w:t>
      </w:r>
      <w:r w:rsidR="00B47661" w:rsidRPr="006057FC">
        <w:rPr>
          <w:rFonts w:eastAsia="Times New Roman" w:cstheme="minorHAnsi"/>
          <w:lang w:val="en-US" w:bidi="en-US"/>
        </w:rPr>
        <w:t xml:space="preserve">MRS17-7, </w:t>
      </w:r>
      <w:r w:rsidRPr="006057FC">
        <w:rPr>
          <w:rFonts w:eastAsia="Times New Roman" w:cstheme="minorHAnsi"/>
          <w:lang w:val="en-US" w:bidi="en-US"/>
        </w:rPr>
        <w:t>MRS17-8)</w:t>
      </w:r>
      <w:r w:rsidR="0099686C" w:rsidRPr="006057FC">
        <w:rPr>
          <w:rFonts w:eastAsia="Times New Roman" w:cstheme="minorHAnsi"/>
          <w:lang w:val="en-US" w:bidi="en-US"/>
        </w:rPr>
        <w:t>.</w:t>
      </w:r>
      <w:r w:rsidRPr="006057FC">
        <w:rPr>
          <w:rFonts w:eastAsia="Times New Roman" w:cstheme="minorHAnsi"/>
          <w:lang w:val="en-US" w:bidi="en-US"/>
        </w:rPr>
        <w:t xml:space="preserve"> </w:t>
      </w:r>
      <w:r w:rsidR="0099686C" w:rsidRPr="006057FC">
        <w:rPr>
          <w:rFonts w:eastAsia="Times New Roman" w:cstheme="minorHAnsi"/>
          <w:lang w:val="en-US" w:bidi="en-US"/>
        </w:rPr>
        <w:t xml:space="preserve">CAM is used to combined all De values </w:t>
      </w:r>
      <w:r w:rsidRPr="006057FC">
        <w:rPr>
          <w:rFonts w:eastAsia="Times New Roman" w:cstheme="minorHAnsi"/>
          <w:lang w:val="en-US" w:bidi="en-US"/>
        </w:rPr>
        <w:t>after rejection of statistically significant outliers using the normalised median absolute deviation (</w:t>
      </w:r>
      <w:proofErr w:type="spellStart"/>
      <w:r w:rsidRPr="006057FC">
        <w:rPr>
          <w:rFonts w:eastAsia="Times New Roman" w:cstheme="minorHAnsi"/>
          <w:lang w:val="en-US" w:bidi="en-US"/>
        </w:rPr>
        <w:t>nMAD</w:t>
      </w:r>
      <w:proofErr w:type="spellEnd"/>
      <w:r w:rsidRPr="006057FC">
        <w:rPr>
          <w:rFonts w:eastAsia="Times New Roman" w:cstheme="minorHAnsi"/>
          <w:lang w:val="en-US" w:bidi="en-US"/>
        </w:rPr>
        <w:t>) (</w:t>
      </w:r>
      <w:proofErr w:type="spellStart"/>
      <w:r w:rsidRPr="006057FC">
        <w:rPr>
          <w:rFonts w:eastAsia="Times New Roman" w:cstheme="minorHAnsi"/>
          <w:lang w:val="en-US" w:bidi="en-US"/>
        </w:rPr>
        <w:t>Rousseeuw</w:t>
      </w:r>
      <w:proofErr w:type="spellEnd"/>
      <w:r w:rsidRPr="006057FC">
        <w:rPr>
          <w:rFonts w:eastAsia="Times New Roman" w:cstheme="minorHAnsi"/>
          <w:lang w:val="en-US" w:bidi="en-US"/>
        </w:rPr>
        <w:t xml:space="preserve"> and </w:t>
      </w:r>
      <w:proofErr w:type="spellStart"/>
      <w:r w:rsidRPr="006057FC">
        <w:rPr>
          <w:rFonts w:eastAsia="Times New Roman" w:cstheme="minorHAnsi"/>
          <w:lang w:val="en-US" w:bidi="en-US"/>
        </w:rPr>
        <w:t>Croux</w:t>
      </w:r>
      <w:proofErr w:type="spellEnd"/>
      <w:r w:rsidRPr="006057FC">
        <w:rPr>
          <w:rFonts w:eastAsia="Times New Roman" w:cstheme="minorHAnsi"/>
          <w:lang w:val="en-US" w:bidi="en-US"/>
        </w:rPr>
        <w:t xml:space="preserve">, 1993; </w:t>
      </w:r>
      <w:proofErr w:type="spellStart"/>
      <w:r w:rsidRPr="006057FC">
        <w:rPr>
          <w:rFonts w:eastAsia="Times New Roman" w:cstheme="minorHAnsi"/>
          <w:lang w:val="en-US" w:bidi="en-US"/>
        </w:rPr>
        <w:t>Rousseeuw</w:t>
      </w:r>
      <w:proofErr w:type="spellEnd"/>
      <w:r w:rsidRPr="006057FC">
        <w:rPr>
          <w:rFonts w:eastAsia="Times New Roman" w:cstheme="minorHAnsi"/>
          <w:lang w:val="en-US" w:bidi="en-US"/>
        </w:rPr>
        <w:t xml:space="preserve"> et al., 2006) method and 1.4826 as the appropriate correction factor for a normal distribution; log D</w:t>
      </w:r>
      <w:r w:rsidRPr="006057FC">
        <w:rPr>
          <w:rFonts w:eastAsia="Times New Roman" w:cstheme="minorHAnsi"/>
          <w:vertAlign w:val="subscript"/>
          <w:lang w:val="en-US" w:bidi="en-US"/>
        </w:rPr>
        <w:t>e</w:t>
      </w:r>
      <w:r w:rsidRPr="006057FC">
        <w:rPr>
          <w:rFonts w:eastAsia="Times New Roman" w:cstheme="minorHAnsi"/>
          <w:lang w:val="en-US" w:bidi="en-US"/>
        </w:rPr>
        <w:t xml:space="preserve"> values with </w:t>
      </w:r>
      <w:proofErr w:type="spellStart"/>
      <w:r w:rsidRPr="006057FC">
        <w:rPr>
          <w:rFonts w:eastAsia="Times New Roman" w:cstheme="minorHAnsi"/>
          <w:lang w:val="en-US" w:bidi="en-US"/>
        </w:rPr>
        <w:t>nMADs</w:t>
      </w:r>
      <w:proofErr w:type="spellEnd"/>
      <w:r w:rsidRPr="006057FC">
        <w:rPr>
          <w:rFonts w:eastAsia="Times New Roman" w:cstheme="minorHAnsi"/>
          <w:lang w:val="en-US" w:bidi="en-US"/>
        </w:rPr>
        <w:t xml:space="preserve"> of &gt;2.5 were considered outliers (Powell et al., 2002; </w:t>
      </w:r>
      <w:proofErr w:type="spellStart"/>
      <w:r w:rsidRPr="006057FC">
        <w:rPr>
          <w:rFonts w:eastAsia="Times New Roman" w:cstheme="minorHAnsi"/>
          <w:lang w:val="en-US" w:bidi="en-US"/>
        </w:rPr>
        <w:t>Storey</w:t>
      </w:r>
      <w:proofErr w:type="spellEnd"/>
      <w:r w:rsidRPr="006057FC">
        <w:rPr>
          <w:rFonts w:eastAsia="Times New Roman" w:cstheme="minorHAnsi"/>
          <w:lang w:val="en-US" w:bidi="en-US"/>
        </w:rPr>
        <w:t xml:space="preserve"> et al., 2012; Wood et al., 2016). </w:t>
      </w:r>
      <w:r w:rsidR="00B47661" w:rsidRPr="006057FC">
        <w:rPr>
          <w:rFonts w:eastAsia="Times New Roman" w:cstheme="minorHAnsi"/>
          <w:lang w:val="en-US" w:bidi="en-US"/>
        </w:rPr>
        <w:t xml:space="preserve">These distributions are also consistent with sediment that were well-bleached prior to deposition and </w:t>
      </w:r>
      <w:r w:rsidR="008A71C0" w:rsidRPr="006057FC">
        <w:rPr>
          <w:rFonts w:eastAsia="Times New Roman" w:cstheme="minorHAnsi"/>
          <w:lang w:val="en-US" w:bidi="en-US"/>
        </w:rPr>
        <w:t>that remained relatively undisturbed since burial. We assume that the statistical outliers that make up a very small percentage of grains (4–9%) are intrusive.</w:t>
      </w:r>
    </w:p>
    <w:p w14:paraId="61BA3B07" w14:textId="07ED9837" w:rsidR="0099686C" w:rsidRPr="006057FC" w:rsidRDefault="0099686C" w:rsidP="0099686C">
      <w:pPr>
        <w:rPr>
          <w:rFonts w:eastAsia="Times New Roman" w:cstheme="minorHAnsi"/>
          <w:lang w:val="en-US" w:bidi="en-US"/>
        </w:rPr>
      </w:pPr>
      <w:r w:rsidRPr="006057FC">
        <w:rPr>
          <w:rFonts w:eastAsia="Times New Roman" w:cstheme="minorHAnsi"/>
          <w:lang w:val="en-US" w:bidi="en-US"/>
        </w:rPr>
        <w:t xml:space="preserve">Table S2 give the CAM and </w:t>
      </w:r>
      <w:proofErr w:type="spellStart"/>
      <w:r w:rsidRPr="006057FC">
        <w:rPr>
          <w:rFonts w:eastAsia="Times New Roman" w:cstheme="minorHAnsi"/>
          <w:lang w:val="en-US" w:bidi="en-US"/>
        </w:rPr>
        <w:t>nMAD</w:t>
      </w:r>
      <w:proofErr w:type="spellEnd"/>
      <w:r w:rsidRPr="006057FC">
        <w:rPr>
          <w:rFonts w:eastAsia="Times New Roman" w:cstheme="minorHAnsi"/>
          <w:lang w:val="en-US" w:bidi="en-US"/>
        </w:rPr>
        <w:t xml:space="preserve"> CAM De values for all samples. The two approaches gave statistically consistent De estimates for all samples, except MRS17-8 that had a larger number of much smaller D</w:t>
      </w:r>
      <w:r w:rsidRPr="006057FC">
        <w:rPr>
          <w:rFonts w:eastAsia="Times New Roman" w:cstheme="minorHAnsi"/>
          <w:vertAlign w:val="subscript"/>
          <w:lang w:val="en-US" w:bidi="en-US"/>
        </w:rPr>
        <w:t>e</w:t>
      </w:r>
      <w:r w:rsidRPr="006057FC">
        <w:rPr>
          <w:rFonts w:eastAsia="Times New Roman" w:cstheme="minorHAnsi"/>
          <w:lang w:val="en-US" w:bidi="en-US"/>
        </w:rPr>
        <w:t xml:space="preserve"> values</w:t>
      </w:r>
      <w:r w:rsidR="002B3187" w:rsidRPr="006057FC">
        <w:rPr>
          <w:rFonts w:eastAsia="Times New Roman" w:cstheme="minorHAnsi"/>
          <w:lang w:val="en-US" w:bidi="en-US"/>
        </w:rPr>
        <w:t xml:space="preserve"> (including 8 grains with negative D</w:t>
      </w:r>
      <w:r w:rsidR="002B3187" w:rsidRPr="006057FC">
        <w:rPr>
          <w:rFonts w:eastAsia="Times New Roman" w:cstheme="minorHAnsi"/>
          <w:vertAlign w:val="subscript"/>
          <w:lang w:val="en-US" w:bidi="en-US"/>
        </w:rPr>
        <w:t>e</w:t>
      </w:r>
      <w:r w:rsidR="002B3187" w:rsidRPr="006057FC">
        <w:rPr>
          <w:rFonts w:eastAsia="Times New Roman" w:cstheme="minorHAnsi"/>
          <w:lang w:val="en-US" w:bidi="en-US"/>
        </w:rPr>
        <w:t xml:space="preserve"> values) that appear to be modern contamination and </w:t>
      </w:r>
      <w:r w:rsidRPr="006057FC">
        <w:rPr>
          <w:rFonts w:eastAsia="Times New Roman" w:cstheme="minorHAnsi"/>
          <w:lang w:val="en-US" w:bidi="en-US"/>
        </w:rPr>
        <w:t xml:space="preserve">that are clearly different from the majority of grains (Figure X). </w:t>
      </w:r>
    </w:p>
    <w:p w14:paraId="3D77F0B4" w14:textId="638962D3" w:rsidR="00206BDD" w:rsidRPr="006057FC" w:rsidRDefault="00206BDD" w:rsidP="00206BDD">
      <w:pPr>
        <w:spacing w:after="0"/>
        <w:rPr>
          <w:rFonts w:eastAsia="Times New Roman" w:cstheme="minorHAnsi"/>
          <w:i/>
          <w:iCs/>
          <w:lang w:val="en-US" w:bidi="en-US"/>
        </w:rPr>
      </w:pPr>
      <w:r w:rsidRPr="006057FC">
        <w:rPr>
          <w:rFonts w:eastAsia="Times New Roman" w:cstheme="minorHAnsi"/>
          <w:b/>
          <w:bCs/>
          <w:i/>
          <w:iCs/>
          <w:lang w:val="en-US" w:bidi="en-US"/>
        </w:rPr>
        <w:t>Table S2</w:t>
      </w:r>
      <w:r w:rsidRPr="006057FC">
        <w:rPr>
          <w:rFonts w:eastAsia="Times New Roman" w:cstheme="minorHAnsi"/>
          <w:i/>
          <w:iCs/>
          <w:lang w:val="en-US" w:bidi="en-US"/>
        </w:rPr>
        <w:t>: Comparison of D</w:t>
      </w:r>
      <w:r w:rsidRPr="006057FC">
        <w:rPr>
          <w:rFonts w:eastAsia="Times New Roman" w:cstheme="minorHAnsi"/>
          <w:i/>
          <w:iCs/>
          <w:vertAlign w:val="subscript"/>
          <w:lang w:val="en-US" w:bidi="en-US"/>
        </w:rPr>
        <w:t>e</w:t>
      </w:r>
      <w:r w:rsidRPr="006057FC">
        <w:rPr>
          <w:rFonts w:eastAsia="Times New Roman" w:cstheme="minorHAnsi"/>
          <w:i/>
          <w:iCs/>
          <w:lang w:val="en-US" w:bidi="en-US"/>
        </w:rPr>
        <w:t xml:space="preserve"> values derived using different approaches, but the same dataset. Values in bold are those used for final age determination.</w:t>
      </w:r>
    </w:p>
    <w:tbl>
      <w:tblPr>
        <w:tblStyle w:val="Tabellenraster"/>
        <w:tblW w:w="6493" w:type="dxa"/>
        <w:tblLook w:val="04A0" w:firstRow="1" w:lastRow="0" w:firstColumn="1" w:lastColumn="0" w:noHBand="0" w:noVBand="1"/>
      </w:tblPr>
      <w:tblGrid>
        <w:gridCol w:w="1560"/>
        <w:gridCol w:w="992"/>
        <w:gridCol w:w="1171"/>
        <w:gridCol w:w="1385"/>
        <w:gridCol w:w="1385"/>
      </w:tblGrid>
      <w:tr w:rsidR="00206BDD" w:rsidRPr="006057FC" w14:paraId="4B76377A" w14:textId="77777777" w:rsidTr="00B915CD">
        <w:tc>
          <w:tcPr>
            <w:tcW w:w="1560" w:type="dxa"/>
            <w:tcBorders>
              <w:top w:val="single" w:sz="4" w:space="0" w:color="auto"/>
              <w:left w:val="nil"/>
              <w:bottom w:val="single" w:sz="4" w:space="0" w:color="auto"/>
              <w:right w:val="nil"/>
            </w:tcBorders>
            <w:vAlign w:val="center"/>
          </w:tcPr>
          <w:p w14:paraId="47FBCA40" w14:textId="77777777" w:rsidR="00206BDD" w:rsidRPr="006057FC" w:rsidRDefault="00206BDD" w:rsidP="00206BDD">
            <w:pPr>
              <w:rPr>
                <w:rFonts w:ascii="Calibri" w:eastAsia="Calibri" w:hAnsi="Calibri" w:cs="Times New Roman"/>
              </w:rPr>
            </w:pPr>
            <w:r w:rsidRPr="006057FC">
              <w:rPr>
                <w:rFonts w:ascii="Times New Roman" w:eastAsia="Calibri" w:hAnsi="Times New Roman" w:cs="Times New Roman"/>
                <w:b/>
              </w:rPr>
              <w:t>Sample</w:t>
            </w:r>
          </w:p>
        </w:tc>
        <w:tc>
          <w:tcPr>
            <w:tcW w:w="992" w:type="dxa"/>
            <w:tcBorders>
              <w:top w:val="single" w:sz="4" w:space="0" w:color="auto"/>
              <w:left w:val="nil"/>
              <w:bottom w:val="single" w:sz="4" w:space="0" w:color="auto"/>
              <w:right w:val="nil"/>
            </w:tcBorders>
            <w:vAlign w:val="center"/>
          </w:tcPr>
          <w:p w14:paraId="218AE11A" w14:textId="77777777" w:rsidR="00206BDD" w:rsidRPr="006057FC" w:rsidRDefault="00206BDD" w:rsidP="00206BDD">
            <w:pPr>
              <w:rPr>
                <w:rFonts w:ascii="Calibri" w:eastAsia="Calibri" w:hAnsi="Calibri" w:cs="Times New Roman"/>
              </w:rPr>
            </w:pPr>
            <w:r w:rsidRPr="006057FC">
              <w:rPr>
                <w:rFonts w:ascii="Times New Roman" w:eastAsia="Calibri" w:hAnsi="Times New Roman" w:cs="Times New Roman"/>
                <w:b/>
              </w:rPr>
              <w:t>Layer</w:t>
            </w:r>
          </w:p>
        </w:tc>
        <w:tc>
          <w:tcPr>
            <w:tcW w:w="1171" w:type="dxa"/>
            <w:tcBorders>
              <w:top w:val="single" w:sz="4" w:space="0" w:color="auto"/>
              <w:left w:val="nil"/>
              <w:bottom w:val="single" w:sz="4" w:space="0" w:color="auto"/>
              <w:right w:val="nil"/>
            </w:tcBorders>
            <w:vAlign w:val="center"/>
          </w:tcPr>
          <w:p w14:paraId="67EA72D7" w14:textId="77777777" w:rsidR="00206BDD" w:rsidRPr="006057FC" w:rsidRDefault="00206BDD" w:rsidP="00206BDD">
            <w:pPr>
              <w:jc w:val="center"/>
              <w:rPr>
                <w:rFonts w:ascii="Calibri" w:eastAsia="Calibri" w:hAnsi="Calibri" w:cs="Times New Roman"/>
              </w:rPr>
            </w:pPr>
            <w:r w:rsidRPr="006057FC">
              <w:rPr>
                <w:rFonts w:ascii="Calibri" w:eastAsia="Calibri" w:hAnsi="Calibri" w:cs="Times New Roman"/>
              </w:rPr>
              <w:t>CAM D</w:t>
            </w:r>
            <w:r w:rsidRPr="006057FC">
              <w:rPr>
                <w:rFonts w:ascii="Calibri" w:eastAsia="Calibri" w:hAnsi="Calibri" w:cs="Times New Roman"/>
                <w:vertAlign w:val="subscript"/>
              </w:rPr>
              <w:t>e</w:t>
            </w:r>
            <w:r w:rsidRPr="006057FC">
              <w:rPr>
                <w:rFonts w:ascii="Calibri" w:eastAsia="Calibri" w:hAnsi="Calibri" w:cs="Times New Roman"/>
              </w:rPr>
              <w:t xml:space="preserve"> (Gy)</w:t>
            </w:r>
          </w:p>
        </w:tc>
        <w:tc>
          <w:tcPr>
            <w:tcW w:w="1385" w:type="dxa"/>
            <w:tcBorders>
              <w:top w:val="single" w:sz="4" w:space="0" w:color="auto"/>
              <w:left w:val="nil"/>
              <w:bottom w:val="single" w:sz="4" w:space="0" w:color="auto"/>
              <w:right w:val="single" w:sz="4" w:space="0" w:color="auto"/>
            </w:tcBorders>
          </w:tcPr>
          <w:p w14:paraId="28449E7D" w14:textId="77777777" w:rsidR="00206BDD" w:rsidRPr="006057FC" w:rsidRDefault="00206BDD" w:rsidP="00206BDD">
            <w:pPr>
              <w:jc w:val="center"/>
              <w:rPr>
                <w:rFonts w:ascii="Calibri" w:eastAsia="Calibri" w:hAnsi="Calibri" w:cs="Times New Roman"/>
              </w:rPr>
            </w:pPr>
            <w:proofErr w:type="spellStart"/>
            <w:r w:rsidRPr="006057FC">
              <w:rPr>
                <w:rFonts w:ascii="Calibri" w:eastAsia="Calibri" w:hAnsi="Calibri" w:cs="Times New Roman"/>
              </w:rPr>
              <w:t>nMAD</w:t>
            </w:r>
            <w:proofErr w:type="spellEnd"/>
            <w:r w:rsidRPr="006057FC">
              <w:rPr>
                <w:rFonts w:ascii="Calibri" w:eastAsia="Calibri" w:hAnsi="Calibri" w:cs="Times New Roman"/>
              </w:rPr>
              <w:t xml:space="preserve"> CAM D</w:t>
            </w:r>
            <w:r w:rsidRPr="006057FC">
              <w:rPr>
                <w:rFonts w:ascii="Calibri" w:eastAsia="Calibri" w:hAnsi="Calibri" w:cs="Times New Roman"/>
                <w:vertAlign w:val="subscript"/>
              </w:rPr>
              <w:t>e</w:t>
            </w:r>
            <w:r w:rsidRPr="006057FC">
              <w:rPr>
                <w:rFonts w:ascii="Calibri" w:eastAsia="Calibri" w:hAnsi="Calibri" w:cs="Times New Roman"/>
              </w:rPr>
              <w:t xml:space="preserve"> (</w:t>
            </w:r>
            <w:proofErr w:type="spellStart"/>
            <w:r w:rsidRPr="006057FC">
              <w:rPr>
                <w:rFonts w:ascii="Calibri" w:eastAsia="Calibri" w:hAnsi="Calibri" w:cs="Times New Roman"/>
              </w:rPr>
              <w:t>Gy</w:t>
            </w:r>
            <w:proofErr w:type="spellEnd"/>
            <w:r w:rsidRPr="006057FC">
              <w:rPr>
                <w:rFonts w:ascii="Calibri" w:eastAsia="Calibri" w:hAnsi="Calibri" w:cs="Times New Roman"/>
              </w:rPr>
              <w:t>)</w:t>
            </w:r>
          </w:p>
        </w:tc>
        <w:tc>
          <w:tcPr>
            <w:tcW w:w="1385" w:type="dxa"/>
            <w:tcBorders>
              <w:top w:val="single" w:sz="4" w:space="0" w:color="auto"/>
              <w:left w:val="single" w:sz="4" w:space="0" w:color="auto"/>
              <w:bottom w:val="single" w:sz="4" w:space="0" w:color="auto"/>
              <w:right w:val="nil"/>
            </w:tcBorders>
            <w:vAlign w:val="center"/>
          </w:tcPr>
          <w:p w14:paraId="6B80E8F7" w14:textId="77777777" w:rsidR="00206BDD" w:rsidRPr="006057FC" w:rsidRDefault="00206BDD" w:rsidP="00206BDD">
            <w:pPr>
              <w:jc w:val="center"/>
              <w:rPr>
                <w:rFonts w:ascii="Calibri" w:eastAsia="Calibri" w:hAnsi="Calibri" w:cs="Times New Roman"/>
              </w:rPr>
            </w:pPr>
            <w:r w:rsidRPr="006057FC">
              <w:rPr>
                <w:rFonts w:ascii="Calibri" w:eastAsia="Calibri" w:hAnsi="Calibri" w:cs="Times New Roman"/>
              </w:rPr>
              <w:t>L</w:t>
            </w:r>
            <w:r w:rsidRPr="006057FC">
              <w:rPr>
                <w:rFonts w:ascii="Calibri" w:eastAsia="Calibri" w:hAnsi="Calibri" w:cs="Times New Roman"/>
                <w:vertAlign w:val="subscript"/>
              </w:rPr>
              <w:t>n</w:t>
            </w:r>
            <w:r w:rsidRPr="006057FC">
              <w:rPr>
                <w:rFonts w:ascii="Calibri" w:eastAsia="Calibri" w:hAnsi="Calibri" w:cs="Times New Roman"/>
              </w:rPr>
              <w:t>T</w:t>
            </w:r>
            <w:r w:rsidRPr="006057FC">
              <w:rPr>
                <w:rFonts w:ascii="Calibri" w:eastAsia="Calibri" w:hAnsi="Calibri" w:cs="Times New Roman"/>
                <w:vertAlign w:val="subscript"/>
              </w:rPr>
              <w:t>n</w:t>
            </w:r>
            <w:r w:rsidRPr="006057FC">
              <w:rPr>
                <w:rFonts w:ascii="Calibri" w:eastAsia="Calibri" w:hAnsi="Calibri" w:cs="Times New Roman"/>
              </w:rPr>
              <w:t xml:space="preserve"> D</w:t>
            </w:r>
            <w:r w:rsidRPr="006057FC">
              <w:rPr>
                <w:rFonts w:ascii="Calibri" w:eastAsia="Calibri" w:hAnsi="Calibri" w:cs="Times New Roman"/>
                <w:vertAlign w:val="subscript"/>
              </w:rPr>
              <w:t>e</w:t>
            </w:r>
            <w:r w:rsidRPr="006057FC">
              <w:rPr>
                <w:rFonts w:ascii="Calibri" w:eastAsia="Calibri" w:hAnsi="Calibri" w:cs="Times New Roman"/>
              </w:rPr>
              <w:t xml:space="preserve"> (Gy)</w:t>
            </w:r>
          </w:p>
        </w:tc>
      </w:tr>
      <w:tr w:rsidR="00206BDD" w:rsidRPr="006057FC" w14:paraId="5EE93E3B" w14:textId="77777777" w:rsidTr="00B915CD">
        <w:tc>
          <w:tcPr>
            <w:tcW w:w="1560" w:type="dxa"/>
            <w:tcBorders>
              <w:top w:val="nil"/>
              <w:left w:val="nil"/>
              <w:bottom w:val="nil"/>
              <w:right w:val="nil"/>
            </w:tcBorders>
          </w:tcPr>
          <w:p w14:paraId="113B24F4" w14:textId="77777777" w:rsidR="00206BDD" w:rsidRPr="006057FC" w:rsidRDefault="00206BDD" w:rsidP="00206BDD">
            <w:pPr>
              <w:rPr>
                <w:rFonts w:ascii="Calibri" w:eastAsia="Calibri" w:hAnsi="Calibri" w:cs="Times New Roman"/>
              </w:rPr>
            </w:pPr>
            <w:r w:rsidRPr="006057FC">
              <w:rPr>
                <w:rFonts w:ascii="Times New Roman" w:eastAsia="Calibri" w:hAnsi="Times New Roman" w:cs="Times New Roman"/>
                <w:sz w:val="20"/>
                <w:szCs w:val="20"/>
              </w:rPr>
              <w:t>MRS17-8</w:t>
            </w:r>
          </w:p>
        </w:tc>
        <w:tc>
          <w:tcPr>
            <w:tcW w:w="992" w:type="dxa"/>
            <w:tcBorders>
              <w:top w:val="nil"/>
              <w:left w:val="nil"/>
              <w:bottom w:val="nil"/>
              <w:right w:val="nil"/>
            </w:tcBorders>
          </w:tcPr>
          <w:p w14:paraId="2505721E" w14:textId="77777777" w:rsidR="00206BDD" w:rsidRPr="006057FC" w:rsidRDefault="00206BDD" w:rsidP="00206BDD">
            <w:pPr>
              <w:rPr>
                <w:rFonts w:ascii="Calibri" w:eastAsia="Calibri" w:hAnsi="Calibri" w:cs="Times New Roman"/>
              </w:rPr>
            </w:pPr>
            <w:r w:rsidRPr="006057FC">
              <w:rPr>
                <w:rFonts w:ascii="Times New Roman" w:eastAsia="Calibri" w:hAnsi="Times New Roman" w:cs="Times New Roman"/>
                <w:sz w:val="20"/>
                <w:szCs w:val="20"/>
              </w:rPr>
              <w:t>RGBS</w:t>
            </w:r>
          </w:p>
        </w:tc>
        <w:tc>
          <w:tcPr>
            <w:tcW w:w="1171" w:type="dxa"/>
            <w:tcBorders>
              <w:top w:val="nil"/>
              <w:left w:val="nil"/>
              <w:bottom w:val="nil"/>
              <w:right w:val="nil"/>
            </w:tcBorders>
            <w:vAlign w:val="center"/>
          </w:tcPr>
          <w:p w14:paraId="5CF7BBB1" w14:textId="77777777" w:rsidR="00206BDD" w:rsidRPr="006057FC" w:rsidRDefault="00206BDD" w:rsidP="00206BDD">
            <w:pPr>
              <w:jc w:val="center"/>
              <w:rPr>
                <w:rFonts w:ascii="Calibri" w:eastAsia="Calibri" w:hAnsi="Calibri" w:cs="Times New Roman"/>
              </w:rPr>
            </w:pPr>
            <w:r w:rsidRPr="006057FC">
              <w:rPr>
                <w:rFonts w:ascii="Calibri" w:eastAsia="Calibri" w:hAnsi="Calibri" w:cs="Times New Roman"/>
              </w:rPr>
              <w:t xml:space="preserve">42.8 </w:t>
            </w:r>
            <w:r w:rsidRPr="006057FC">
              <w:rPr>
                <w:rFonts w:ascii="Calibri" w:eastAsia="Calibri" w:hAnsi="Calibri" w:cs="Calibri"/>
              </w:rPr>
              <w:t>±</w:t>
            </w:r>
            <w:r w:rsidRPr="006057FC">
              <w:rPr>
                <w:rFonts w:ascii="Calibri" w:eastAsia="Calibri" w:hAnsi="Calibri" w:cs="Times New Roman"/>
              </w:rPr>
              <w:t xml:space="preserve"> 1.9</w:t>
            </w:r>
          </w:p>
        </w:tc>
        <w:tc>
          <w:tcPr>
            <w:tcW w:w="1385" w:type="dxa"/>
            <w:tcBorders>
              <w:top w:val="nil"/>
              <w:left w:val="nil"/>
              <w:bottom w:val="nil"/>
              <w:right w:val="single" w:sz="4" w:space="0" w:color="auto"/>
            </w:tcBorders>
          </w:tcPr>
          <w:p w14:paraId="26E86A7E" w14:textId="77777777" w:rsidR="00206BDD" w:rsidRPr="006057FC" w:rsidRDefault="00206BDD" w:rsidP="00206BDD">
            <w:pPr>
              <w:jc w:val="center"/>
              <w:rPr>
                <w:rFonts w:ascii="Calibri" w:eastAsia="Calibri" w:hAnsi="Calibri" w:cs="Times New Roman"/>
                <w:b/>
                <w:bCs/>
              </w:rPr>
            </w:pPr>
            <w:r w:rsidRPr="006057FC">
              <w:rPr>
                <w:rFonts w:ascii="Calibri" w:eastAsia="Calibri" w:hAnsi="Calibri" w:cs="Times New Roman"/>
                <w:b/>
                <w:bCs/>
              </w:rPr>
              <w:t xml:space="preserve">47.1 </w:t>
            </w:r>
            <w:r w:rsidRPr="006057FC">
              <w:rPr>
                <w:rFonts w:ascii="Calibri" w:eastAsia="Calibri" w:hAnsi="Calibri" w:cs="Calibri"/>
                <w:b/>
                <w:bCs/>
              </w:rPr>
              <w:t>±</w:t>
            </w:r>
            <w:r w:rsidRPr="006057FC">
              <w:rPr>
                <w:rFonts w:ascii="Calibri" w:eastAsia="Calibri" w:hAnsi="Calibri" w:cs="Times New Roman"/>
                <w:b/>
                <w:bCs/>
              </w:rPr>
              <w:t xml:space="preserve"> 1.1</w:t>
            </w:r>
          </w:p>
        </w:tc>
        <w:tc>
          <w:tcPr>
            <w:tcW w:w="1385" w:type="dxa"/>
            <w:tcBorders>
              <w:top w:val="nil"/>
              <w:left w:val="single" w:sz="4" w:space="0" w:color="auto"/>
              <w:bottom w:val="nil"/>
              <w:right w:val="nil"/>
            </w:tcBorders>
            <w:vAlign w:val="center"/>
          </w:tcPr>
          <w:p w14:paraId="3D4A1A8C" w14:textId="77777777" w:rsidR="00206BDD" w:rsidRPr="006057FC" w:rsidRDefault="00206BDD" w:rsidP="00206BDD">
            <w:pPr>
              <w:jc w:val="center"/>
              <w:rPr>
                <w:rFonts w:ascii="Calibri" w:eastAsia="Calibri" w:hAnsi="Calibri" w:cs="Times New Roman"/>
              </w:rPr>
            </w:pPr>
            <w:r w:rsidRPr="006057FC">
              <w:rPr>
                <w:rFonts w:ascii="Calibri" w:eastAsia="Calibri" w:hAnsi="Calibri" w:cs="Times New Roman"/>
              </w:rPr>
              <w:t xml:space="preserve">46.5 </w:t>
            </w:r>
            <w:r w:rsidRPr="006057FC">
              <w:rPr>
                <w:rFonts w:ascii="Calibri" w:eastAsia="Calibri" w:hAnsi="Calibri" w:cs="Calibri"/>
              </w:rPr>
              <w:t>±</w:t>
            </w:r>
            <w:r w:rsidRPr="006057FC">
              <w:rPr>
                <w:rFonts w:ascii="Calibri" w:eastAsia="Calibri" w:hAnsi="Calibri" w:cs="Times New Roman"/>
              </w:rPr>
              <w:t xml:space="preserve"> 2.0</w:t>
            </w:r>
          </w:p>
        </w:tc>
      </w:tr>
      <w:tr w:rsidR="00206BDD" w:rsidRPr="006057FC" w14:paraId="04E28E47" w14:textId="77777777" w:rsidTr="00B915CD">
        <w:tc>
          <w:tcPr>
            <w:tcW w:w="1560" w:type="dxa"/>
            <w:tcBorders>
              <w:top w:val="nil"/>
              <w:left w:val="nil"/>
              <w:bottom w:val="nil"/>
              <w:right w:val="nil"/>
            </w:tcBorders>
          </w:tcPr>
          <w:p w14:paraId="35054150" w14:textId="77777777" w:rsidR="00206BDD" w:rsidRPr="006057FC" w:rsidRDefault="00206BDD" w:rsidP="00206BDD">
            <w:pPr>
              <w:rPr>
                <w:rFonts w:ascii="Calibri" w:eastAsia="Calibri" w:hAnsi="Calibri" w:cs="Times New Roman"/>
              </w:rPr>
            </w:pPr>
            <w:r w:rsidRPr="006057FC">
              <w:rPr>
                <w:rFonts w:ascii="Times New Roman" w:eastAsia="Calibri" w:hAnsi="Times New Roman" w:cs="Times New Roman"/>
                <w:sz w:val="20"/>
                <w:szCs w:val="20"/>
              </w:rPr>
              <w:t>MRS6</w:t>
            </w:r>
          </w:p>
        </w:tc>
        <w:tc>
          <w:tcPr>
            <w:tcW w:w="992" w:type="dxa"/>
            <w:tcBorders>
              <w:top w:val="nil"/>
              <w:left w:val="nil"/>
              <w:bottom w:val="nil"/>
              <w:right w:val="nil"/>
            </w:tcBorders>
          </w:tcPr>
          <w:p w14:paraId="25A778C6" w14:textId="77777777" w:rsidR="00206BDD" w:rsidRPr="006057FC" w:rsidRDefault="00206BDD" w:rsidP="00206BDD">
            <w:pPr>
              <w:rPr>
                <w:rFonts w:ascii="Calibri" w:eastAsia="Calibri" w:hAnsi="Calibri" w:cs="Times New Roman"/>
              </w:rPr>
            </w:pPr>
            <w:r w:rsidRPr="006057FC">
              <w:rPr>
                <w:rFonts w:ascii="Times New Roman" w:eastAsia="Calibri" w:hAnsi="Times New Roman" w:cs="Times New Roman"/>
                <w:sz w:val="20"/>
                <w:szCs w:val="20"/>
              </w:rPr>
              <w:t>VDGS</w:t>
            </w:r>
          </w:p>
        </w:tc>
        <w:tc>
          <w:tcPr>
            <w:tcW w:w="1171" w:type="dxa"/>
            <w:tcBorders>
              <w:top w:val="nil"/>
              <w:left w:val="nil"/>
              <w:bottom w:val="nil"/>
              <w:right w:val="nil"/>
            </w:tcBorders>
            <w:vAlign w:val="center"/>
          </w:tcPr>
          <w:p w14:paraId="24D10E30" w14:textId="77777777" w:rsidR="00206BDD" w:rsidRPr="006057FC" w:rsidRDefault="00206BDD" w:rsidP="00206BDD">
            <w:pPr>
              <w:jc w:val="center"/>
              <w:rPr>
                <w:rFonts w:ascii="Calibri" w:eastAsia="Calibri" w:hAnsi="Calibri" w:cs="Times New Roman"/>
                <w:b/>
                <w:bCs/>
              </w:rPr>
            </w:pPr>
            <w:r w:rsidRPr="006057FC">
              <w:rPr>
                <w:rFonts w:ascii="Calibri" w:eastAsia="Calibri" w:hAnsi="Calibri" w:cs="Times New Roman"/>
                <w:b/>
                <w:bCs/>
              </w:rPr>
              <w:t xml:space="preserve">44.8 </w:t>
            </w:r>
            <w:r w:rsidRPr="006057FC">
              <w:rPr>
                <w:rFonts w:ascii="Calibri" w:eastAsia="Calibri" w:hAnsi="Calibri" w:cs="Calibri"/>
                <w:b/>
                <w:bCs/>
              </w:rPr>
              <w:t>±</w:t>
            </w:r>
            <w:r w:rsidRPr="006057FC">
              <w:rPr>
                <w:rFonts w:ascii="Calibri" w:eastAsia="Calibri" w:hAnsi="Calibri" w:cs="Times New Roman"/>
                <w:b/>
                <w:bCs/>
              </w:rPr>
              <w:t xml:space="preserve"> 1.2</w:t>
            </w:r>
          </w:p>
        </w:tc>
        <w:tc>
          <w:tcPr>
            <w:tcW w:w="1385" w:type="dxa"/>
            <w:tcBorders>
              <w:top w:val="nil"/>
              <w:left w:val="nil"/>
              <w:bottom w:val="nil"/>
              <w:right w:val="single" w:sz="4" w:space="0" w:color="auto"/>
            </w:tcBorders>
          </w:tcPr>
          <w:p w14:paraId="0319FB24" w14:textId="77777777" w:rsidR="00206BDD" w:rsidRPr="006057FC" w:rsidRDefault="00206BDD" w:rsidP="00206BDD">
            <w:pPr>
              <w:jc w:val="center"/>
              <w:rPr>
                <w:rFonts w:ascii="Calibri" w:eastAsia="Calibri" w:hAnsi="Calibri" w:cs="Times New Roman"/>
              </w:rPr>
            </w:pPr>
            <w:r w:rsidRPr="006057FC">
              <w:rPr>
                <w:rFonts w:ascii="Calibri" w:eastAsia="Calibri" w:hAnsi="Calibri" w:cs="Times New Roman"/>
              </w:rPr>
              <w:t xml:space="preserve">45.1 </w:t>
            </w:r>
            <w:r w:rsidRPr="006057FC">
              <w:rPr>
                <w:rFonts w:ascii="Calibri" w:eastAsia="Calibri" w:hAnsi="Calibri" w:cs="Calibri"/>
              </w:rPr>
              <w:t>±</w:t>
            </w:r>
            <w:r w:rsidRPr="006057FC">
              <w:rPr>
                <w:rFonts w:ascii="Calibri" w:eastAsia="Calibri" w:hAnsi="Calibri" w:cs="Times New Roman"/>
              </w:rPr>
              <w:t xml:space="preserve"> 1.2</w:t>
            </w:r>
          </w:p>
        </w:tc>
        <w:tc>
          <w:tcPr>
            <w:tcW w:w="1385" w:type="dxa"/>
            <w:tcBorders>
              <w:top w:val="nil"/>
              <w:left w:val="single" w:sz="4" w:space="0" w:color="auto"/>
              <w:bottom w:val="nil"/>
              <w:right w:val="nil"/>
            </w:tcBorders>
            <w:vAlign w:val="center"/>
          </w:tcPr>
          <w:p w14:paraId="16C4544B" w14:textId="77777777" w:rsidR="00206BDD" w:rsidRPr="006057FC" w:rsidRDefault="00206BDD" w:rsidP="00206BDD">
            <w:pPr>
              <w:jc w:val="center"/>
              <w:rPr>
                <w:rFonts w:ascii="Calibri" w:eastAsia="Calibri" w:hAnsi="Calibri" w:cs="Times New Roman"/>
              </w:rPr>
            </w:pPr>
            <w:r w:rsidRPr="006057FC">
              <w:rPr>
                <w:rFonts w:ascii="Calibri" w:eastAsia="Calibri" w:hAnsi="Calibri" w:cs="Times New Roman"/>
              </w:rPr>
              <w:t xml:space="preserve">46.4 </w:t>
            </w:r>
            <w:r w:rsidRPr="006057FC">
              <w:rPr>
                <w:rFonts w:ascii="Calibri" w:eastAsia="Calibri" w:hAnsi="Calibri" w:cs="Calibri"/>
              </w:rPr>
              <w:t>±</w:t>
            </w:r>
            <w:r w:rsidRPr="006057FC">
              <w:rPr>
                <w:rFonts w:ascii="Calibri" w:eastAsia="Calibri" w:hAnsi="Calibri" w:cs="Times New Roman"/>
              </w:rPr>
              <w:t xml:space="preserve"> 1.8</w:t>
            </w:r>
          </w:p>
        </w:tc>
      </w:tr>
      <w:tr w:rsidR="00206BDD" w:rsidRPr="006057FC" w14:paraId="26E15596" w14:textId="77777777" w:rsidTr="00B915CD">
        <w:tc>
          <w:tcPr>
            <w:tcW w:w="1560" w:type="dxa"/>
            <w:tcBorders>
              <w:top w:val="nil"/>
              <w:left w:val="nil"/>
              <w:bottom w:val="nil"/>
              <w:right w:val="nil"/>
            </w:tcBorders>
          </w:tcPr>
          <w:p w14:paraId="0278F9C9" w14:textId="77777777" w:rsidR="00206BDD" w:rsidRPr="006057FC" w:rsidRDefault="00206BDD" w:rsidP="00206BDD">
            <w:pPr>
              <w:rPr>
                <w:rFonts w:ascii="Calibri" w:eastAsia="Calibri" w:hAnsi="Calibri" w:cs="Times New Roman"/>
              </w:rPr>
            </w:pPr>
            <w:r w:rsidRPr="006057FC">
              <w:rPr>
                <w:rFonts w:ascii="Times New Roman" w:eastAsia="Calibri" w:hAnsi="Times New Roman" w:cs="Times New Roman"/>
                <w:sz w:val="20"/>
                <w:szCs w:val="20"/>
              </w:rPr>
              <w:t>MRS5</w:t>
            </w:r>
          </w:p>
        </w:tc>
        <w:tc>
          <w:tcPr>
            <w:tcW w:w="992" w:type="dxa"/>
            <w:tcBorders>
              <w:top w:val="nil"/>
              <w:left w:val="nil"/>
              <w:bottom w:val="nil"/>
              <w:right w:val="nil"/>
            </w:tcBorders>
          </w:tcPr>
          <w:p w14:paraId="76134C23" w14:textId="77777777" w:rsidR="00206BDD" w:rsidRPr="006057FC" w:rsidRDefault="00206BDD" w:rsidP="00206BDD">
            <w:pPr>
              <w:rPr>
                <w:rFonts w:ascii="Calibri" w:eastAsia="Calibri" w:hAnsi="Calibri" w:cs="Times New Roman"/>
              </w:rPr>
            </w:pPr>
            <w:r w:rsidRPr="006057FC">
              <w:rPr>
                <w:rFonts w:ascii="Times New Roman" w:eastAsia="Calibri" w:hAnsi="Times New Roman" w:cs="Times New Roman"/>
                <w:sz w:val="20"/>
                <w:szCs w:val="20"/>
              </w:rPr>
              <w:t>CWGS</w:t>
            </w:r>
          </w:p>
        </w:tc>
        <w:tc>
          <w:tcPr>
            <w:tcW w:w="1171" w:type="dxa"/>
            <w:tcBorders>
              <w:top w:val="nil"/>
              <w:left w:val="nil"/>
              <w:bottom w:val="nil"/>
              <w:right w:val="nil"/>
            </w:tcBorders>
            <w:vAlign w:val="center"/>
          </w:tcPr>
          <w:p w14:paraId="5D5CDCCB" w14:textId="77777777" w:rsidR="00206BDD" w:rsidRPr="006057FC" w:rsidRDefault="00206BDD" w:rsidP="00206BDD">
            <w:pPr>
              <w:jc w:val="center"/>
              <w:rPr>
                <w:rFonts w:ascii="Calibri" w:eastAsia="Calibri" w:hAnsi="Calibri" w:cs="Times New Roman"/>
                <w:b/>
                <w:bCs/>
              </w:rPr>
            </w:pPr>
            <w:r w:rsidRPr="006057FC">
              <w:rPr>
                <w:rFonts w:ascii="Calibri" w:eastAsia="Calibri" w:hAnsi="Calibri" w:cs="Times New Roman"/>
                <w:b/>
                <w:bCs/>
              </w:rPr>
              <w:t xml:space="preserve">75.1 </w:t>
            </w:r>
            <w:r w:rsidRPr="006057FC">
              <w:rPr>
                <w:rFonts w:ascii="Calibri" w:eastAsia="Calibri" w:hAnsi="Calibri" w:cs="Calibri"/>
                <w:b/>
                <w:bCs/>
              </w:rPr>
              <w:t>±</w:t>
            </w:r>
            <w:r w:rsidRPr="006057FC">
              <w:rPr>
                <w:rFonts w:ascii="Calibri" w:eastAsia="Calibri" w:hAnsi="Calibri" w:cs="Times New Roman"/>
                <w:b/>
                <w:bCs/>
              </w:rPr>
              <w:t xml:space="preserve"> 1.7</w:t>
            </w:r>
          </w:p>
        </w:tc>
        <w:tc>
          <w:tcPr>
            <w:tcW w:w="1385" w:type="dxa"/>
            <w:tcBorders>
              <w:top w:val="nil"/>
              <w:left w:val="nil"/>
              <w:bottom w:val="nil"/>
              <w:right w:val="single" w:sz="4" w:space="0" w:color="auto"/>
            </w:tcBorders>
          </w:tcPr>
          <w:p w14:paraId="4E8F2EE3" w14:textId="77777777" w:rsidR="00206BDD" w:rsidRPr="006057FC" w:rsidRDefault="00206BDD" w:rsidP="00206BDD">
            <w:pPr>
              <w:jc w:val="center"/>
              <w:rPr>
                <w:rFonts w:ascii="Calibri" w:eastAsia="Calibri" w:hAnsi="Calibri" w:cs="Times New Roman"/>
              </w:rPr>
            </w:pPr>
            <w:r w:rsidRPr="006057FC">
              <w:rPr>
                <w:rFonts w:ascii="Calibri" w:eastAsia="Calibri" w:hAnsi="Calibri" w:cs="Times New Roman"/>
              </w:rPr>
              <w:t xml:space="preserve">74.1 </w:t>
            </w:r>
            <w:r w:rsidRPr="006057FC">
              <w:rPr>
                <w:rFonts w:ascii="Calibri" w:eastAsia="Calibri" w:hAnsi="Calibri" w:cs="Calibri"/>
              </w:rPr>
              <w:t>±</w:t>
            </w:r>
            <w:r w:rsidRPr="006057FC">
              <w:rPr>
                <w:rFonts w:ascii="Calibri" w:eastAsia="Calibri" w:hAnsi="Calibri" w:cs="Times New Roman"/>
              </w:rPr>
              <w:t xml:space="preserve"> 1.5</w:t>
            </w:r>
          </w:p>
        </w:tc>
        <w:tc>
          <w:tcPr>
            <w:tcW w:w="1385" w:type="dxa"/>
            <w:tcBorders>
              <w:top w:val="nil"/>
              <w:left w:val="single" w:sz="4" w:space="0" w:color="auto"/>
              <w:bottom w:val="nil"/>
              <w:right w:val="nil"/>
            </w:tcBorders>
            <w:vAlign w:val="center"/>
          </w:tcPr>
          <w:p w14:paraId="66069DD1" w14:textId="77777777" w:rsidR="00206BDD" w:rsidRPr="006057FC" w:rsidRDefault="00206BDD" w:rsidP="00206BDD">
            <w:pPr>
              <w:jc w:val="center"/>
              <w:rPr>
                <w:rFonts w:ascii="Calibri" w:eastAsia="Calibri" w:hAnsi="Calibri" w:cs="Times New Roman"/>
              </w:rPr>
            </w:pPr>
            <w:r w:rsidRPr="006057FC">
              <w:rPr>
                <w:rFonts w:ascii="Calibri" w:eastAsia="Calibri" w:hAnsi="Calibri" w:cs="Times New Roman"/>
              </w:rPr>
              <w:t xml:space="preserve">74.5 </w:t>
            </w:r>
            <w:r w:rsidRPr="006057FC">
              <w:rPr>
                <w:rFonts w:ascii="Calibri" w:eastAsia="Calibri" w:hAnsi="Calibri" w:cs="Calibri"/>
              </w:rPr>
              <w:t>±</w:t>
            </w:r>
            <w:r w:rsidRPr="006057FC">
              <w:rPr>
                <w:rFonts w:ascii="Calibri" w:eastAsia="Calibri" w:hAnsi="Calibri" w:cs="Times New Roman"/>
              </w:rPr>
              <w:t xml:space="preserve"> 1.8</w:t>
            </w:r>
          </w:p>
        </w:tc>
      </w:tr>
      <w:tr w:rsidR="00206BDD" w:rsidRPr="006057FC" w14:paraId="7E9206D1" w14:textId="77777777" w:rsidTr="00B915CD">
        <w:tc>
          <w:tcPr>
            <w:tcW w:w="1560" w:type="dxa"/>
            <w:tcBorders>
              <w:top w:val="nil"/>
              <w:left w:val="nil"/>
              <w:bottom w:val="nil"/>
              <w:right w:val="nil"/>
            </w:tcBorders>
          </w:tcPr>
          <w:p w14:paraId="2D9D1C3B" w14:textId="77777777" w:rsidR="00206BDD" w:rsidRPr="006057FC" w:rsidRDefault="00206BDD" w:rsidP="00206BDD">
            <w:pPr>
              <w:rPr>
                <w:rFonts w:ascii="Calibri" w:eastAsia="Calibri" w:hAnsi="Calibri" w:cs="Times New Roman"/>
              </w:rPr>
            </w:pPr>
            <w:r w:rsidRPr="006057FC">
              <w:rPr>
                <w:rFonts w:ascii="Times New Roman" w:eastAsia="Calibri" w:hAnsi="Times New Roman" w:cs="Times New Roman"/>
                <w:sz w:val="20"/>
                <w:szCs w:val="20"/>
              </w:rPr>
              <w:t>MRS17-1</w:t>
            </w:r>
          </w:p>
        </w:tc>
        <w:tc>
          <w:tcPr>
            <w:tcW w:w="992" w:type="dxa"/>
            <w:tcBorders>
              <w:top w:val="nil"/>
              <w:left w:val="nil"/>
              <w:bottom w:val="nil"/>
              <w:right w:val="nil"/>
            </w:tcBorders>
          </w:tcPr>
          <w:p w14:paraId="7F50DADF" w14:textId="77777777" w:rsidR="00206BDD" w:rsidRPr="006057FC" w:rsidRDefault="00206BDD" w:rsidP="00206BDD">
            <w:pPr>
              <w:rPr>
                <w:rFonts w:ascii="Calibri" w:eastAsia="Calibri" w:hAnsi="Calibri" w:cs="Times New Roman"/>
              </w:rPr>
            </w:pPr>
            <w:r w:rsidRPr="006057FC">
              <w:rPr>
                <w:rFonts w:ascii="Times New Roman" w:eastAsia="Calibri" w:hAnsi="Times New Roman" w:cs="Times New Roman"/>
                <w:sz w:val="20"/>
                <w:szCs w:val="20"/>
              </w:rPr>
              <w:t>CWGS</w:t>
            </w:r>
          </w:p>
        </w:tc>
        <w:tc>
          <w:tcPr>
            <w:tcW w:w="1171" w:type="dxa"/>
            <w:tcBorders>
              <w:top w:val="nil"/>
              <w:left w:val="nil"/>
              <w:bottom w:val="nil"/>
              <w:right w:val="nil"/>
            </w:tcBorders>
            <w:vAlign w:val="center"/>
          </w:tcPr>
          <w:p w14:paraId="5BE99C3D" w14:textId="77777777" w:rsidR="00206BDD" w:rsidRPr="006057FC" w:rsidRDefault="00206BDD" w:rsidP="00206BDD">
            <w:pPr>
              <w:jc w:val="center"/>
              <w:rPr>
                <w:rFonts w:ascii="Calibri" w:eastAsia="Calibri" w:hAnsi="Calibri" w:cs="Times New Roman"/>
              </w:rPr>
            </w:pPr>
            <w:r w:rsidRPr="006057FC">
              <w:rPr>
                <w:rFonts w:ascii="Calibri" w:eastAsia="Calibri" w:hAnsi="Calibri" w:cs="Times New Roman"/>
              </w:rPr>
              <w:t xml:space="preserve">68.6 </w:t>
            </w:r>
            <w:r w:rsidRPr="006057FC">
              <w:rPr>
                <w:rFonts w:ascii="Calibri" w:eastAsia="Calibri" w:hAnsi="Calibri" w:cs="Calibri"/>
              </w:rPr>
              <w:t>±</w:t>
            </w:r>
            <w:r w:rsidRPr="006057FC">
              <w:rPr>
                <w:rFonts w:ascii="Calibri" w:eastAsia="Calibri" w:hAnsi="Calibri" w:cs="Times New Roman"/>
              </w:rPr>
              <w:t xml:space="preserve"> 2.3</w:t>
            </w:r>
          </w:p>
        </w:tc>
        <w:tc>
          <w:tcPr>
            <w:tcW w:w="1385" w:type="dxa"/>
            <w:tcBorders>
              <w:top w:val="nil"/>
              <w:left w:val="nil"/>
              <w:bottom w:val="nil"/>
              <w:right w:val="single" w:sz="4" w:space="0" w:color="auto"/>
            </w:tcBorders>
          </w:tcPr>
          <w:p w14:paraId="2C1BBA7C" w14:textId="4EA8511C" w:rsidR="00206BDD" w:rsidRPr="006057FC" w:rsidRDefault="00206BDD" w:rsidP="00206BDD">
            <w:pPr>
              <w:jc w:val="center"/>
              <w:rPr>
                <w:rFonts w:ascii="Calibri" w:eastAsia="Calibri" w:hAnsi="Calibri" w:cs="Times New Roman"/>
                <w:b/>
                <w:bCs/>
              </w:rPr>
            </w:pPr>
            <w:r w:rsidRPr="006057FC">
              <w:rPr>
                <w:rFonts w:ascii="Calibri" w:eastAsia="Calibri" w:hAnsi="Calibri" w:cs="Times New Roman"/>
                <w:b/>
                <w:bCs/>
              </w:rPr>
              <w:t>7</w:t>
            </w:r>
            <w:r w:rsidR="00462524" w:rsidRPr="006057FC">
              <w:rPr>
                <w:rFonts w:ascii="Calibri" w:eastAsia="Calibri" w:hAnsi="Calibri" w:cs="Times New Roman"/>
                <w:b/>
                <w:bCs/>
              </w:rPr>
              <w:t>2</w:t>
            </w:r>
            <w:r w:rsidRPr="006057FC">
              <w:rPr>
                <w:rFonts w:ascii="Calibri" w:eastAsia="Calibri" w:hAnsi="Calibri" w:cs="Times New Roman"/>
                <w:b/>
                <w:bCs/>
              </w:rPr>
              <w:t>.</w:t>
            </w:r>
            <w:r w:rsidR="00462524" w:rsidRPr="006057FC">
              <w:rPr>
                <w:rFonts w:ascii="Calibri" w:eastAsia="Calibri" w:hAnsi="Calibri" w:cs="Times New Roman"/>
                <w:b/>
                <w:bCs/>
              </w:rPr>
              <w:t>6</w:t>
            </w:r>
            <w:r w:rsidRPr="006057FC">
              <w:rPr>
                <w:rFonts w:ascii="Calibri" w:eastAsia="Calibri" w:hAnsi="Calibri" w:cs="Times New Roman"/>
                <w:b/>
                <w:bCs/>
              </w:rPr>
              <w:t xml:space="preserve"> </w:t>
            </w:r>
            <w:r w:rsidRPr="006057FC">
              <w:rPr>
                <w:rFonts w:ascii="Calibri" w:eastAsia="Calibri" w:hAnsi="Calibri" w:cs="Calibri"/>
                <w:b/>
                <w:bCs/>
              </w:rPr>
              <w:t>±</w:t>
            </w:r>
            <w:r w:rsidRPr="006057FC">
              <w:rPr>
                <w:rFonts w:ascii="Calibri" w:eastAsia="Calibri" w:hAnsi="Calibri" w:cs="Times New Roman"/>
                <w:b/>
                <w:bCs/>
              </w:rPr>
              <w:t xml:space="preserve"> 2.</w:t>
            </w:r>
            <w:r w:rsidR="00462524" w:rsidRPr="006057FC">
              <w:rPr>
                <w:rFonts w:ascii="Calibri" w:eastAsia="Calibri" w:hAnsi="Calibri" w:cs="Times New Roman"/>
                <w:b/>
                <w:bCs/>
              </w:rPr>
              <w:t>0</w:t>
            </w:r>
          </w:p>
        </w:tc>
        <w:tc>
          <w:tcPr>
            <w:tcW w:w="1385" w:type="dxa"/>
            <w:tcBorders>
              <w:top w:val="nil"/>
              <w:left w:val="single" w:sz="4" w:space="0" w:color="auto"/>
              <w:bottom w:val="nil"/>
              <w:right w:val="nil"/>
            </w:tcBorders>
            <w:vAlign w:val="center"/>
          </w:tcPr>
          <w:p w14:paraId="3ECDF738" w14:textId="77777777" w:rsidR="00206BDD" w:rsidRPr="006057FC" w:rsidRDefault="00206BDD" w:rsidP="00206BDD">
            <w:pPr>
              <w:jc w:val="center"/>
              <w:rPr>
                <w:rFonts w:ascii="Calibri" w:eastAsia="Calibri" w:hAnsi="Calibri" w:cs="Times New Roman"/>
              </w:rPr>
            </w:pPr>
            <w:r w:rsidRPr="006057FC">
              <w:rPr>
                <w:rFonts w:ascii="Calibri" w:eastAsia="Calibri" w:hAnsi="Calibri" w:cs="Times New Roman"/>
              </w:rPr>
              <w:t xml:space="preserve">70.8 </w:t>
            </w:r>
            <w:r w:rsidRPr="006057FC">
              <w:rPr>
                <w:rFonts w:ascii="Calibri" w:eastAsia="Calibri" w:hAnsi="Calibri" w:cs="Calibri"/>
              </w:rPr>
              <w:t>±</w:t>
            </w:r>
            <w:r w:rsidRPr="006057FC">
              <w:rPr>
                <w:rFonts w:ascii="Calibri" w:eastAsia="Calibri" w:hAnsi="Calibri" w:cs="Times New Roman"/>
              </w:rPr>
              <w:t xml:space="preserve"> 2.5</w:t>
            </w:r>
          </w:p>
        </w:tc>
      </w:tr>
      <w:tr w:rsidR="00206BDD" w:rsidRPr="006057FC" w14:paraId="0CB629F3" w14:textId="77777777" w:rsidTr="00B915CD">
        <w:tc>
          <w:tcPr>
            <w:tcW w:w="1560" w:type="dxa"/>
            <w:tcBorders>
              <w:top w:val="nil"/>
              <w:left w:val="nil"/>
              <w:bottom w:val="nil"/>
              <w:right w:val="nil"/>
            </w:tcBorders>
          </w:tcPr>
          <w:p w14:paraId="431C7A35" w14:textId="77777777" w:rsidR="00206BDD" w:rsidRPr="006057FC" w:rsidRDefault="00206BDD" w:rsidP="00206BDD">
            <w:pPr>
              <w:rPr>
                <w:rFonts w:ascii="Calibri" w:eastAsia="Calibri" w:hAnsi="Calibri" w:cs="Times New Roman"/>
              </w:rPr>
            </w:pPr>
            <w:r w:rsidRPr="006057FC">
              <w:rPr>
                <w:rFonts w:ascii="Times New Roman" w:eastAsia="Calibri" w:hAnsi="Times New Roman" w:cs="Times New Roman"/>
                <w:sz w:val="20"/>
                <w:szCs w:val="20"/>
              </w:rPr>
              <w:t>MRS7</w:t>
            </w:r>
          </w:p>
        </w:tc>
        <w:tc>
          <w:tcPr>
            <w:tcW w:w="992" w:type="dxa"/>
            <w:tcBorders>
              <w:top w:val="nil"/>
              <w:left w:val="nil"/>
              <w:bottom w:val="nil"/>
              <w:right w:val="nil"/>
            </w:tcBorders>
          </w:tcPr>
          <w:p w14:paraId="36892DE1" w14:textId="77777777" w:rsidR="00206BDD" w:rsidRPr="006057FC" w:rsidRDefault="00206BDD" w:rsidP="00206BDD">
            <w:pPr>
              <w:rPr>
                <w:rFonts w:ascii="Calibri" w:eastAsia="Calibri" w:hAnsi="Calibri" w:cs="Times New Roman"/>
              </w:rPr>
            </w:pPr>
            <w:r w:rsidRPr="006057FC">
              <w:rPr>
                <w:rFonts w:ascii="Times New Roman" w:eastAsia="Calibri" w:hAnsi="Times New Roman" w:cs="Times New Roman"/>
                <w:sz w:val="20"/>
                <w:szCs w:val="20"/>
              </w:rPr>
              <w:t>LGS</w:t>
            </w:r>
          </w:p>
        </w:tc>
        <w:tc>
          <w:tcPr>
            <w:tcW w:w="1171" w:type="dxa"/>
            <w:tcBorders>
              <w:top w:val="nil"/>
              <w:left w:val="nil"/>
              <w:bottom w:val="nil"/>
              <w:right w:val="nil"/>
            </w:tcBorders>
            <w:vAlign w:val="center"/>
          </w:tcPr>
          <w:p w14:paraId="47B1D66C" w14:textId="77777777" w:rsidR="00206BDD" w:rsidRPr="006057FC" w:rsidRDefault="00206BDD" w:rsidP="00206BDD">
            <w:pPr>
              <w:jc w:val="center"/>
              <w:rPr>
                <w:rFonts w:ascii="Calibri" w:eastAsia="Calibri" w:hAnsi="Calibri" w:cs="Times New Roman"/>
              </w:rPr>
            </w:pPr>
            <w:r w:rsidRPr="006057FC">
              <w:rPr>
                <w:rFonts w:ascii="Calibri" w:eastAsia="Calibri" w:hAnsi="Calibri" w:cs="Times New Roman"/>
              </w:rPr>
              <w:t xml:space="preserve">69.0 </w:t>
            </w:r>
            <w:r w:rsidRPr="006057FC">
              <w:rPr>
                <w:rFonts w:ascii="Calibri" w:eastAsia="Calibri" w:hAnsi="Calibri" w:cs="Calibri"/>
              </w:rPr>
              <w:t>±</w:t>
            </w:r>
            <w:r w:rsidRPr="006057FC">
              <w:rPr>
                <w:rFonts w:ascii="Calibri" w:eastAsia="Calibri" w:hAnsi="Calibri" w:cs="Times New Roman"/>
              </w:rPr>
              <w:t xml:space="preserve"> 2.4</w:t>
            </w:r>
          </w:p>
        </w:tc>
        <w:tc>
          <w:tcPr>
            <w:tcW w:w="1385" w:type="dxa"/>
            <w:tcBorders>
              <w:top w:val="nil"/>
              <w:left w:val="nil"/>
              <w:bottom w:val="nil"/>
              <w:right w:val="single" w:sz="4" w:space="0" w:color="auto"/>
            </w:tcBorders>
          </w:tcPr>
          <w:p w14:paraId="0C7BC43B" w14:textId="77777777" w:rsidR="00206BDD" w:rsidRPr="006057FC" w:rsidRDefault="00206BDD" w:rsidP="00206BDD">
            <w:pPr>
              <w:jc w:val="center"/>
              <w:rPr>
                <w:rFonts w:ascii="Calibri" w:eastAsia="Calibri" w:hAnsi="Calibri" w:cs="Times New Roman"/>
                <w:b/>
                <w:bCs/>
              </w:rPr>
            </w:pPr>
            <w:r w:rsidRPr="006057FC">
              <w:rPr>
                <w:rFonts w:ascii="Calibri" w:eastAsia="Calibri" w:hAnsi="Calibri" w:cs="Times New Roman"/>
                <w:b/>
                <w:bCs/>
              </w:rPr>
              <w:t xml:space="preserve">69.3 </w:t>
            </w:r>
            <w:r w:rsidRPr="006057FC">
              <w:rPr>
                <w:rFonts w:ascii="Calibri" w:eastAsia="Calibri" w:hAnsi="Calibri" w:cs="Calibri"/>
                <w:b/>
                <w:bCs/>
              </w:rPr>
              <w:t>±</w:t>
            </w:r>
            <w:r w:rsidRPr="006057FC">
              <w:rPr>
                <w:rFonts w:ascii="Calibri" w:eastAsia="Calibri" w:hAnsi="Calibri" w:cs="Times New Roman"/>
                <w:b/>
                <w:bCs/>
              </w:rPr>
              <w:t xml:space="preserve"> 2.2</w:t>
            </w:r>
          </w:p>
        </w:tc>
        <w:tc>
          <w:tcPr>
            <w:tcW w:w="1385" w:type="dxa"/>
            <w:tcBorders>
              <w:top w:val="nil"/>
              <w:left w:val="single" w:sz="4" w:space="0" w:color="auto"/>
              <w:bottom w:val="nil"/>
              <w:right w:val="nil"/>
            </w:tcBorders>
            <w:vAlign w:val="center"/>
          </w:tcPr>
          <w:p w14:paraId="0323BA7E" w14:textId="77777777" w:rsidR="00206BDD" w:rsidRPr="006057FC" w:rsidRDefault="00206BDD" w:rsidP="00206BDD">
            <w:pPr>
              <w:jc w:val="center"/>
              <w:rPr>
                <w:rFonts w:ascii="Calibri" w:eastAsia="Calibri" w:hAnsi="Calibri" w:cs="Times New Roman"/>
              </w:rPr>
            </w:pPr>
            <w:r w:rsidRPr="006057FC">
              <w:rPr>
                <w:rFonts w:ascii="Calibri" w:eastAsia="Calibri" w:hAnsi="Calibri" w:cs="Times New Roman"/>
              </w:rPr>
              <w:t xml:space="preserve">70.6 </w:t>
            </w:r>
            <w:r w:rsidRPr="006057FC">
              <w:rPr>
                <w:rFonts w:ascii="Calibri" w:eastAsia="Calibri" w:hAnsi="Calibri" w:cs="Calibri"/>
              </w:rPr>
              <w:t>±</w:t>
            </w:r>
            <w:r w:rsidRPr="006057FC">
              <w:rPr>
                <w:rFonts w:ascii="Calibri" w:eastAsia="Calibri" w:hAnsi="Calibri" w:cs="Times New Roman"/>
              </w:rPr>
              <w:t xml:space="preserve"> 3.3</w:t>
            </w:r>
          </w:p>
        </w:tc>
      </w:tr>
      <w:tr w:rsidR="00206BDD" w:rsidRPr="006057FC" w14:paraId="3D7D706A" w14:textId="77777777" w:rsidTr="00B915CD">
        <w:tc>
          <w:tcPr>
            <w:tcW w:w="1560" w:type="dxa"/>
            <w:tcBorders>
              <w:top w:val="nil"/>
              <w:left w:val="nil"/>
              <w:bottom w:val="nil"/>
              <w:right w:val="nil"/>
            </w:tcBorders>
          </w:tcPr>
          <w:p w14:paraId="43740F45" w14:textId="77777777" w:rsidR="00206BDD" w:rsidRPr="006057FC" w:rsidRDefault="00206BDD" w:rsidP="00206BDD">
            <w:pPr>
              <w:rPr>
                <w:rFonts w:ascii="Calibri" w:eastAsia="Calibri" w:hAnsi="Calibri" w:cs="Times New Roman"/>
              </w:rPr>
            </w:pPr>
            <w:r w:rsidRPr="006057FC">
              <w:rPr>
                <w:rFonts w:ascii="Times New Roman" w:eastAsia="Calibri" w:hAnsi="Times New Roman" w:cs="Times New Roman"/>
                <w:sz w:val="20"/>
                <w:szCs w:val="20"/>
              </w:rPr>
              <w:t>MRS8</w:t>
            </w:r>
          </w:p>
        </w:tc>
        <w:tc>
          <w:tcPr>
            <w:tcW w:w="992" w:type="dxa"/>
            <w:tcBorders>
              <w:top w:val="nil"/>
              <w:left w:val="nil"/>
              <w:bottom w:val="nil"/>
              <w:right w:val="nil"/>
            </w:tcBorders>
          </w:tcPr>
          <w:p w14:paraId="567A992E" w14:textId="77777777" w:rsidR="00206BDD" w:rsidRPr="006057FC" w:rsidRDefault="00206BDD" w:rsidP="00206BDD">
            <w:pPr>
              <w:rPr>
                <w:rFonts w:ascii="Calibri" w:eastAsia="Calibri" w:hAnsi="Calibri" w:cs="Times New Roman"/>
              </w:rPr>
            </w:pPr>
            <w:r w:rsidRPr="006057FC">
              <w:rPr>
                <w:rFonts w:ascii="Times New Roman" w:eastAsia="Calibri" w:hAnsi="Times New Roman" w:cs="Times New Roman"/>
                <w:sz w:val="20"/>
                <w:szCs w:val="20"/>
              </w:rPr>
              <w:t>LRS</w:t>
            </w:r>
          </w:p>
        </w:tc>
        <w:tc>
          <w:tcPr>
            <w:tcW w:w="1171" w:type="dxa"/>
            <w:tcBorders>
              <w:top w:val="nil"/>
              <w:left w:val="nil"/>
              <w:bottom w:val="nil"/>
              <w:right w:val="nil"/>
            </w:tcBorders>
            <w:vAlign w:val="center"/>
          </w:tcPr>
          <w:p w14:paraId="38536370" w14:textId="77777777" w:rsidR="00206BDD" w:rsidRPr="006057FC" w:rsidRDefault="00206BDD" w:rsidP="00206BDD">
            <w:pPr>
              <w:jc w:val="center"/>
              <w:rPr>
                <w:rFonts w:ascii="Calibri" w:eastAsia="Calibri" w:hAnsi="Calibri" w:cs="Times New Roman"/>
                <w:b/>
                <w:bCs/>
              </w:rPr>
            </w:pPr>
            <w:r w:rsidRPr="006057FC">
              <w:rPr>
                <w:rFonts w:ascii="Calibri" w:eastAsia="Calibri" w:hAnsi="Calibri" w:cs="Times New Roman"/>
                <w:b/>
                <w:bCs/>
              </w:rPr>
              <w:t xml:space="preserve">83.9 </w:t>
            </w:r>
            <w:r w:rsidRPr="006057FC">
              <w:rPr>
                <w:rFonts w:ascii="Calibri" w:eastAsia="Calibri" w:hAnsi="Calibri" w:cs="Calibri"/>
                <w:b/>
                <w:bCs/>
              </w:rPr>
              <w:t>±</w:t>
            </w:r>
            <w:r w:rsidRPr="006057FC">
              <w:rPr>
                <w:rFonts w:ascii="Calibri" w:eastAsia="Calibri" w:hAnsi="Calibri" w:cs="Times New Roman"/>
                <w:b/>
                <w:bCs/>
              </w:rPr>
              <w:t xml:space="preserve"> 2.7</w:t>
            </w:r>
          </w:p>
        </w:tc>
        <w:tc>
          <w:tcPr>
            <w:tcW w:w="1385" w:type="dxa"/>
            <w:tcBorders>
              <w:top w:val="nil"/>
              <w:left w:val="nil"/>
              <w:bottom w:val="nil"/>
              <w:right w:val="single" w:sz="4" w:space="0" w:color="auto"/>
            </w:tcBorders>
          </w:tcPr>
          <w:p w14:paraId="721A7E7A" w14:textId="77777777" w:rsidR="00206BDD" w:rsidRPr="006057FC" w:rsidRDefault="00206BDD" w:rsidP="00206BDD">
            <w:pPr>
              <w:jc w:val="center"/>
              <w:rPr>
                <w:rFonts w:ascii="Calibri" w:eastAsia="Calibri" w:hAnsi="Calibri" w:cs="Times New Roman"/>
              </w:rPr>
            </w:pPr>
            <w:r w:rsidRPr="006057FC">
              <w:rPr>
                <w:rFonts w:ascii="Calibri" w:eastAsia="Calibri" w:hAnsi="Calibri" w:cs="Times New Roman"/>
              </w:rPr>
              <w:t xml:space="preserve">84.9 </w:t>
            </w:r>
            <w:r w:rsidRPr="006057FC">
              <w:rPr>
                <w:rFonts w:ascii="Calibri" w:eastAsia="Calibri" w:hAnsi="Calibri" w:cs="Calibri"/>
              </w:rPr>
              <w:t>±</w:t>
            </w:r>
            <w:r w:rsidRPr="006057FC">
              <w:rPr>
                <w:rFonts w:ascii="Calibri" w:eastAsia="Calibri" w:hAnsi="Calibri" w:cs="Times New Roman"/>
              </w:rPr>
              <w:t xml:space="preserve"> 2.6</w:t>
            </w:r>
          </w:p>
        </w:tc>
        <w:tc>
          <w:tcPr>
            <w:tcW w:w="1385" w:type="dxa"/>
            <w:tcBorders>
              <w:top w:val="nil"/>
              <w:left w:val="single" w:sz="4" w:space="0" w:color="auto"/>
              <w:bottom w:val="nil"/>
              <w:right w:val="nil"/>
            </w:tcBorders>
            <w:vAlign w:val="center"/>
          </w:tcPr>
          <w:p w14:paraId="7D72F066" w14:textId="77777777" w:rsidR="00206BDD" w:rsidRPr="006057FC" w:rsidRDefault="00206BDD" w:rsidP="00206BDD">
            <w:pPr>
              <w:jc w:val="center"/>
              <w:rPr>
                <w:rFonts w:ascii="Calibri" w:eastAsia="Calibri" w:hAnsi="Calibri" w:cs="Times New Roman"/>
              </w:rPr>
            </w:pPr>
            <w:r w:rsidRPr="006057FC">
              <w:rPr>
                <w:rFonts w:ascii="Calibri" w:eastAsia="Calibri" w:hAnsi="Calibri" w:cs="Times New Roman"/>
              </w:rPr>
              <w:t xml:space="preserve">88.3 </w:t>
            </w:r>
            <w:r w:rsidRPr="006057FC">
              <w:rPr>
                <w:rFonts w:ascii="Calibri" w:eastAsia="Calibri" w:hAnsi="Calibri" w:cs="Calibri"/>
              </w:rPr>
              <w:t>±</w:t>
            </w:r>
            <w:r w:rsidRPr="006057FC">
              <w:rPr>
                <w:rFonts w:ascii="Calibri" w:eastAsia="Calibri" w:hAnsi="Calibri" w:cs="Times New Roman"/>
              </w:rPr>
              <w:t xml:space="preserve"> 3.2</w:t>
            </w:r>
          </w:p>
        </w:tc>
      </w:tr>
      <w:tr w:rsidR="00206BDD" w:rsidRPr="006057FC" w14:paraId="43B94760" w14:textId="77777777" w:rsidTr="00B915CD">
        <w:tc>
          <w:tcPr>
            <w:tcW w:w="1560" w:type="dxa"/>
            <w:tcBorders>
              <w:top w:val="nil"/>
              <w:left w:val="nil"/>
              <w:bottom w:val="single" w:sz="4" w:space="0" w:color="auto"/>
              <w:right w:val="nil"/>
            </w:tcBorders>
          </w:tcPr>
          <w:p w14:paraId="104E79FD" w14:textId="77777777" w:rsidR="00206BDD" w:rsidRPr="006057FC" w:rsidRDefault="00206BDD" w:rsidP="00206BDD">
            <w:pPr>
              <w:rPr>
                <w:rFonts w:ascii="Times New Roman" w:eastAsia="Calibri" w:hAnsi="Times New Roman" w:cs="Times New Roman"/>
                <w:sz w:val="20"/>
                <w:szCs w:val="20"/>
              </w:rPr>
            </w:pPr>
            <w:r w:rsidRPr="006057FC">
              <w:rPr>
                <w:rFonts w:ascii="Times New Roman" w:eastAsia="Calibri" w:hAnsi="Times New Roman" w:cs="Times New Roman"/>
                <w:sz w:val="20"/>
                <w:szCs w:val="20"/>
              </w:rPr>
              <w:t>MRS9</w:t>
            </w:r>
          </w:p>
        </w:tc>
        <w:tc>
          <w:tcPr>
            <w:tcW w:w="992" w:type="dxa"/>
            <w:tcBorders>
              <w:top w:val="nil"/>
              <w:left w:val="nil"/>
              <w:bottom w:val="single" w:sz="4" w:space="0" w:color="auto"/>
              <w:right w:val="nil"/>
            </w:tcBorders>
          </w:tcPr>
          <w:p w14:paraId="2DAA8C78" w14:textId="77777777" w:rsidR="00206BDD" w:rsidRPr="006057FC" w:rsidRDefault="00206BDD" w:rsidP="00206BDD">
            <w:pPr>
              <w:rPr>
                <w:rFonts w:ascii="Times New Roman" w:eastAsia="Calibri" w:hAnsi="Times New Roman" w:cs="Times New Roman"/>
                <w:sz w:val="20"/>
                <w:szCs w:val="20"/>
              </w:rPr>
            </w:pPr>
            <w:r w:rsidRPr="006057FC">
              <w:rPr>
                <w:rFonts w:ascii="Times New Roman" w:eastAsia="Calibri" w:hAnsi="Times New Roman" w:cs="Times New Roman"/>
                <w:sz w:val="20"/>
                <w:szCs w:val="20"/>
              </w:rPr>
              <w:t>DGS</w:t>
            </w:r>
          </w:p>
        </w:tc>
        <w:tc>
          <w:tcPr>
            <w:tcW w:w="1171" w:type="dxa"/>
            <w:tcBorders>
              <w:top w:val="nil"/>
              <w:left w:val="nil"/>
              <w:bottom w:val="single" w:sz="4" w:space="0" w:color="auto"/>
              <w:right w:val="nil"/>
            </w:tcBorders>
            <w:vAlign w:val="center"/>
          </w:tcPr>
          <w:p w14:paraId="02DB9BDC" w14:textId="77777777" w:rsidR="00206BDD" w:rsidRPr="006057FC" w:rsidRDefault="00206BDD" w:rsidP="00206BDD">
            <w:pPr>
              <w:jc w:val="center"/>
              <w:rPr>
                <w:rFonts w:ascii="Calibri" w:eastAsia="Calibri" w:hAnsi="Calibri" w:cs="Times New Roman"/>
                <w:b/>
                <w:bCs/>
              </w:rPr>
            </w:pPr>
            <w:r w:rsidRPr="006057FC">
              <w:rPr>
                <w:rFonts w:ascii="Calibri" w:eastAsia="Calibri" w:hAnsi="Calibri" w:cs="Times New Roman"/>
                <w:b/>
                <w:bCs/>
              </w:rPr>
              <w:t xml:space="preserve">85.6 </w:t>
            </w:r>
            <w:r w:rsidRPr="006057FC">
              <w:rPr>
                <w:rFonts w:ascii="Calibri" w:eastAsia="Calibri" w:hAnsi="Calibri" w:cs="Calibri"/>
                <w:b/>
                <w:bCs/>
              </w:rPr>
              <w:t>±</w:t>
            </w:r>
            <w:r w:rsidRPr="006057FC">
              <w:rPr>
                <w:rFonts w:ascii="Calibri" w:eastAsia="Calibri" w:hAnsi="Calibri" w:cs="Times New Roman"/>
                <w:b/>
                <w:bCs/>
              </w:rPr>
              <w:t xml:space="preserve"> 2.8</w:t>
            </w:r>
          </w:p>
        </w:tc>
        <w:tc>
          <w:tcPr>
            <w:tcW w:w="1385" w:type="dxa"/>
            <w:tcBorders>
              <w:top w:val="nil"/>
              <w:left w:val="nil"/>
              <w:bottom w:val="single" w:sz="4" w:space="0" w:color="auto"/>
              <w:right w:val="single" w:sz="4" w:space="0" w:color="auto"/>
            </w:tcBorders>
          </w:tcPr>
          <w:p w14:paraId="3DF6E63E" w14:textId="77777777" w:rsidR="00206BDD" w:rsidRPr="006057FC" w:rsidRDefault="00206BDD" w:rsidP="00206BDD">
            <w:pPr>
              <w:jc w:val="center"/>
              <w:rPr>
                <w:rFonts w:ascii="Calibri" w:eastAsia="Calibri" w:hAnsi="Calibri" w:cs="Times New Roman"/>
              </w:rPr>
            </w:pPr>
            <w:r w:rsidRPr="006057FC">
              <w:rPr>
                <w:rFonts w:ascii="Calibri" w:eastAsia="Calibri" w:hAnsi="Calibri" w:cs="Times New Roman"/>
              </w:rPr>
              <w:t xml:space="preserve">86.4 </w:t>
            </w:r>
            <w:r w:rsidRPr="006057FC">
              <w:rPr>
                <w:rFonts w:ascii="Calibri" w:eastAsia="Calibri" w:hAnsi="Calibri" w:cs="Calibri"/>
              </w:rPr>
              <w:t>±</w:t>
            </w:r>
            <w:r w:rsidRPr="006057FC">
              <w:rPr>
                <w:rFonts w:ascii="Calibri" w:eastAsia="Calibri" w:hAnsi="Calibri" w:cs="Times New Roman"/>
              </w:rPr>
              <w:t xml:space="preserve"> 2.8</w:t>
            </w:r>
          </w:p>
        </w:tc>
        <w:tc>
          <w:tcPr>
            <w:tcW w:w="1385" w:type="dxa"/>
            <w:tcBorders>
              <w:top w:val="nil"/>
              <w:left w:val="single" w:sz="4" w:space="0" w:color="auto"/>
              <w:bottom w:val="single" w:sz="4" w:space="0" w:color="auto"/>
              <w:right w:val="nil"/>
            </w:tcBorders>
            <w:vAlign w:val="center"/>
          </w:tcPr>
          <w:p w14:paraId="43EBAF85" w14:textId="77777777" w:rsidR="00206BDD" w:rsidRPr="006057FC" w:rsidRDefault="00206BDD" w:rsidP="00206BDD">
            <w:pPr>
              <w:jc w:val="center"/>
              <w:rPr>
                <w:rFonts w:ascii="Calibri" w:eastAsia="Calibri" w:hAnsi="Calibri" w:cs="Times New Roman"/>
              </w:rPr>
            </w:pPr>
            <w:r w:rsidRPr="006057FC">
              <w:rPr>
                <w:rFonts w:ascii="Calibri" w:eastAsia="Calibri" w:hAnsi="Calibri" w:cs="Times New Roman"/>
              </w:rPr>
              <w:t xml:space="preserve">85.5 </w:t>
            </w:r>
            <w:r w:rsidRPr="006057FC">
              <w:rPr>
                <w:rFonts w:ascii="Calibri" w:eastAsia="Calibri" w:hAnsi="Calibri" w:cs="Calibri"/>
              </w:rPr>
              <w:t>±</w:t>
            </w:r>
            <w:r w:rsidRPr="006057FC">
              <w:rPr>
                <w:rFonts w:ascii="Calibri" w:eastAsia="Calibri" w:hAnsi="Calibri" w:cs="Times New Roman"/>
              </w:rPr>
              <w:t xml:space="preserve"> 2.3</w:t>
            </w:r>
          </w:p>
        </w:tc>
      </w:tr>
    </w:tbl>
    <w:p w14:paraId="2C2EDDF2" w14:textId="77777777" w:rsidR="00206BDD" w:rsidRPr="006057FC" w:rsidRDefault="00206BDD" w:rsidP="0099686C">
      <w:pPr>
        <w:rPr>
          <w:rFonts w:eastAsia="Times New Roman" w:cstheme="minorHAnsi"/>
          <w:lang w:val="en-US" w:bidi="en-US"/>
        </w:rPr>
      </w:pPr>
    </w:p>
    <w:p w14:paraId="7BE760EF" w14:textId="626FCF07" w:rsidR="00B67B67" w:rsidRPr="006057FC" w:rsidRDefault="0099686C" w:rsidP="00FB1C4A">
      <w:pPr>
        <w:rPr>
          <w:rFonts w:eastAsia="Times New Roman" w:cstheme="minorHAnsi"/>
          <w:lang w:val="en-US" w:bidi="en-US"/>
        </w:rPr>
      </w:pPr>
      <w:r w:rsidRPr="006057FC">
        <w:rPr>
          <w:rFonts w:eastAsia="Times New Roman" w:cstheme="minorHAnsi"/>
          <w:lang w:val="en-US" w:bidi="en-US"/>
        </w:rPr>
        <w:t xml:space="preserve">To test whether the saturated grains that failed criterion 6 significant affect the final De value, we </w:t>
      </w:r>
      <w:proofErr w:type="spellStart"/>
      <w:r w:rsidRPr="006057FC">
        <w:rPr>
          <w:rFonts w:eastAsia="Times New Roman" w:cstheme="minorHAnsi"/>
          <w:lang w:val="en-US" w:bidi="en-US"/>
        </w:rPr>
        <w:t>ued</w:t>
      </w:r>
      <w:proofErr w:type="spellEnd"/>
      <w:r w:rsidR="008B4161" w:rsidRPr="006057FC">
        <w:rPr>
          <w:rFonts w:eastAsia="Times New Roman" w:cstheme="minorHAnsi"/>
          <w:lang w:val="en-US" w:bidi="en-US"/>
        </w:rPr>
        <w:t xml:space="preserve"> the </w:t>
      </w:r>
      <w:proofErr w:type="spellStart"/>
      <w:r w:rsidR="008B4161" w:rsidRPr="006057FC">
        <w:rPr>
          <w:rFonts w:eastAsia="Times New Roman" w:cstheme="minorHAnsi"/>
          <w:lang w:val="en-US" w:bidi="en-US"/>
        </w:rPr>
        <w:t>L</w:t>
      </w:r>
      <w:r w:rsidR="008B4161" w:rsidRPr="006057FC">
        <w:rPr>
          <w:rFonts w:eastAsia="Times New Roman" w:cstheme="minorHAnsi"/>
          <w:vertAlign w:val="subscript"/>
          <w:lang w:val="en-US" w:bidi="en-US"/>
        </w:rPr>
        <w:t>n</w:t>
      </w:r>
      <w:r w:rsidR="008B4161" w:rsidRPr="006057FC">
        <w:rPr>
          <w:rFonts w:eastAsia="Times New Roman" w:cstheme="minorHAnsi"/>
          <w:lang w:val="en-US" w:bidi="en-US"/>
        </w:rPr>
        <w:t>T</w:t>
      </w:r>
      <w:r w:rsidR="008B4161" w:rsidRPr="006057FC">
        <w:rPr>
          <w:rFonts w:eastAsia="Times New Roman" w:cstheme="minorHAnsi"/>
          <w:vertAlign w:val="subscript"/>
          <w:lang w:val="en-US" w:bidi="en-US"/>
        </w:rPr>
        <w:t>n</w:t>
      </w:r>
      <w:proofErr w:type="spellEnd"/>
      <w:r w:rsidR="008B4161" w:rsidRPr="006057FC">
        <w:rPr>
          <w:rFonts w:eastAsia="Times New Roman" w:cstheme="minorHAnsi"/>
          <w:lang w:val="en-US" w:bidi="en-US"/>
        </w:rPr>
        <w:t xml:space="preserve"> method</w:t>
      </w:r>
      <w:r w:rsidRPr="006057FC">
        <w:rPr>
          <w:rFonts w:eastAsia="Times New Roman" w:cstheme="minorHAnsi"/>
          <w:lang w:val="en-US" w:bidi="en-US"/>
        </w:rPr>
        <w:t xml:space="preserve"> of Li et al. (2017, 2020). </w:t>
      </w:r>
      <w:r w:rsidRPr="006057FC">
        <w:rPr>
          <w:lang w:val="en-US"/>
        </w:rPr>
        <w:t>This method does not reject any ‘saturated’ grains, so a full and untruncated distribution of L</w:t>
      </w:r>
      <w:r w:rsidRPr="006057FC">
        <w:rPr>
          <w:vertAlign w:val="subscript"/>
          <w:lang w:val="en-US"/>
        </w:rPr>
        <w:t>n</w:t>
      </w:r>
      <w:r w:rsidRPr="006057FC">
        <w:rPr>
          <w:lang w:val="en-US"/>
        </w:rPr>
        <w:t>/T</w:t>
      </w:r>
      <w:r w:rsidRPr="006057FC">
        <w:rPr>
          <w:vertAlign w:val="subscript"/>
          <w:lang w:val="en-US"/>
        </w:rPr>
        <w:t>n</w:t>
      </w:r>
      <w:r w:rsidRPr="006057FC">
        <w:rPr>
          <w:lang w:val="en-US"/>
        </w:rPr>
        <w:t xml:space="preserve"> ratios is included in the final D</w:t>
      </w:r>
      <w:r w:rsidRPr="006057FC">
        <w:rPr>
          <w:vertAlign w:val="subscript"/>
          <w:lang w:val="en-US"/>
        </w:rPr>
        <w:t>e</w:t>
      </w:r>
      <w:r w:rsidRPr="006057FC">
        <w:rPr>
          <w:lang w:val="en-US"/>
        </w:rPr>
        <w:t xml:space="preserve"> value (Li et al., 2020). </w:t>
      </w:r>
      <w:r w:rsidRPr="006057FC">
        <w:rPr>
          <w:rFonts w:eastAsia="Times New Roman" w:cstheme="minorHAnsi"/>
          <w:lang w:val="en-US" w:bidi="en-US"/>
        </w:rPr>
        <w:t>In this method,</w:t>
      </w:r>
      <w:r w:rsidR="008B4161" w:rsidRPr="006057FC">
        <w:rPr>
          <w:rFonts w:eastAsia="Times New Roman" w:cstheme="minorHAnsi"/>
          <w:lang w:val="en-US" w:bidi="en-US"/>
        </w:rPr>
        <w:t xml:space="preserve"> </w:t>
      </w:r>
      <w:r w:rsidR="008B4161" w:rsidRPr="006057FC">
        <w:rPr>
          <w:rFonts w:cstheme="minorHAnsi"/>
          <w:lang w:bidi="en-US"/>
        </w:rPr>
        <w:t>the distribution of re-normalised L</w:t>
      </w:r>
      <w:r w:rsidR="008B4161" w:rsidRPr="006057FC">
        <w:rPr>
          <w:rFonts w:cstheme="minorHAnsi"/>
          <w:vertAlign w:val="subscript"/>
          <w:lang w:bidi="en-US"/>
        </w:rPr>
        <w:t>n</w:t>
      </w:r>
      <w:r w:rsidR="008B4161" w:rsidRPr="006057FC">
        <w:rPr>
          <w:rFonts w:cstheme="minorHAnsi"/>
          <w:lang w:bidi="en-US"/>
        </w:rPr>
        <w:t>/T</w:t>
      </w:r>
      <w:r w:rsidR="008B4161" w:rsidRPr="006057FC">
        <w:rPr>
          <w:rFonts w:cstheme="minorHAnsi"/>
          <w:vertAlign w:val="subscript"/>
          <w:lang w:bidi="en-US"/>
        </w:rPr>
        <w:t>n</w:t>
      </w:r>
      <w:r w:rsidR="008B4161" w:rsidRPr="006057FC">
        <w:rPr>
          <w:rFonts w:cstheme="minorHAnsi"/>
          <w:lang w:bidi="en-US"/>
        </w:rPr>
        <w:t xml:space="preserve"> ratios, rather than D</w:t>
      </w:r>
      <w:r w:rsidR="008B4161" w:rsidRPr="006057FC">
        <w:rPr>
          <w:rFonts w:cstheme="minorHAnsi"/>
          <w:vertAlign w:val="subscript"/>
          <w:lang w:bidi="en-US"/>
        </w:rPr>
        <w:t>e</w:t>
      </w:r>
      <w:r w:rsidR="008B4161" w:rsidRPr="006057FC">
        <w:rPr>
          <w:rFonts w:cstheme="minorHAnsi"/>
          <w:lang w:bidi="en-US"/>
        </w:rPr>
        <w:t xml:space="preserve"> values, of all accepted grains (including those identified as saturated) are analysed and then interpreted and combined in the same way as for the conventional SAR method. </w:t>
      </w:r>
      <w:r w:rsidR="008B4161" w:rsidRPr="006057FC">
        <w:t xml:space="preserve">This method is reliant on all grains having the same DRC (a so-called standardised growth curve or SGC), but a single reliable SGC for quartz grains, even from the same sample, is not achievable (Li et al., 2016), because individual quartz grains have </w:t>
      </w:r>
      <w:r w:rsidR="008B4161" w:rsidRPr="006057FC">
        <w:lastRenderedPageBreak/>
        <w:t>significantly different DRC shapes and D</w:t>
      </w:r>
      <w:r w:rsidR="008B4161" w:rsidRPr="006057FC">
        <w:rPr>
          <w:vertAlign w:val="subscript"/>
        </w:rPr>
        <w:t>0</w:t>
      </w:r>
      <w:r w:rsidR="008B4161" w:rsidRPr="006057FC">
        <w:t xml:space="preserve"> values, the characteristic saturation dose (e.g., Roberts et al., 1999; Adamiec, 2000; Duller et al., 2000; Yoshida et al., 2000). Instead, all accepted grains can be sorted into groups according to their DRC shape by comparing the ratio between L</w:t>
      </w:r>
      <w:r w:rsidR="008B4161" w:rsidRPr="006057FC">
        <w:rPr>
          <w:vertAlign w:val="subscript"/>
        </w:rPr>
        <w:t>x</w:t>
      </w:r>
      <w:r w:rsidR="008B4161" w:rsidRPr="006057FC">
        <w:t>/T</w:t>
      </w:r>
      <w:r w:rsidR="008B4161" w:rsidRPr="006057FC">
        <w:rPr>
          <w:vertAlign w:val="subscript"/>
        </w:rPr>
        <w:t>x</w:t>
      </w:r>
      <w:r w:rsidR="008B4161" w:rsidRPr="006057FC">
        <w:t xml:space="preserve"> values of two different regenerative doses (Li et al., 2016); in this study 200 and 50 Gy were used where 200 Gy is much greater than the expected D</w:t>
      </w:r>
      <w:r w:rsidR="008B4161" w:rsidRPr="006057FC">
        <w:rPr>
          <w:vertAlign w:val="subscript"/>
        </w:rPr>
        <w:t>e</w:t>
      </w:r>
      <w:r w:rsidR="008B4161" w:rsidRPr="006057FC">
        <w:t xml:space="preserve"> value of the samples, and 50 Gy fall within the part of the DRC where most grains have a similar shape (e.g., Fu et al., 2017). The finite mixture model (FMM) Is then used to statistically determine the number of groups of grains with similar DRC shapes and the probability of a grain falling into a specific group that share a similar ratio. The least-squares (LS-) normalisation procedure of Li et al. (2017) is then applied to each group and group-specific SGCs constructed by fitting the normalised values with a GOK function (Guralnik et al., 2015). The weighted mean re-normalised L</w:t>
      </w:r>
      <w:r w:rsidR="008B4161" w:rsidRPr="006057FC">
        <w:rPr>
          <w:vertAlign w:val="subscript"/>
        </w:rPr>
        <w:t>n</w:t>
      </w:r>
      <w:r w:rsidR="008B4161" w:rsidRPr="006057FC">
        <w:t>/T</w:t>
      </w:r>
      <w:r w:rsidR="008B4161" w:rsidRPr="006057FC">
        <w:rPr>
          <w:vertAlign w:val="subscript"/>
        </w:rPr>
        <w:t>n</w:t>
      </w:r>
      <w:r w:rsidR="008B4161" w:rsidRPr="006057FC">
        <w:t xml:space="preserve"> ratio for each group determined using an appropriate statistical model is then projected onto its group-specific SGC to estimate group-specific D</w:t>
      </w:r>
      <w:r w:rsidR="008B4161" w:rsidRPr="006057FC">
        <w:rPr>
          <w:vertAlign w:val="subscript"/>
        </w:rPr>
        <w:t>e</w:t>
      </w:r>
      <w:r w:rsidR="008B4161" w:rsidRPr="006057FC">
        <w:t xml:space="preserve"> values. The number of groups is sample specific. The SGCs are validated by comparing SGC-derived D</w:t>
      </w:r>
      <w:r w:rsidR="008B4161" w:rsidRPr="006057FC">
        <w:rPr>
          <w:vertAlign w:val="subscript"/>
        </w:rPr>
        <w:t>e</w:t>
      </w:r>
      <w:r w:rsidR="008B4161" w:rsidRPr="006057FC">
        <w:t xml:space="preserve"> values against D</w:t>
      </w:r>
      <w:r w:rsidR="008B4161" w:rsidRPr="006057FC">
        <w:rPr>
          <w:vertAlign w:val="subscript"/>
        </w:rPr>
        <w:t>e</w:t>
      </w:r>
      <w:r w:rsidR="008B4161" w:rsidRPr="006057FC">
        <w:t xml:space="preserve"> values obtained for the same non-saturated grains using their individual full SAR DRCs; &gt;90% of values should be consistent at 2σ. Once validated, group-specific D</w:t>
      </w:r>
      <w:r w:rsidR="008B4161" w:rsidRPr="006057FC">
        <w:rPr>
          <w:vertAlign w:val="subscript"/>
        </w:rPr>
        <w:t>e</w:t>
      </w:r>
      <w:r w:rsidR="008B4161" w:rsidRPr="006057FC">
        <w:t xml:space="preserve"> values can then be combined to calculate a final weighted mean D</w:t>
      </w:r>
      <w:r w:rsidR="008B4161" w:rsidRPr="006057FC">
        <w:rPr>
          <w:vertAlign w:val="subscript"/>
        </w:rPr>
        <w:t>e</w:t>
      </w:r>
      <w:r w:rsidR="008B4161" w:rsidRPr="006057FC">
        <w:t xml:space="preserve"> value for age determination.</w:t>
      </w:r>
      <w:r w:rsidRPr="006057FC">
        <w:t xml:space="preserve"> Table S2 provides the weighted mean L</w:t>
      </w:r>
      <w:r w:rsidRPr="006057FC">
        <w:rPr>
          <w:vertAlign w:val="subscript"/>
        </w:rPr>
        <w:t>n</w:t>
      </w:r>
      <w:r w:rsidRPr="006057FC">
        <w:t>T</w:t>
      </w:r>
      <w:r w:rsidRPr="006057FC">
        <w:rPr>
          <w:vertAlign w:val="subscript"/>
        </w:rPr>
        <w:t>n</w:t>
      </w:r>
      <w:r w:rsidRPr="006057FC">
        <w:t xml:space="preserve"> D</w:t>
      </w:r>
      <w:r w:rsidRPr="006057FC">
        <w:rPr>
          <w:vertAlign w:val="subscript"/>
        </w:rPr>
        <w:t>e</w:t>
      </w:r>
      <w:r w:rsidRPr="006057FC">
        <w:t xml:space="preserve"> value for each sample; all samples give statistically consistent D</w:t>
      </w:r>
      <w:r w:rsidRPr="006057FC">
        <w:rPr>
          <w:vertAlign w:val="subscript"/>
        </w:rPr>
        <w:t>e</w:t>
      </w:r>
      <w:r w:rsidRPr="006057FC">
        <w:t xml:space="preserve"> values and for those samples where there were &gt;10% of saturated grains these grains were all identified as early saturating grains (i.e., they have low D</w:t>
      </w:r>
      <w:r w:rsidRPr="006057FC">
        <w:rPr>
          <w:vertAlign w:val="subscript"/>
        </w:rPr>
        <w:t>0</w:t>
      </w:r>
      <w:r w:rsidRPr="006057FC">
        <w:t xml:space="preserve"> values), rather than grains with older burial ages. </w:t>
      </w:r>
    </w:p>
    <w:p w14:paraId="2F1899AF" w14:textId="767EBAB0" w:rsidR="00FB1C4A" w:rsidRPr="006057FC" w:rsidRDefault="00FB1C4A" w:rsidP="00FB1C4A">
      <w:pPr>
        <w:rPr>
          <w:lang w:bidi="en-US"/>
        </w:rPr>
      </w:pPr>
      <w:r w:rsidRPr="006057FC">
        <w:rPr>
          <w:lang w:val="en-US"/>
        </w:rPr>
        <w:t>All data analyses were achieved using</w:t>
      </w:r>
      <w:r w:rsidRPr="006057FC">
        <w:rPr>
          <w:rFonts w:cstheme="minorHAnsi"/>
          <w:lang w:val="en-US"/>
        </w:rPr>
        <w:t xml:space="preserve"> </w:t>
      </w:r>
      <w:r w:rsidRPr="006057FC">
        <w:rPr>
          <w:rFonts w:cstheme="minorHAnsi"/>
          <w:lang w:bidi="en-US"/>
        </w:rPr>
        <w:t xml:space="preserve">the functions </w:t>
      </w:r>
      <w:r w:rsidRPr="006057FC">
        <w:rPr>
          <w:rFonts w:cstheme="minorHAnsi"/>
          <w:lang w:val="en-US"/>
        </w:rPr>
        <w:t xml:space="preserve">implemented in two R packages </w:t>
      </w:r>
      <w:proofErr w:type="spellStart"/>
      <w:r w:rsidRPr="006057FC">
        <w:rPr>
          <w:rFonts w:cstheme="minorHAnsi"/>
          <w:i/>
          <w:lang w:val="en-US"/>
        </w:rPr>
        <w:t>numOSL</w:t>
      </w:r>
      <w:proofErr w:type="spellEnd"/>
      <w:r w:rsidRPr="006057FC">
        <w:rPr>
          <w:rFonts w:cstheme="minorHAnsi"/>
          <w:lang w:val="en-US"/>
        </w:rPr>
        <w:t xml:space="preserve"> (Peng et al., 2013; Peng and Li, 2017) and </w:t>
      </w:r>
      <w:r w:rsidRPr="006057FC">
        <w:rPr>
          <w:rFonts w:cstheme="minorHAnsi"/>
          <w:i/>
          <w:lang w:val="en-US"/>
        </w:rPr>
        <w:t>Luminescence</w:t>
      </w:r>
      <w:r w:rsidRPr="006057FC">
        <w:rPr>
          <w:rFonts w:cstheme="minorHAnsi"/>
          <w:lang w:val="en-US"/>
        </w:rPr>
        <w:t xml:space="preserve"> (Kreutzer et al., 2012)</w:t>
      </w:r>
      <w:r w:rsidRPr="006057FC">
        <w:rPr>
          <w:rFonts w:cstheme="minorHAnsi"/>
          <w:lang w:bidi="en-US"/>
        </w:rPr>
        <w:t>.</w:t>
      </w:r>
    </w:p>
    <w:p w14:paraId="44E95596" w14:textId="35A988AB" w:rsidR="00FB1C4A" w:rsidRPr="006057FC" w:rsidRDefault="00FB1C4A" w:rsidP="00FB1C4A">
      <w:pPr>
        <w:rPr>
          <w:i/>
          <w:iCs/>
        </w:rPr>
      </w:pPr>
      <w:r w:rsidRPr="006057FC">
        <w:rPr>
          <w:i/>
          <w:iCs/>
        </w:rPr>
        <w:t>1.</w:t>
      </w:r>
      <w:r w:rsidR="00385C46" w:rsidRPr="006057FC">
        <w:rPr>
          <w:i/>
          <w:iCs/>
        </w:rPr>
        <w:t>3</w:t>
      </w:r>
      <w:r w:rsidRPr="006057FC">
        <w:rPr>
          <w:i/>
          <w:iCs/>
        </w:rPr>
        <w:t xml:space="preserve"> Environmental dose rate determination</w:t>
      </w:r>
    </w:p>
    <w:p w14:paraId="468537F4" w14:textId="43ECCDBB" w:rsidR="00FB1C4A" w:rsidRPr="006057FC" w:rsidRDefault="00FB1C4A" w:rsidP="00FB1C4A">
      <w:pPr>
        <w:rPr>
          <w:rFonts w:eastAsia="Times New Roman" w:cstheme="minorHAnsi"/>
          <w:lang w:val="en-US"/>
        </w:rPr>
      </w:pPr>
      <w:r w:rsidRPr="006057FC">
        <w:rPr>
          <w:rFonts w:eastAsia="Times New Roman" w:cstheme="minorHAnsi"/>
          <w:lang w:val="en-US"/>
        </w:rPr>
        <w:t xml:space="preserve">The environmental dose rate consists of the external beta, gamma and cosmic-ray dose rates and internal alpha dose rate. The individual components of dose rate were determined separately, and their uncertainties accounted for. The total dose rate is the sum of these different components and the individual errors that is made up of all known random and systematic errors were combined in quadrature. </w:t>
      </w:r>
    </w:p>
    <w:p w14:paraId="13D6A7CA" w14:textId="77777777" w:rsidR="00FB1C4A" w:rsidRPr="006057FC" w:rsidRDefault="00FB1C4A" w:rsidP="00FB1C4A">
      <w:pPr>
        <w:rPr>
          <w:rFonts w:cstheme="minorHAnsi"/>
        </w:rPr>
      </w:pPr>
      <w:r w:rsidRPr="006057FC">
        <w:rPr>
          <w:rFonts w:eastAsia="Times New Roman" w:cstheme="minorHAnsi"/>
          <w:lang w:val="en-US"/>
        </w:rPr>
        <w:t xml:space="preserve">We estimated beta dose rates for all samples directly by low-level beta counting of dried, </w:t>
      </w:r>
      <w:proofErr w:type="spellStart"/>
      <w:r w:rsidRPr="006057FC">
        <w:rPr>
          <w:rFonts w:eastAsia="Times New Roman" w:cstheme="minorHAnsi"/>
          <w:lang w:val="en-US"/>
        </w:rPr>
        <w:t>homogenised</w:t>
      </w:r>
      <w:proofErr w:type="spellEnd"/>
      <w:r w:rsidRPr="006057FC">
        <w:rPr>
          <w:rFonts w:eastAsia="Times New Roman" w:cstheme="minorHAnsi"/>
          <w:lang w:val="en-US"/>
        </w:rPr>
        <w:t xml:space="preserve">, and powdered sediment samples in the laboratory, using the same Risø GM-25-5 multi-counter system (Bøtter-Jensen and Mejdahl, 1988). We prepared and measured samples, </w:t>
      </w:r>
      <w:proofErr w:type="spellStart"/>
      <w:r w:rsidRPr="006057FC">
        <w:rPr>
          <w:rFonts w:eastAsia="Times New Roman" w:cstheme="minorHAnsi"/>
          <w:lang w:val="en-US"/>
        </w:rPr>
        <w:t>analysed</w:t>
      </w:r>
      <w:proofErr w:type="spellEnd"/>
      <w:r w:rsidRPr="006057FC">
        <w:rPr>
          <w:rFonts w:eastAsia="Times New Roman" w:cstheme="minorHAnsi"/>
          <w:lang w:val="en-US"/>
        </w:rPr>
        <w:t xml:space="preserve"> the resulting data, and calculated the beta dose rates and their uncertainties following procedures described and tested previously (Jacobs and Roberts, 2012); at least three sub-samples were measured for each sample. For all samples, allowance was made for the effect of sample moisture content (Nathan and Mauz, 2008), grain size (Brennan, 2003) and HF acid etching (Bell and Zimmerman, 1978). </w:t>
      </w:r>
    </w:p>
    <w:p w14:paraId="00A77E03" w14:textId="3EC908F5" w:rsidR="00FB1C4A" w:rsidRPr="006057FC" w:rsidRDefault="00FB1C4A" w:rsidP="00FB1C4A">
      <w:pPr>
        <w:rPr>
          <w:rFonts w:cstheme="minorHAnsi"/>
        </w:rPr>
      </w:pPr>
      <w:r w:rsidRPr="006057FC">
        <w:rPr>
          <w:rFonts w:eastAsia="Times New Roman" w:cstheme="minorHAnsi"/>
          <w:lang w:val="en-US"/>
        </w:rPr>
        <w:t xml:space="preserve">Gamma dose rates </w:t>
      </w:r>
      <w:r w:rsidR="00385C46" w:rsidRPr="006057FC">
        <w:rPr>
          <w:rFonts w:eastAsia="Times New Roman" w:cstheme="minorHAnsi"/>
          <w:lang w:val="en-US"/>
        </w:rPr>
        <w:t xml:space="preserve">for 3 samples (MRS5, MRS6 and MRS8) </w:t>
      </w:r>
      <w:r w:rsidRPr="006057FC">
        <w:rPr>
          <w:rFonts w:eastAsia="Times New Roman" w:cstheme="minorHAnsi"/>
          <w:lang w:val="en-US"/>
        </w:rPr>
        <w:t xml:space="preserve">were measured directly by </w:t>
      </w:r>
      <w:r w:rsidRPr="006057FC">
        <w:rPr>
          <w:rFonts w:eastAsia="Times New Roman" w:cstheme="minorHAnsi"/>
          <w:i/>
          <w:lang w:val="en-US"/>
        </w:rPr>
        <w:t>in situ</w:t>
      </w:r>
      <w:r w:rsidRPr="006057FC">
        <w:rPr>
          <w:rFonts w:eastAsia="Times New Roman" w:cstheme="minorHAnsi"/>
          <w:lang w:val="en-US"/>
        </w:rPr>
        <w:t xml:space="preserve"> gamma spectrometry for most samples to consider any spatial heterogeneity in the gamma radiation field within ~30 cm of each sample. Counts were collected for </w:t>
      </w:r>
      <w:r w:rsidR="003A1AF1" w:rsidRPr="006057FC">
        <w:rPr>
          <w:rFonts w:eastAsia="Times New Roman" w:cstheme="minorHAnsi"/>
          <w:lang w:val="en-US"/>
        </w:rPr>
        <w:t>30 or 60 minutes</w:t>
      </w:r>
      <w:r w:rsidRPr="006057FC">
        <w:rPr>
          <w:rFonts w:eastAsia="Times New Roman" w:cstheme="minorHAnsi"/>
          <w:lang w:val="en-US"/>
        </w:rPr>
        <w:t xml:space="preserve"> with a 1-inch diameter </w:t>
      </w:r>
      <w:proofErr w:type="spellStart"/>
      <w:r w:rsidRPr="006057FC">
        <w:rPr>
          <w:rFonts w:eastAsia="Times New Roman" w:cstheme="minorHAnsi"/>
          <w:lang w:val="en-US"/>
        </w:rPr>
        <w:t>NaI</w:t>
      </w:r>
      <w:proofErr w:type="spellEnd"/>
      <w:r w:rsidRPr="006057FC">
        <w:rPr>
          <w:rFonts w:eastAsia="Times New Roman" w:cstheme="minorHAnsi"/>
          <w:lang w:val="en-US"/>
        </w:rPr>
        <w:t xml:space="preserve">(Tl) detector. The detectors were calibrated using the concrete blocks at Oxford University (Rhodes and </w:t>
      </w:r>
      <w:proofErr w:type="spellStart"/>
      <w:r w:rsidRPr="006057FC">
        <w:rPr>
          <w:rFonts w:eastAsia="Times New Roman" w:cstheme="minorHAnsi"/>
          <w:lang w:val="en-US"/>
        </w:rPr>
        <w:t>Schwenninger</w:t>
      </w:r>
      <w:proofErr w:type="spellEnd"/>
      <w:r w:rsidRPr="006057FC">
        <w:rPr>
          <w:rFonts w:eastAsia="Times New Roman" w:cstheme="minorHAnsi"/>
          <w:lang w:val="en-US"/>
        </w:rPr>
        <w:t xml:space="preserve">, 2007) and the gamma dose rates were determined using the ‘threshold’ technique (Mercier and </w:t>
      </w:r>
      <w:proofErr w:type="spellStart"/>
      <w:r w:rsidRPr="006057FC">
        <w:rPr>
          <w:rFonts w:eastAsia="Times New Roman" w:cstheme="minorHAnsi"/>
          <w:lang w:val="en-US"/>
        </w:rPr>
        <w:t>Falgueres</w:t>
      </w:r>
      <w:proofErr w:type="spellEnd"/>
      <w:r w:rsidRPr="006057FC">
        <w:rPr>
          <w:rFonts w:eastAsia="Times New Roman" w:cstheme="minorHAnsi"/>
          <w:lang w:val="en-US"/>
        </w:rPr>
        <w:t xml:space="preserve">, 2007). The performance of the instruments is monitored in the laboratory for any drift before and after every field season. The gamma dose rates for </w:t>
      </w:r>
      <w:r w:rsidR="00385C46" w:rsidRPr="006057FC">
        <w:rPr>
          <w:rFonts w:eastAsia="Times New Roman" w:cstheme="minorHAnsi"/>
          <w:lang w:val="en-US"/>
        </w:rPr>
        <w:t>2</w:t>
      </w:r>
      <w:r w:rsidRPr="006057FC">
        <w:rPr>
          <w:rFonts w:eastAsia="Times New Roman" w:cstheme="minorHAnsi"/>
          <w:lang w:val="en-US"/>
        </w:rPr>
        <w:t xml:space="preserve"> samples</w:t>
      </w:r>
      <w:r w:rsidR="003A1AF1" w:rsidRPr="006057FC">
        <w:rPr>
          <w:rFonts w:eastAsia="Times New Roman" w:cstheme="minorHAnsi"/>
          <w:lang w:val="en-US"/>
        </w:rPr>
        <w:t xml:space="preserve"> </w:t>
      </w:r>
      <w:r w:rsidRPr="006057FC">
        <w:rPr>
          <w:rFonts w:eastAsia="Times New Roman" w:cstheme="minorHAnsi"/>
          <w:lang w:val="en-US"/>
        </w:rPr>
        <w:t xml:space="preserve">that were not measured directly, were calculated from the </w:t>
      </w:r>
      <w:r w:rsidRPr="006057FC">
        <w:rPr>
          <w:rFonts w:eastAsia="Times New Roman" w:cstheme="minorHAnsi"/>
          <w:i/>
          <w:iCs/>
          <w:lang w:val="en-US"/>
        </w:rPr>
        <w:t>in situ</w:t>
      </w:r>
      <w:r w:rsidRPr="006057FC">
        <w:rPr>
          <w:rFonts w:eastAsia="Times New Roman" w:cstheme="minorHAnsi"/>
          <w:lang w:val="en-US"/>
        </w:rPr>
        <w:t xml:space="preserve"> measurements of two bracketing samples</w:t>
      </w:r>
      <w:r w:rsidR="003A1AF1" w:rsidRPr="006057FC">
        <w:rPr>
          <w:rFonts w:eastAsia="Times New Roman" w:cstheme="minorHAnsi"/>
          <w:lang w:val="en-US"/>
        </w:rPr>
        <w:t xml:space="preserve"> (MRS7 and MRS9)</w:t>
      </w:r>
      <w:r w:rsidRPr="006057FC">
        <w:rPr>
          <w:rFonts w:eastAsia="Times New Roman" w:cstheme="minorHAnsi"/>
          <w:lang w:val="en-US"/>
        </w:rPr>
        <w:t xml:space="preserve">, or indirectly from a combination of TSAC (U and Th) and </w:t>
      </w:r>
      <w:r w:rsidR="003A1AF1" w:rsidRPr="006057FC">
        <w:rPr>
          <w:rFonts w:eastAsia="Times New Roman" w:cstheme="minorHAnsi"/>
          <w:lang w:val="en-US"/>
        </w:rPr>
        <w:t>ICP-MS</w:t>
      </w:r>
      <w:r w:rsidRPr="006057FC">
        <w:rPr>
          <w:rFonts w:eastAsia="Times New Roman" w:cstheme="minorHAnsi"/>
          <w:lang w:val="en-US"/>
        </w:rPr>
        <w:t xml:space="preserve"> (K)</w:t>
      </w:r>
      <w:r w:rsidR="003A1AF1" w:rsidRPr="006057FC">
        <w:rPr>
          <w:rFonts w:eastAsia="Times New Roman" w:cstheme="minorHAnsi"/>
          <w:lang w:val="en-US"/>
        </w:rPr>
        <w:t xml:space="preserve"> </w:t>
      </w:r>
      <w:r w:rsidR="003A1AF1" w:rsidRPr="006057FC">
        <w:rPr>
          <w:rFonts w:eastAsia="Times New Roman" w:cstheme="minorHAnsi"/>
          <w:lang w:val="en-US"/>
        </w:rPr>
        <w:lastRenderedPageBreak/>
        <w:t>(MRS17-1 and MRS17-8)</w:t>
      </w:r>
      <w:r w:rsidRPr="006057FC">
        <w:rPr>
          <w:rFonts w:eastAsia="Times New Roman" w:cstheme="minorHAnsi"/>
          <w:lang w:val="en-US"/>
        </w:rPr>
        <w:t xml:space="preserve">. The U, Th and K values were converted to gamma dose rates using the dose conversion factors of Guérin et al. (2011). </w:t>
      </w:r>
    </w:p>
    <w:p w14:paraId="74200181" w14:textId="167AEC81" w:rsidR="003A1AF1" w:rsidRPr="006057FC" w:rsidRDefault="003A1AF1" w:rsidP="003A1AF1">
      <w:pPr>
        <w:rPr>
          <w:rFonts w:eastAsia="Times New Roman" w:cstheme="minorHAnsi"/>
          <w:lang w:val="en-US"/>
        </w:rPr>
      </w:pPr>
      <w:r w:rsidRPr="006057FC">
        <w:rPr>
          <w:rFonts w:eastAsia="Times New Roman" w:cstheme="minorHAnsi"/>
          <w:lang w:val="en-US"/>
        </w:rPr>
        <w:t>Account was also taken of the cosmic-ray contribution to the total dose rate (Prescott and Hutton, 1994), adjusting for site altitude (~420 m), geomagnetic latitude (-31.0°), and the density and thickness of rock (2.6 g/cm</w:t>
      </w:r>
      <w:r w:rsidRPr="006057FC">
        <w:rPr>
          <w:rFonts w:eastAsia="Times New Roman" w:cstheme="minorHAnsi"/>
          <w:vertAlign w:val="superscript"/>
          <w:lang w:val="en-US"/>
        </w:rPr>
        <w:t>3</w:t>
      </w:r>
      <w:r w:rsidRPr="006057FC">
        <w:rPr>
          <w:rFonts w:eastAsia="Times New Roman" w:cstheme="minorHAnsi"/>
          <w:lang w:val="en-US"/>
        </w:rPr>
        <w:t>) and sediment (1.8 g/cm</w:t>
      </w:r>
      <w:r w:rsidRPr="006057FC">
        <w:rPr>
          <w:rFonts w:eastAsia="Times New Roman" w:cstheme="minorHAnsi"/>
          <w:vertAlign w:val="superscript"/>
          <w:lang w:val="en-US"/>
        </w:rPr>
        <w:t>3</w:t>
      </w:r>
      <w:r w:rsidRPr="006057FC">
        <w:rPr>
          <w:rFonts w:eastAsia="Times New Roman" w:cstheme="minorHAnsi"/>
          <w:lang w:val="en-US"/>
        </w:rPr>
        <w:t xml:space="preserve">) overburden. The site morphology is complex, so the angular distribution of cosmic rays was taken into account (Smith et al., 1997) using modern-day estimates of rock and sediment thickness at different angles as a guide (Fisher et al., 2015). </w:t>
      </w:r>
    </w:p>
    <w:p w14:paraId="03204CBE" w14:textId="0AE69E23" w:rsidR="003A1AF1" w:rsidRPr="006057FC" w:rsidRDefault="003A1AF1" w:rsidP="003A1AF1">
      <w:pPr>
        <w:spacing w:line="240" w:lineRule="auto"/>
        <w:jc w:val="both"/>
        <w:rPr>
          <w:rFonts w:eastAsia="Times New Roman" w:cstheme="minorHAnsi"/>
          <w:lang w:val="en-US"/>
        </w:rPr>
      </w:pPr>
      <w:r w:rsidRPr="006057FC">
        <w:rPr>
          <w:rFonts w:eastAsia="Times New Roman" w:cstheme="minorHAnsi"/>
          <w:lang w:val="en-US"/>
        </w:rPr>
        <w:t>An internal alpha dose rate of 0.03 ± 0.01 Gy/ka was assumed for all samples.</w:t>
      </w:r>
    </w:p>
    <w:p w14:paraId="0F2992F5" w14:textId="145C478A" w:rsidR="00FB1C4A" w:rsidRPr="00654FF5" w:rsidRDefault="00FB1C4A" w:rsidP="00FB1C4A">
      <w:pPr>
        <w:spacing w:line="240" w:lineRule="auto"/>
        <w:jc w:val="both"/>
        <w:rPr>
          <w:rFonts w:cstheme="minorHAnsi"/>
          <w:lang w:val="en-US"/>
        </w:rPr>
      </w:pPr>
      <w:r w:rsidRPr="006057FC">
        <w:rPr>
          <w:rFonts w:eastAsia="Times New Roman" w:cstheme="minorHAnsi"/>
          <w:lang w:val="en-US"/>
        </w:rPr>
        <w:t xml:space="preserve">The external beta and gamma dose rates were corrected for long-term water content (Nathan and Mauz, 2008). The field moisture content prevailing at the time of sample collection were measured for every sample. These values </w:t>
      </w:r>
      <w:r w:rsidR="003A1AF1" w:rsidRPr="006057FC">
        <w:rPr>
          <w:rFonts w:eastAsia="Times New Roman" w:cstheme="minorHAnsi"/>
          <w:lang w:val="en-US"/>
        </w:rPr>
        <w:t>ranged between 2.4% and 5.3</w:t>
      </w:r>
      <w:r w:rsidRPr="006057FC">
        <w:rPr>
          <w:rFonts w:eastAsia="Times New Roman" w:cstheme="minorHAnsi"/>
          <w:lang w:val="en-US"/>
        </w:rPr>
        <w:t xml:space="preserve">. We assumed that the field measured water contents are representative of the long-term water content, so used </w:t>
      </w:r>
      <w:r w:rsidR="003A1AF1" w:rsidRPr="006057FC">
        <w:rPr>
          <w:rFonts w:eastAsia="Times New Roman" w:cstheme="minorHAnsi"/>
          <w:lang w:val="en-US"/>
        </w:rPr>
        <w:t xml:space="preserve">5 ± 2% (i.e., </w:t>
      </w:r>
      <w:r w:rsidRPr="006057FC">
        <w:rPr>
          <w:rFonts w:eastAsia="Times New Roman" w:cstheme="minorHAnsi"/>
          <w:lang w:val="en-US"/>
        </w:rPr>
        <w:t>relative error of ±20% at 1σ) to accommodate any likely variations over the period of sample burial.</w:t>
      </w:r>
      <w:r w:rsidRPr="00654FF5">
        <w:rPr>
          <w:rFonts w:eastAsia="Times New Roman" w:cstheme="minorHAnsi"/>
          <w:lang w:val="en-US"/>
        </w:rPr>
        <w:t xml:space="preserve"> </w:t>
      </w:r>
    </w:p>
    <w:p w14:paraId="3EA3AC1B" w14:textId="77777777" w:rsidR="00FB1C4A" w:rsidRDefault="00FB1C4A" w:rsidP="00FB1C4A">
      <w:pPr>
        <w:rPr>
          <w:b/>
          <w:bCs/>
          <w:lang w:val="en-US"/>
        </w:rPr>
      </w:pPr>
    </w:p>
    <w:sectPr w:rsidR="00FB1C4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2C3DCB"/>
    <w:multiLevelType w:val="hybridMultilevel"/>
    <w:tmpl w:val="F3CC8312"/>
    <w:lvl w:ilvl="0" w:tplc="0922B67A">
      <w:start w:val="1"/>
      <w:numFmt w:val="decimal"/>
      <w:lvlText w:val="(%1)"/>
      <w:lvlJc w:val="left"/>
      <w:pPr>
        <w:ind w:left="1080" w:hanging="360"/>
      </w:pPr>
      <w:rPr>
        <w:rFonts w:asciiTheme="minorHAnsi" w:eastAsia="Times New Roman" w:hAnsiTheme="minorHAnsi" w:cstheme="minorHAnsi"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 w15:restartNumberingAfterBreak="0">
    <w:nsid w:val="46FF753A"/>
    <w:multiLevelType w:val="hybridMultilevel"/>
    <w:tmpl w:val="AF980BF2"/>
    <w:lvl w:ilvl="0" w:tplc="7EA4CEEC">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47FE1163"/>
    <w:multiLevelType w:val="hybridMultilevel"/>
    <w:tmpl w:val="12E07D60"/>
    <w:lvl w:ilvl="0" w:tplc="0C09000F">
      <w:start w:val="1"/>
      <w:numFmt w:val="decimal"/>
      <w:lvlText w:val="%1."/>
      <w:lvlJc w:val="left"/>
      <w:pPr>
        <w:ind w:left="1145" w:hanging="360"/>
      </w:pPr>
    </w:lvl>
    <w:lvl w:ilvl="1" w:tplc="0C090019" w:tentative="1">
      <w:start w:val="1"/>
      <w:numFmt w:val="lowerLetter"/>
      <w:lvlText w:val="%2."/>
      <w:lvlJc w:val="left"/>
      <w:pPr>
        <w:ind w:left="1865" w:hanging="360"/>
      </w:pPr>
    </w:lvl>
    <w:lvl w:ilvl="2" w:tplc="0C09001B" w:tentative="1">
      <w:start w:val="1"/>
      <w:numFmt w:val="lowerRoman"/>
      <w:lvlText w:val="%3."/>
      <w:lvlJc w:val="right"/>
      <w:pPr>
        <w:ind w:left="2585" w:hanging="180"/>
      </w:pPr>
    </w:lvl>
    <w:lvl w:ilvl="3" w:tplc="0C09000F" w:tentative="1">
      <w:start w:val="1"/>
      <w:numFmt w:val="decimal"/>
      <w:lvlText w:val="%4."/>
      <w:lvlJc w:val="left"/>
      <w:pPr>
        <w:ind w:left="3305" w:hanging="360"/>
      </w:pPr>
    </w:lvl>
    <w:lvl w:ilvl="4" w:tplc="0C090019" w:tentative="1">
      <w:start w:val="1"/>
      <w:numFmt w:val="lowerLetter"/>
      <w:lvlText w:val="%5."/>
      <w:lvlJc w:val="left"/>
      <w:pPr>
        <w:ind w:left="4025" w:hanging="360"/>
      </w:pPr>
    </w:lvl>
    <w:lvl w:ilvl="5" w:tplc="0C09001B" w:tentative="1">
      <w:start w:val="1"/>
      <w:numFmt w:val="lowerRoman"/>
      <w:lvlText w:val="%6."/>
      <w:lvlJc w:val="right"/>
      <w:pPr>
        <w:ind w:left="4745" w:hanging="180"/>
      </w:pPr>
    </w:lvl>
    <w:lvl w:ilvl="6" w:tplc="0C09000F" w:tentative="1">
      <w:start w:val="1"/>
      <w:numFmt w:val="decimal"/>
      <w:lvlText w:val="%7."/>
      <w:lvlJc w:val="left"/>
      <w:pPr>
        <w:ind w:left="5465" w:hanging="360"/>
      </w:pPr>
    </w:lvl>
    <w:lvl w:ilvl="7" w:tplc="0C090019" w:tentative="1">
      <w:start w:val="1"/>
      <w:numFmt w:val="lowerLetter"/>
      <w:lvlText w:val="%8."/>
      <w:lvlJc w:val="left"/>
      <w:pPr>
        <w:ind w:left="6185" w:hanging="360"/>
      </w:pPr>
    </w:lvl>
    <w:lvl w:ilvl="8" w:tplc="0C09001B" w:tentative="1">
      <w:start w:val="1"/>
      <w:numFmt w:val="lowerRoman"/>
      <w:lvlText w:val="%9."/>
      <w:lvlJc w:val="right"/>
      <w:pPr>
        <w:ind w:left="6905" w:hanging="180"/>
      </w:pPr>
    </w:lvl>
  </w:abstractNum>
  <w:abstractNum w:abstractNumId="3" w15:restartNumberingAfterBreak="0">
    <w:nsid w:val="528E49D0"/>
    <w:multiLevelType w:val="hybridMultilevel"/>
    <w:tmpl w:val="FAE48E12"/>
    <w:lvl w:ilvl="0" w:tplc="0FD0DE7C">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776705347">
    <w:abstractNumId w:val="2"/>
  </w:num>
  <w:num w:numId="2" w16cid:durableId="1548100877">
    <w:abstractNumId w:val="1"/>
  </w:num>
  <w:num w:numId="3" w16cid:durableId="286787995">
    <w:abstractNumId w:val="3"/>
  </w:num>
  <w:num w:numId="4" w16cid:durableId="8625901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C4A"/>
    <w:rsid w:val="000D1DC3"/>
    <w:rsid w:val="001A0FEE"/>
    <w:rsid w:val="001D318D"/>
    <w:rsid w:val="001D5E77"/>
    <w:rsid w:val="00206BDD"/>
    <w:rsid w:val="00222374"/>
    <w:rsid w:val="00283285"/>
    <w:rsid w:val="002B3187"/>
    <w:rsid w:val="002C0768"/>
    <w:rsid w:val="00353154"/>
    <w:rsid w:val="00385C46"/>
    <w:rsid w:val="003A1AF1"/>
    <w:rsid w:val="00415716"/>
    <w:rsid w:val="00462524"/>
    <w:rsid w:val="00530AD1"/>
    <w:rsid w:val="00533B9D"/>
    <w:rsid w:val="006057FC"/>
    <w:rsid w:val="00681AEA"/>
    <w:rsid w:val="006A4818"/>
    <w:rsid w:val="007330C0"/>
    <w:rsid w:val="007F3179"/>
    <w:rsid w:val="007F3327"/>
    <w:rsid w:val="008A71C0"/>
    <w:rsid w:val="008B4161"/>
    <w:rsid w:val="00925C00"/>
    <w:rsid w:val="00942635"/>
    <w:rsid w:val="0099686C"/>
    <w:rsid w:val="00A0068C"/>
    <w:rsid w:val="00A5297A"/>
    <w:rsid w:val="00B47661"/>
    <w:rsid w:val="00B67B67"/>
    <w:rsid w:val="00C058D4"/>
    <w:rsid w:val="00C13940"/>
    <w:rsid w:val="00C43F5B"/>
    <w:rsid w:val="00D13A14"/>
    <w:rsid w:val="00D35D88"/>
    <w:rsid w:val="00E54FBA"/>
    <w:rsid w:val="00E66FCE"/>
    <w:rsid w:val="00E7655D"/>
    <w:rsid w:val="00FB1C4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99797C"/>
  <w15:chartTrackingRefBased/>
  <w15:docId w15:val="{62E5F92F-B00D-46E0-9026-96F9CB405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B1C4A"/>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FB1C4A"/>
    <w:rPr>
      <w:sz w:val="16"/>
      <w:szCs w:val="16"/>
    </w:rPr>
  </w:style>
  <w:style w:type="paragraph" w:styleId="Kommentartext">
    <w:name w:val="annotation text"/>
    <w:basedOn w:val="Standard"/>
    <w:link w:val="KommentartextZchn"/>
    <w:uiPriority w:val="99"/>
    <w:semiHidden/>
    <w:unhideWhenUsed/>
    <w:rsid w:val="00FB1C4A"/>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FB1C4A"/>
    <w:rPr>
      <w:sz w:val="20"/>
      <w:szCs w:val="20"/>
    </w:rPr>
  </w:style>
  <w:style w:type="paragraph" w:styleId="Listenabsatz">
    <w:name w:val="List Paragraph"/>
    <w:basedOn w:val="Standard"/>
    <w:uiPriority w:val="34"/>
    <w:qFormat/>
    <w:rsid w:val="00FB1C4A"/>
    <w:pPr>
      <w:ind w:left="720"/>
      <w:contextualSpacing/>
    </w:pPr>
  </w:style>
  <w:style w:type="table" w:styleId="Tabellenraster">
    <w:name w:val="Table Grid"/>
    <w:basedOn w:val="NormaleTabelle"/>
    <w:uiPriority w:val="39"/>
    <w:rsid w:val="00206B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2120</Words>
  <Characters>13357</Characters>
  <Application>Microsoft Office Word</Application>
  <DocSecurity>0</DocSecurity>
  <Lines>111</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Zenobia Jacobs</dc:creator>
  <cp:keywords/>
  <dc:description/>
  <cp:lastModifiedBy>Manuel Will</cp:lastModifiedBy>
  <cp:revision>10</cp:revision>
  <dcterms:created xsi:type="dcterms:W3CDTF">2024-03-20T02:41:00Z</dcterms:created>
  <dcterms:modified xsi:type="dcterms:W3CDTF">2024-03-27T15:47:00Z</dcterms:modified>
</cp:coreProperties>
</file>