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jc w:val="center"/>
        <w:rPr>
          <w:rFonts w:hint="eastAsia" w:ascii="Times New Roman" w:hAnsi="Times New Roman" w:cs="Times New Roman"/>
          <w:b/>
          <w:bCs/>
          <w:sz w:val="32"/>
          <w:szCs w:val="40"/>
          <w:lang w:val="en-US" w:eastAsia="zh-CN"/>
        </w:rPr>
      </w:pPr>
      <w:r>
        <w:rPr>
          <w:rFonts w:hint="default" w:ascii="Times New Roman" w:hAnsi="Times New Roman" w:cs="Times New Roman"/>
          <w:b/>
          <w:bCs/>
          <w:sz w:val="32"/>
          <w:szCs w:val="40"/>
        </w:rPr>
        <w:t xml:space="preserve">SUPPLEMENTAL </w:t>
      </w:r>
      <w:r>
        <w:rPr>
          <w:rFonts w:hint="eastAsia" w:ascii="Times New Roman" w:hAnsi="Times New Roman" w:cs="Times New Roman"/>
          <w:b/>
          <w:bCs/>
          <w:sz w:val="32"/>
          <w:szCs w:val="40"/>
          <w:lang w:val="en-US" w:eastAsia="zh-CN"/>
        </w:rPr>
        <w:t>MATERIALS</w:t>
      </w:r>
    </w:p>
    <w:p>
      <w:pPr>
        <w:keepNext w:val="0"/>
        <w:keepLines w:val="0"/>
        <w:pageBreakBefore w:val="0"/>
        <w:kinsoku/>
        <w:wordWrap/>
        <w:overflowPunct/>
        <w:topLinePunct w:val="0"/>
        <w:autoSpaceDE w:val="0"/>
        <w:autoSpaceDN/>
        <w:bidi w:val="0"/>
        <w:spacing w:line="360" w:lineRule="auto"/>
        <w:rPr>
          <w:rFonts w:hint="default" w:ascii="Times New Roman" w:hAnsi="Times New Roman" w:cs="Times New Roman"/>
          <w:b/>
          <w:bCs/>
          <w:sz w:val="21"/>
          <w:szCs w:val="21"/>
        </w:rPr>
      </w:pPr>
      <w:r>
        <w:rPr>
          <w:rFonts w:hint="default" w:ascii="Times New Roman" w:hAnsi="Times New Roman" w:cs="Times New Roman"/>
          <w:b/>
          <w:bCs/>
          <w:sz w:val="21"/>
          <w:szCs w:val="21"/>
        </w:rPr>
        <w:t>Screening for lung cancer using thin-slice low-dose computed tomography in a Chinese physical examination population: a population-based real-world study</w:t>
      </w:r>
    </w:p>
    <w:p>
      <w:pPr>
        <w:rPr>
          <w:rFonts w:hint="default" w:ascii="Times New Roman" w:hAnsi="Times New Roman" w:cs="Times New Roman"/>
          <w:b/>
          <w:bCs/>
          <w:sz w:val="21"/>
          <w:szCs w:val="24"/>
        </w:rPr>
      </w:pPr>
      <w:bookmarkStart w:id="0" w:name="_GoBack"/>
      <w:bookmarkEnd w:id="0"/>
    </w:p>
    <w:p>
      <w:pPr>
        <w:numPr>
          <w:ilvl w:val="0"/>
          <w:numId w:val="0"/>
        </w:numPr>
        <w:rPr>
          <w:rFonts w:hint="default" w:ascii="Times New Roman" w:hAnsi="Times New Roman" w:cs="Times New Roman"/>
          <w:b w:val="0"/>
          <w:bCs w:val="0"/>
          <w:sz w:val="21"/>
          <w:szCs w:val="24"/>
        </w:rPr>
      </w:pPr>
      <w:r>
        <w:rPr>
          <w:rFonts w:hint="default" w:ascii="Times New Roman" w:hAnsi="Times New Roman" w:cs="Times New Roman"/>
          <w:b/>
          <w:bCs/>
          <w:sz w:val="21"/>
          <w:szCs w:val="24"/>
        </w:rPr>
        <w:fldChar w:fldCharType="begin"/>
      </w:r>
      <w:r>
        <w:rPr>
          <w:rFonts w:hint="default" w:ascii="Times New Roman" w:hAnsi="Times New Roman" w:cs="Times New Roman"/>
          <w:b/>
          <w:bCs/>
          <w:sz w:val="21"/>
          <w:szCs w:val="24"/>
        </w:rPr>
        <w:instrText xml:space="preserve"> TOC \o "1-3" \h \z \u </w:instrText>
      </w:r>
      <w:r>
        <w:rPr>
          <w:rFonts w:hint="default" w:ascii="Times New Roman" w:hAnsi="Times New Roman" w:cs="Times New Roman"/>
          <w:b/>
          <w:bCs/>
          <w:sz w:val="21"/>
          <w:szCs w:val="24"/>
        </w:rPr>
        <w:fldChar w:fldCharType="separate"/>
      </w:r>
      <w:r>
        <w:rPr>
          <w:rFonts w:hint="default" w:ascii="Times New Roman" w:hAnsi="Times New Roman" w:cs="Times New Roman"/>
          <w:b w:val="0"/>
          <w:bCs w:val="0"/>
          <w:sz w:val="21"/>
          <w:szCs w:val="24"/>
        </w:rPr>
        <w:fldChar w:fldCharType="begin"/>
      </w:r>
      <w:r>
        <w:rPr>
          <w:rFonts w:hint="default" w:ascii="Times New Roman" w:hAnsi="Times New Roman" w:cs="Times New Roman"/>
          <w:b w:val="0"/>
          <w:bCs w:val="0"/>
          <w:sz w:val="21"/>
          <w:szCs w:val="24"/>
        </w:rPr>
        <w:instrText xml:space="preserve"> HYPERLINK \l "_Toc145935079" </w:instrText>
      </w:r>
      <w:r>
        <w:rPr>
          <w:rFonts w:hint="default" w:ascii="Times New Roman" w:hAnsi="Times New Roman" w:cs="Times New Roman"/>
          <w:b w:val="0"/>
          <w:bCs w:val="0"/>
          <w:sz w:val="21"/>
          <w:szCs w:val="24"/>
        </w:rPr>
        <w:fldChar w:fldCharType="separate"/>
      </w:r>
      <w:r>
        <w:rPr>
          <w:rStyle w:val="7"/>
          <w:rFonts w:hint="default" w:ascii="Times New Roman" w:hAnsi="Times New Roman" w:cs="Times New Roman"/>
          <w:b w:val="0"/>
          <w:bCs w:val="0"/>
          <w:sz w:val="21"/>
          <w:szCs w:val="24"/>
        </w:rPr>
        <w:t>Section1</w:t>
      </w:r>
      <w:r>
        <w:rPr>
          <w:rStyle w:val="7"/>
          <w:rFonts w:hint="eastAsia" w:ascii="Times New Roman" w:hAnsi="Times New Roman" w:cs="Times New Roman"/>
          <w:b w:val="0"/>
          <w:bCs w:val="0"/>
          <w:sz w:val="21"/>
          <w:szCs w:val="24"/>
          <w:lang w:val="en-US" w:eastAsia="zh-CN"/>
        </w:rPr>
        <w:t xml:space="preserve">: </w:t>
      </w:r>
      <w:r>
        <w:rPr>
          <w:rFonts w:hint="eastAsia" w:ascii="Times New Roman" w:hAnsi="Times New Roman" w:cs="Times New Roman"/>
          <w:b w:val="0"/>
          <w:bCs w:val="0"/>
          <w:sz w:val="21"/>
          <w:szCs w:val="24"/>
          <w:lang w:val="en-US" w:eastAsia="zh-CN"/>
        </w:rPr>
        <w:t>Specific evaluation criteria and classification criteria based on nodule density............</w:t>
      </w:r>
      <w:r>
        <w:rPr>
          <w:rFonts w:hint="default" w:ascii="Times New Roman" w:hAnsi="Times New Roman" w:cs="Times New Roman"/>
          <w:b w:val="0"/>
          <w:bCs w:val="0"/>
          <w:sz w:val="21"/>
          <w:szCs w:val="24"/>
        </w:rPr>
        <w:tab/>
      </w:r>
      <w:r>
        <w:rPr>
          <w:rFonts w:hint="default" w:ascii="Times New Roman" w:hAnsi="Times New Roman" w:cs="Times New Roman"/>
          <w:b w:val="0"/>
          <w:bCs w:val="0"/>
          <w:sz w:val="21"/>
          <w:szCs w:val="24"/>
        </w:rPr>
        <w:fldChar w:fldCharType="begin"/>
      </w:r>
      <w:r>
        <w:rPr>
          <w:rFonts w:hint="default" w:ascii="Times New Roman" w:hAnsi="Times New Roman" w:cs="Times New Roman"/>
          <w:b w:val="0"/>
          <w:bCs w:val="0"/>
          <w:sz w:val="21"/>
          <w:szCs w:val="24"/>
        </w:rPr>
        <w:instrText xml:space="preserve"> PAGEREF _Toc145935079 \h </w:instrText>
      </w:r>
      <w:r>
        <w:rPr>
          <w:rFonts w:hint="default" w:ascii="Times New Roman" w:hAnsi="Times New Roman" w:cs="Times New Roman"/>
          <w:b w:val="0"/>
          <w:bCs w:val="0"/>
          <w:sz w:val="21"/>
          <w:szCs w:val="24"/>
        </w:rPr>
        <w:fldChar w:fldCharType="separate"/>
      </w:r>
      <w:r>
        <w:rPr>
          <w:rFonts w:hint="default" w:ascii="Times New Roman" w:hAnsi="Times New Roman" w:cs="Times New Roman"/>
          <w:b w:val="0"/>
          <w:bCs w:val="0"/>
          <w:sz w:val="21"/>
          <w:szCs w:val="24"/>
        </w:rPr>
        <w:t>2</w:t>
      </w:r>
      <w:r>
        <w:rPr>
          <w:rFonts w:hint="default" w:ascii="Times New Roman" w:hAnsi="Times New Roman" w:cs="Times New Roman"/>
          <w:b w:val="0"/>
          <w:bCs w:val="0"/>
          <w:sz w:val="21"/>
          <w:szCs w:val="24"/>
        </w:rPr>
        <w:fldChar w:fldCharType="end"/>
      </w:r>
      <w:r>
        <w:rPr>
          <w:rFonts w:hint="default" w:ascii="Times New Roman" w:hAnsi="Times New Roman" w:cs="Times New Roman"/>
          <w:b w:val="0"/>
          <w:bCs w:val="0"/>
          <w:sz w:val="21"/>
          <w:szCs w:val="24"/>
        </w:rPr>
        <w:fldChar w:fldCharType="end"/>
      </w:r>
    </w:p>
    <w:p>
      <w:pPr>
        <w:numPr>
          <w:ilvl w:val="0"/>
          <w:numId w:val="0"/>
        </w:numPr>
        <w:rPr>
          <w:rFonts w:hint="default" w:ascii="Times New Roman" w:hAnsi="Times New Roman" w:cs="Times New Roman"/>
          <w:b w:val="0"/>
          <w:bCs w:val="0"/>
          <w:sz w:val="21"/>
          <w:szCs w:val="24"/>
          <w:lang w:val="en-US" w:eastAsia="it-IT"/>
        </w:rPr>
      </w:pPr>
      <w:r>
        <w:rPr>
          <w:rFonts w:hint="eastAsia" w:ascii="Times New Roman" w:hAnsi="Times New Roman" w:cs="Times New Roman"/>
          <w:b w:val="0"/>
          <w:bCs w:val="0"/>
          <w:i w:val="0"/>
          <w:iCs w:val="0"/>
          <w:sz w:val="21"/>
          <w:szCs w:val="24"/>
          <w:u w:val="none"/>
          <w:lang w:val="en-US" w:eastAsia="zh-CN"/>
        </w:rPr>
        <w:t xml:space="preserve">Section 2: </w:t>
      </w:r>
      <w:r>
        <w:rPr>
          <w:rFonts w:hint="eastAsia" w:ascii="Times New Roman" w:hAnsi="Times New Roman" w:cs="Times New Roman"/>
          <w:b w:val="0"/>
          <w:bCs w:val="0"/>
          <w:i w:val="0"/>
          <w:iCs w:val="0"/>
          <w:kern w:val="44"/>
          <w:sz w:val="22"/>
          <w:szCs w:val="24"/>
          <w:u w:val="none"/>
        </w:rPr>
        <w:t xml:space="preserve">Classification of pulmonary nodules according to the </w:t>
      </w:r>
      <w:r>
        <w:rPr>
          <w:rFonts w:hint="eastAsia" w:ascii="Times New Roman" w:hAnsi="Times New Roman" w:cs="Times New Roman"/>
          <w:b w:val="0"/>
          <w:bCs w:val="0"/>
          <w:i w:val="0"/>
          <w:iCs w:val="0"/>
          <w:kern w:val="44"/>
          <w:sz w:val="22"/>
          <w:szCs w:val="24"/>
          <w:u w:val="none"/>
          <w:lang w:val="en-US" w:eastAsia="zh-CN"/>
        </w:rPr>
        <w:t>nature.................................3</w:t>
      </w:r>
    </w:p>
    <w:p>
      <w:pPr>
        <w:numPr>
          <w:ilvl w:val="0"/>
          <w:numId w:val="0"/>
        </w:numPr>
        <w:rPr>
          <w:rFonts w:hint="default" w:ascii="Times New Roman" w:hAnsi="Times New Roman" w:cs="Times New Roman" w:eastAsiaTheme="minorEastAsia"/>
          <w:b w:val="0"/>
          <w:bCs w:val="0"/>
          <w:sz w:val="22"/>
          <w:szCs w:val="22"/>
          <w:lang w:val="it-IT" w:eastAsia="it-IT"/>
        </w:rPr>
      </w:pPr>
      <w:r>
        <w:rPr>
          <w:rFonts w:hint="default" w:ascii="Times New Roman" w:hAnsi="Times New Roman" w:cs="Times New Roman"/>
          <w:b w:val="0"/>
          <w:bCs w:val="0"/>
          <w:sz w:val="21"/>
          <w:szCs w:val="24"/>
        </w:rPr>
        <w:fldChar w:fldCharType="begin"/>
      </w:r>
      <w:r>
        <w:rPr>
          <w:rFonts w:hint="default" w:ascii="Times New Roman" w:hAnsi="Times New Roman" w:cs="Times New Roman"/>
          <w:b w:val="0"/>
          <w:bCs w:val="0"/>
          <w:sz w:val="21"/>
          <w:szCs w:val="24"/>
        </w:rPr>
        <w:instrText xml:space="preserve"> HYPERLINK \l "_Toc145935079" </w:instrText>
      </w:r>
      <w:r>
        <w:rPr>
          <w:rFonts w:hint="default" w:ascii="Times New Roman" w:hAnsi="Times New Roman" w:cs="Times New Roman"/>
          <w:b w:val="0"/>
          <w:bCs w:val="0"/>
          <w:sz w:val="21"/>
          <w:szCs w:val="24"/>
        </w:rPr>
        <w:fldChar w:fldCharType="separate"/>
      </w:r>
      <w:r>
        <w:rPr>
          <w:rStyle w:val="7"/>
          <w:rFonts w:hint="default" w:ascii="Times New Roman" w:hAnsi="Times New Roman" w:cs="Times New Roman"/>
          <w:b w:val="0"/>
          <w:bCs w:val="0"/>
          <w:sz w:val="21"/>
          <w:szCs w:val="24"/>
        </w:rPr>
        <w:t xml:space="preserve">Section </w:t>
      </w:r>
      <w:r>
        <w:rPr>
          <w:rStyle w:val="7"/>
          <w:rFonts w:hint="eastAsia" w:ascii="Times New Roman" w:hAnsi="Times New Roman" w:cs="Times New Roman"/>
          <w:b w:val="0"/>
          <w:bCs w:val="0"/>
          <w:sz w:val="21"/>
          <w:szCs w:val="24"/>
          <w:lang w:val="en-US" w:eastAsia="zh-CN"/>
        </w:rPr>
        <w:t xml:space="preserve">3: </w:t>
      </w:r>
      <w:r>
        <w:rPr>
          <w:rFonts w:hint="eastAsia" w:ascii="Times New Roman" w:hAnsi="Times New Roman" w:cs="Times New Roman"/>
          <w:b w:val="0"/>
          <w:bCs w:val="0"/>
          <w:i w:val="0"/>
          <w:iCs w:val="0"/>
          <w:kern w:val="44"/>
          <w:sz w:val="22"/>
          <w:szCs w:val="24"/>
          <w:u w:val="none"/>
          <w:lang w:val="en-US" w:eastAsia="zh-CN"/>
        </w:rPr>
        <w:t>Quality control of the research.............</w:t>
      </w:r>
      <w:r>
        <w:rPr>
          <w:rFonts w:hint="eastAsia" w:ascii="Times New Roman" w:hAnsi="Times New Roman" w:cs="Times New Roman"/>
          <w:b w:val="0"/>
          <w:bCs w:val="0"/>
          <w:sz w:val="21"/>
          <w:szCs w:val="24"/>
          <w:lang w:val="en-US" w:eastAsia="zh-CN"/>
        </w:rPr>
        <w:t>......................................................................</w:t>
      </w:r>
      <w:r>
        <w:rPr>
          <w:rFonts w:hint="default" w:ascii="Times New Roman" w:hAnsi="Times New Roman" w:cs="Times New Roman"/>
          <w:b w:val="0"/>
          <w:bCs w:val="0"/>
          <w:sz w:val="21"/>
          <w:szCs w:val="24"/>
        </w:rPr>
        <w:tab/>
      </w:r>
      <w:r>
        <w:rPr>
          <w:rFonts w:hint="eastAsia" w:ascii="Times New Roman" w:hAnsi="Times New Roman" w:cs="Times New Roman"/>
          <w:b w:val="0"/>
          <w:bCs w:val="0"/>
          <w:sz w:val="21"/>
          <w:szCs w:val="24"/>
          <w:lang w:val="en-US" w:eastAsia="zh-CN"/>
        </w:rPr>
        <w:t>4</w:t>
      </w:r>
      <w:r>
        <w:rPr>
          <w:rFonts w:hint="default" w:ascii="Times New Roman" w:hAnsi="Times New Roman" w:cs="Times New Roman"/>
          <w:b w:val="0"/>
          <w:bCs w:val="0"/>
          <w:sz w:val="21"/>
          <w:szCs w:val="24"/>
        </w:rPr>
        <w:fldChar w:fldCharType="end"/>
      </w:r>
    </w:p>
    <w:p>
      <w:pPr>
        <w:numPr>
          <w:ilvl w:val="0"/>
          <w:numId w:val="0"/>
        </w:numPr>
        <w:rPr>
          <w:rFonts w:hint="default" w:ascii="Times New Roman" w:hAnsi="Times New Roman" w:cs="Times New Roman"/>
          <w:b/>
          <w:bCs/>
          <w:sz w:val="21"/>
          <w:szCs w:val="24"/>
        </w:rPr>
      </w:pPr>
      <w:r>
        <w:rPr>
          <w:rFonts w:hint="default" w:ascii="Times New Roman" w:hAnsi="Times New Roman" w:cs="Times New Roman"/>
          <w:sz w:val="21"/>
          <w:szCs w:val="24"/>
        </w:rPr>
        <w:fldChar w:fldCharType="begin"/>
      </w:r>
      <w:r>
        <w:rPr>
          <w:rFonts w:hint="default" w:ascii="Times New Roman" w:hAnsi="Times New Roman" w:cs="Times New Roman"/>
          <w:sz w:val="21"/>
          <w:szCs w:val="24"/>
        </w:rPr>
        <w:instrText xml:space="preserve"> HYPERLINK \l "_Toc145935080" </w:instrText>
      </w:r>
      <w:r>
        <w:rPr>
          <w:rFonts w:hint="default" w:ascii="Times New Roman" w:hAnsi="Times New Roman" w:cs="Times New Roman"/>
          <w:sz w:val="21"/>
          <w:szCs w:val="24"/>
        </w:rPr>
        <w:fldChar w:fldCharType="separate"/>
      </w:r>
      <w:r>
        <w:rPr>
          <w:rStyle w:val="7"/>
          <w:rFonts w:hint="default" w:ascii="Times New Roman" w:hAnsi="Times New Roman" w:cs="Times New Roman"/>
          <w:sz w:val="21"/>
          <w:szCs w:val="24"/>
        </w:rPr>
        <w:t>Figure S1.</w:t>
      </w:r>
      <w:r>
        <w:rPr>
          <w:rFonts w:ascii="Times New Roman" w:hAnsi="Times New Roman" w:cs="Times New Roman"/>
          <w:sz w:val="21"/>
          <w:szCs w:val="24"/>
        </w:rPr>
        <w:t xml:space="preserve"> </w:t>
      </w:r>
      <w:r>
        <w:rPr>
          <w:rFonts w:ascii="Times New Roman" w:hAnsi="Times New Roman" w:cs="Times New Roman"/>
          <w:bCs/>
          <w:kern w:val="44"/>
          <w:sz w:val="21"/>
          <w:szCs w:val="24"/>
        </w:rPr>
        <w:t>CT images of nodules with different densities</w:t>
      </w:r>
      <w:r>
        <w:rPr>
          <w:rFonts w:hint="eastAsia" w:ascii="Times New Roman" w:hAnsi="Times New Roman" w:cs="Times New Roman"/>
          <w:bCs/>
          <w:kern w:val="44"/>
          <w:sz w:val="21"/>
          <w:szCs w:val="24"/>
          <w:lang w:val="en-US" w:eastAsia="zh-CN"/>
        </w:rPr>
        <w:t>............................................................</w:t>
      </w:r>
      <w:r>
        <w:rPr>
          <w:rStyle w:val="7"/>
          <w:rFonts w:hint="default" w:ascii="Times New Roman" w:hAnsi="Times New Roman" w:cs="Times New Roman"/>
          <w:sz w:val="21"/>
          <w:szCs w:val="24"/>
        </w:rPr>
        <w:t>.</w:t>
      </w:r>
      <w:r>
        <w:rPr>
          <w:rFonts w:hint="default" w:ascii="Times New Roman" w:hAnsi="Times New Roman" w:cs="Times New Roman"/>
          <w:sz w:val="21"/>
          <w:szCs w:val="24"/>
        </w:rPr>
        <w:tab/>
      </w:r>
      <w:r>
        <w:rPr>
          <w:rFonts w:hint="eastAsia" w:ascii="Times New Roman" w:hAnsi="Times New Roman" w:cs="Times New Roman"/>
          <w:sz w:val="21"/>
          <w:szCs w:val="24"/>
          <w:lang w:val="en-US" w:eastAsia="zh-CN"/>
        </w:rPr>
        <w:t>5</w:t>
      </w:r>
      <w:r>
        <w:rPr>
          <w:rFonts w:hint="default" w:ascii="Times New Roman" w:hAnsi="Times New Roman" w:cs="Times New Roman"/>
          <w:sz w:val="21"/>
          <w:szCs w:val="24"/>
        </w:rPr>
        <w:fldChar w:fldCharType="end"/>
      </w:r>
    </w:p>
    <w:p>
      <w:pPr>
        <w:numPr>
          <w:ilvl w:val="0"/>
          <w:numId w:val="0"/>
        </w:numPr>
        <w:rPr>
          <w:rFonts w:hint="default" w:ascii="Times New Roman" w:hAnsi="Times New Roman" w:cs="Times New Roman"/>
          <w:b/>
          <w:bCs/>
          <w:sz w:val="21"/>
          <w:szCs w:val="24"/>
        </w:rPr>
      </w:pPr>
      <w:r>
        <w:rPr>
          <w:rFonts w:hint="default" w:ascii="Times New Roman" w:hAnsi="Times New Roman" w:cs="Times New Roman"/>
          <w:b/>
          <w:bCs/>
          <w:sz w:val="21"/>
          <w:szCs w:val="24"/>
        </w:rPr>
        <w:fldChar w:fldCharType="end"/>
      </w:r>
      <w:r>
        <w:rPr>
          <w:rFonts w:hint="default" w:ascii="Times New Roman" w:hAnsi="Times New Roman" w:cs="Times New Roman"/>
          <w:sz w:val="21"/>
          <w:szCs w:val="24"/>
        </w:rPr>
        <w:fldChar w:fldCharType="begin"/>
      </w:r>
      <w:r>
        <w:rPr>
          <w:rFonts w:hint="default" w:ascii="Times New Roman" w:hAnsi="Times New Roman" w:cs="Times New Roman"/>
          <w:sz w:val="21"/>
          <w:szCs w:val="24"/>
        </w:rPr>
        <w:instrText xml:space="preserve"> HYPERLINK \l "_Toc145935080" </w:instrText>
      </w:r>
      <w:r>
        <w:rPr>
          <w:rFonts w:hint="default" w:ascii="Times New Roman" w:hAnsi="Times New Roman" w:cs="Times New Roman"/>
          <w:sz w:val="21"/>
          <w:szCs w:val="24"/>
        </w:rPr>
        <w:fldChar w:fldCharType="separate"/>
      </w:r>
      <w:r>
        <w:rPr>
          <w:rFonts w:hint="eastAsia" w:ascii="Times New Roman" w:hAnsi="Times New Roman" w:cs="Times New Roman"/>
          <w:sz w:val="21"/>
          <w:szCs w:val="24"/>
          <w:lang w:val="en-US" w:eastAsia="zh-CN"/>
        </w:rPr>
        <w:t xml:space="preserve">Table S1. </w:t>
      </w:r>
      <w:r>
        <w:rPr>
          <w:rFonts w:ascii="Times New Roman" w:hAnsi="Times New Roman" w:cs="Times New Roman"/>
          <w:b w:val="0"/>
          <w:bCs w:val="0"/>
          <w:color w:val="000000"/>
          <w:sz w:val="22"/>
          <w:szCs w:val="24"/>
        </w:rPr>
        <w:t>Lung cancer detection of chest LDCT in different screening result groups of healthy individuals</w:t>
      </w:r>
      <w:r>
        <w:rPr>
          <w:rFonts w:hint="eastAsia" w:ascii="Times New Roman" w:hAnsi="Times New Roman" w:cs="Times New Roman"/>
          <w:b/>
          <w:bCs/>
          <w:color w:val="000000"/>
          <w:sz w:val="22"/>
          <w:szCs w:val="24"/>
          <w:lang w:val="en-US" w:eastAsia="zh-CN"/>
        </w:rPr>
        <w:t xml:space="preserve"> </w:t>
      </w:r>
      <w:r>
        <w:rPr>
          <w:rFonts w:hint="eastAsia" w:ascii="Times New Roman" w:hAnsi="Times New Roman" w:cs="Times New Roman"/>
          <w:bCs/>
          <w:kern w:val="44"/>
          <w:sz w:val="21"/>
          <w:szCs w:val="24"/>
          <w:lang w:val="en-US" w:eastAsia="zh-CN"/>
        </w:rPr>
        <w:t>....................................................................................................................................</w:t>
      </w:r>
      <w:r>
        <w:rPr>
          <w:rFonts w:hint="default" w:ascii="Times New Roman" w:hAnsi="Times New Roman" w:cs="Times New Roman"/>
          <w:sz w:val="21"/>
          <w:szCs w:val="24"/>
        </w:rPr>
        <w:tab/>
      </w:r>
      <w:r>
        <w:rPr>
          <w:rFonts w:hint="eastAsia" w:ascii="Times New Roman" w:hAnsi="Times New Roman" w:cs="Times New Roman"/>
          <w:sz w:val="21"/>
          <w:szCs w:val="24"/>
          <w:lang w:val="en-US" w:eastAsia="zh-CN"/>
        </w:rPr>
        <w:t>6</w:t>
      </w:r>
      <w:r>
        <w:rPr>
          <w:rFonts w:hint="default" w:ascii="Times New Roman" w:hAnsi="Times New Roman" w:cs="Times New Roman"/>
          <w:sz w:val="21"/>
          <w:szCs w:val="24"/>
        </w:rPr>
        <w:fldChar w:fldCharType="end"/>
      </w:r>
    </w:p>
    <w:p>
      <w:pPr>
        <w:numPr>
          <w:ilvl w:val="0"/>
          <w:numId w:val="0"/>
        </w:numPr>
        <w:rPr>
          <w:rFonts w:hint="default" w:ascii="Times New Roman" w:hAnsi="Times New Roman" w:cs="Times New Roman"/>
          <w:b/>
          <w:bCs/>
          <w:sz w:val="21"/>
          <w:szCs w:val="24"/>
        </w:rPr>
      </w:pPr>
      <w:r>
        <w:rPr>
          <w:rFonts w:hint="default" w:ascii="Times New Roman" w:hAnsi="Times New Roman" w:cs="Times New Roman"/>
          <w:sz w:val="21"/>
          <w:szCs w:val="24"/>
        </w:rPr>
        <w:fldChar w:fldCharType="begin"/>
      </w:r>
      <w:r>
        <w:rPr>
          <w:rFonts w:hint="default" w:ascii="Times New Roman" w:hAnsi="Times New Roman" w:cs="Times New Roman"/>
          <w:sz w:val="21"/>
          <w:szCs w:val="24"/>
        </w:rPr>
        <w:instrText xml:space="preserve"> HYPERLINK \l "_Toc145935080" </w:instrText>
      </w:r>
      <w:r>
        <w:rPr>
          <w:rFonts w:hint="default" w:ascii="Times New Roman" w:hAnsi="Times New Roman" w:cs="Times New Roman"/>
          <w:sz w:val="21"/>
          <w:szCs w:val="24"/>
        </w:rPr>
        <w:fldChar w:fldCharType="separate"/>
      </w:r>
      <w:r>
        <w:rPr>
          <w:rFonts w:hint="eastAsia" w:ascii="Times New Roman" w:hAnsi="Times New Roman" w:cs="Times New Roman"/>
          <w:sz w:val="21"/>
          <w:szCs w:val="24"/>
          <w:lang w:val="en-US" w:eastAsia="zh-CN"/>
        </w:rPr>
        <w:t xml:space="preserve">Table S2. </w:t>
      </w:r>
      <w:r>
        <w:rPr>
          <w:rFonts w:hint="eastAsia" w:ascii="Times New Roman" w:hAnsi="Times New Roman" w:cs="Times New Roman"/>
          <w:b w:val="0"/>
          <w:bCs w:val="0"/>
          <w:color w:val="000000"/>
          <w:sz w:val="22"/>
          <w:szCs w:val="24"/>
        </w:rPr>
        <w:t>Comparison of lung cancer stages detected by LDCT baseline screening and follow-up in healthy physical examination population.</w:t>
      </w:r>
      <w:r>
        <w:rPr>
          <w:rFonts w:hint="eastAsia" w:ascii="Times New Roman" w:hAnsi="Times New Roman" w:cs="Times New Roman"/>
          <w:bCs/>
          <w:kern w:val="44"/>
          <w:sz w:val="21"/>
          <w:szCs w:val="24"/>
          <w:lang w:val="en-US" w:eastAsia="zh-CN"/>
        </w:rPr>
        <w:t>.............................................................</w:t>
      </w:r>
      <w:r>
        <w:rPr>
          <w:rFonts w:hint="eastAsia" w:ascii="Times New Roman" w:hAnsi="Times New Roman" w:cs="Times New Roman"/>
          <w:sz w:val="21"/>
          <w:szCs w:val="24"/>
          <w:lang w:val="en-US" w:eastAsia="zh-CN"/>
        </w:rPr>
        <w:t>7</w:t>
      </w:r>
      <w:r>
        <w:rPr>
          <w:rFonts w:hint="default" w:ascii="Times New Roman" w:hAnsi="Times New Roman" w:cs="Times New Roman"/>
          <w:sz w:val="21"/>
          <w:szCs w:val="24"/>
        </w:rPr>
        <w:fldChar w:fldCharType="end"/>
      </w:r>
    </w:p>
    <w:p>
      <w:pPr>
        <w:numPr>
          <w:ilvl w:val="0"/>
          <w:numId w:val="0"/>
        </w:numPr>
        <w:rPr>
          <w:rFonts w:hint="default" w:ascii="Times New Roman" w:hAnsi="Times New Roman" w:cs="Times New Roman"/>
          <w:b/>
          <w:bCs/>
          <w:sz w:val="21"/>
          <w:szCs w:val="24"/>
        </w:rPr>
      </w:pPr>
      <w:r>
        <w:rPr>
          <w:rFonts w:hint="default" w:ascii="Times New Roman" w:hAnsi="Times New Roman" w:cs="Times New Roman"/>
          <w:sz w:val="21"/>
          <w:szCs w:val="24"/>
        </w:rPr>
        <w:fldChar w:fldCharType="begin"/>
      </w:r>
      <w:r>
        <w:rPr>
          <w:rFonts w:hint="default" w:ascii="Times New Roman" w:hAnsi="Times New Roman" w:cs="Times New Roman"/>
          <w:sz w:val="21"/>
          <w:szCs w:val="24"/>
        </w:rPr>
        <w:instrText xml:space="preserve"> HYPERLINK \l "_Toc145935080" </w:instrText>
      </w:r>
      <w:r>
        <w:rPr>
          <w:rFonts w:hint="default" w:ascii="Times New Roman" w:hAnsi="Times New Roman" w:cs="Times New Roman"/>
          <w:sz w:val="21"/>
          <w:szCs w:val="24"/>
        </w:rPr>
        <w:fldChar w:fldCharType="separate"/>
      </w:r>
      <w:r>
        <w:rPr>
          <w:rFonts w:hint="eastAsia" w:ascii="Times New Roman" w:hAnsi="Times New Roman" w:cs="Times New Roman"/>
          <w:sz w:val="21"/>
          <w:szCs w:val="24"/>
          <w:lang w:val="en-US" w:eastAsia="zh-CN"/>
        </w:rPr>
        <w:t xml:space="preserve">Table S3. </w:t>
      </w:r>
      <w:r>
        <w:rPr>
          <w:rFonts w:hint="eastAsia" w:ascii="Times New Roman" w:hAnsi="Times New Roman" w:cs="Times New Roman"/>
          <w:b w:val="0"/>
          <w:bCs w:val="0"/>
          <w:color w:val="000000"/>
          <w:sz w:val="22"/>
          <w:szCs w:val="24"/>
        </w:rPr>
        <w:t>Lung cancer screening results of chest LDCT during baseline and follow-up in healthy physical examination population.</w:t>
      </w:r>
      <w:r>
        <w:rPr>
          <w:rFonts w:hint="eastAsia" w:ascii="Times New Roman" w:hAnsi="Times New Roman" w:cs="Times New Roman"/>
          <w:bCs/>
          <w:kern w:val="44"/>
          <w:sz w:val="21"/>
          <w:szCs w:val="24"/>
          <w:lang w:val="en-US" w:eastAsia="zh-CN"/>
        </w:rPr>
        <w:t>...................................................................................</w:t>
      </w:r>
      <w:r>
        <w:rPr>
          <w:rFonts w:hint="eastAsia" w:ascii="Times New Roman" w:hAnsi="Times New Roman" w:cs="Times New Roman"/>
          <w:sz w:val="21"/>
          <w:szCs w:val="24"/>
          <w:lang w:val="en-US" w:eastAsia="zh-CN"/>
        </w:rPr>
        <w:t>8</w:t>
      </w:r>
      <w:r>
        <w:rPr>
          <w:rFonts w:hint="default" w:ascii="Times New Roman" w:hAnsi="Times New Roman" w:cs="Times New Roman"/>
          <w:sz w:val="21"/>
          <w:szCs w:val="24"/>
        </w:rPr>
        <w:fldChar w:fldCharType="end"/>
      </w:r>
    </w:p>
    <w:p>
      <w:pPr>
        <w:numPr>
          <w:ilvl w:val="0"/>
          <w:numId w:val="0"/>
        </w:numPr>
        <w:rPr>
          <w:rFonts w:hint="default" w:ascii="Times New Roman" w:hAnsi="Times New Roman" w:cs="Times New Roman"/>
          <w:b/>
          <w:bCs/>
          <w:sz w:val="21"/>
          <w:szCs w:val="24"/>
        </w:rPr>
      </w:pPr>
      <w:r>
        <w:rPr>
          <w:rFonts w:hint="default" w:ascii="Times New Roman" w:hAnsi="Times New Roman" w:cs="Times New Roman"/>
          <w:sz w:val="21"/>
          <w:szCs w:val="24"/>
        </w:rPr>
        <w:fldChar w:fldCharType="begin"/>
      </w:r>
      <w:r>
        <w:rPr>
          <w:rFonts w:hint="default" w:ascii="Times New Roman" w:hAnsi="Times New Roman" w:cs="Times New Roman"/>
          <w:sz w:val="21"/>
          <w:szCs w:val="24"/>
        </w:rPr>
        <w:instrText xml:space="preserve"> HYPERLINK \l "_Toc145935080" </w:instrText>
      </w:r>
      <w:r>
        <w:rPr>
          <w:rFonts w:hint="default" w:ascii="Times New Roman" w:hAnsi="Times New Roman" w:cs="Times New Roman"/>
          <w:sz w:val="21"/>
          <w:szCs w:val="24"/>
        </w:rPr>
        <w:fldChar w:fldCharType="separate"/>
      </w:r>
      <w:r>
        <w:rPr>
          <w:rFonts w:hint="eastAsia" w:ascii="Times New Roman" w:hAnsi="Times New Roman" w:cs="Times New Roman"/>
          <w:sz w:val="21"/>
          <w:szCs w:val="24"/>
          <w:lang w:val="en-US" w:eastAsia="zh-CN"/>
        </w:rPr>
        <w:t>Table S4. Stage IA1 Lung cancer screening results of chest LDCT in healthy physical examination population</w:t>
      </w:r>
      <w:r>
        <w:rPr>
          <w:rFonts w:hint="eastAsia" w:ascii="Times New Roman" w:hAnsi="Times New Roman" w:cs="Times New Roman"/>
          <w:bCs/>
          <w:kern w:val="44"/>
          <w:sz w:val="21"/>
          <w:szCs w:val="24"/>
          <w:lang w:val="en-US" w:eastAsia="zh-CN"/>
        </w:rPr>
        <w:t>.......................................................................................................................................</w:t>
      </w:r>
      <w:r>
        <w:rPr>
          <w:rFonts w:hint="eastAsia" w:ascii="Times New Roman" w:hAnsi="Times New Roman" w:cs="Times New Roman"/>
          <w:sz w:val="21"/>
          <w:szCs w:val="24"/>
          <w:lang w:val="en-US" w:eastAsia="zh-CN"/>
        </w:rPr>
        <w:t>8</w:t>
      </w:r>
      <w:r>
        <w:rPr>
          <w:rFonts w:hint="default" w:ascii="Times New Roman" w:hAnsi="Times New Roman" w:cs="Times New Roman"/>
          <w:sz w:val="21"/>
          <w:szCs w:val="24"/>
        </w:rPr>
        <w:fldChar w:fldCharType="end"/>
      </w:r>
    </w:p>
    <w:p>
      <w:pPr>
        <w:numPr>
          <w:ilvl w:val="0"/>
          <w:numId w:val="0"/>
        </w:numPr>
        <w:rPr>
          <w:rFonts w:hint="default" w:ascii="Times New Roman" w:hAnsi="Times New Roman" w:cs="Times New Roman"/>
          <w:b/>
          <w:bCs/>
          <w:sz w:val="21"/>
          <w:szCs w:val="24"/>
        </w:rPr>
      </w:pPr>
      <w:r>
        <w:rPr>
          <w:rFonts w:hint="default" w:ascii="Times New Roman" w:hAnsi="Times New Roman" w:cs="Times New Roman"/>
          <w:sz w:val="21"/>
          <w:szCs w:val="24"/>
        </w:rPr>
        <w:fldChar w:fldCharType="begin"/>
      </w:r>
      <w:r>
        <w:rPr>
          <w:rFonts w:hint="default" w:ascii="Times New Roman" w:hAnsi="Times New Roman" w:cs="Times New Roman"/>
          <w:sz w:val="21"/>
          <w:szCs w:val="24"/>
        </w:rPr>
        <w:instrText xml:space="preserve"> HYPERLINK \l "_Toc145935080" </w:instrText>
      </w:r>
      <w:r>
        <w:rPr>
          <w:rFonts w:hint="default" w:ascii="Times New Roman" w:hAnsi="Times New Roman" w:cs="Times New Roman"/>
          <w:sz w:val="21"/>
          <w:szCs w:val="24"/>
        </w:rPr>
        <w:fldChar w:fldCharType="separate"/>
      </w:r>
      <w:r>
        <w:rPr>
          <w:rFonts w:hint="eastAsia" w:ascii="Times New Roman" w:hAnsi="Times New Roman" w:cs="Times New Roman"/>
          <w:sz w:val="21"/>
          <w:szCs w:val="24"/>
          <w:lang w:val="en-US" w:eastAsia="zh-CN"/>
        </w:rPr>
        <w:t>Table S5 Histological types of lung cancer screened by chest LDCT in different tumor stages in healthy physical examination population</w:t>
      </w:r>
      <w:r>
        <w:rPr>
          <w:rFonts w:hint="eastAsia" w:ascii="Times New Roman" w:hAnsi="Times New Roman" w:cs="Times New Roman"/>
          <w:b w:val="0"/>
          <w:bCs w:val="0"/>
          <w:color w:val="000000"/>
          <w:sz w:val="22"/>
          <w:szCs w:val="24"/>
        </w:rPr>
        <w:t>.</w:t>
      </w:r>
      <w:r>
        <w:rPr>
          <w:rFonts w:hint="eastAsia" w:ascii="Times New Roman" w:hAnsi="Times New Roman" w:cs="Times New Roman"/>
          <w:bCs/>
          <w:kern w:val="44"/>
          <w:sz w:val="21"/>
          <w:szCs w:val="24"/>
          <w:lang w:val="en-US" w:eastAsia="zh-CN"/>
        </w:rPr>
        <w:t>......................................................................................</w:t>
      </w:r>
      <w:r>
        <w:rPr>
          <w:rFonts w:hint="eastAsia" w:ascii="Times New Roman" w:hAnsi="Times New Roman" w:cs="Times New Roman"/>
          <w:sz w:val="21"/>
          <w:szCs w:val="24"/>
          <w:lang w:val="en-US" w:eastAsia="zh-CN"/>
        </w:rPr>
        <w:t>9</w:t>
      </w:r>
      <w:r>
        <w:rPr>
          <w:rFonts w:hint="default" w:ascii="Times New Roman" w:hAnsi="Times New Roman" w:cs="Times New Roman"/>
          <w:sz w:val="21"/>
          <w:szCs w:val="24"/>
        </w:rPr>
        <w:fldChar w:fldCharType="end"/>
      </w:r>
    </w:p>
    <w:p>
      <w:pPr>
        <w:numPr>
          <w:ilvl w:val="0"/>
          <w:numId w:val="0"/>
        </w:numPr>
        <w:rPr>
          <w:rFonts w:hint="default" w:ascii="Times New Roman" w:hAnsi="Times New Roman" w:cs="Times New Roman"/>
          <w:b/>
          <w:bCs/>
          <w:sz w:val="21"/>
          <w:szCs w:val="24"/>
        </w:rPr>
      </w:pPr>
    </w:p>
    <w:p>
      <w:pPr>
        <w:numPr>
          <w:ilvl w:val="0"/>
          <w:numId w:val="0"/>
        </w:numPr>
        <w:rPr>
          <w:rFonts w:hint="default" w:ascii="Times New Roman" w:hAnsi="Times New Roman" w:cs="Times New Roman"/>
          <w:b/>
          <w:bCs/>
        </w:rPr>
      </w:pPr>
    </w:p>
    <w:p>
      <w:pPr>
        <w:numPr>
          <w:ilvl w:val="0"/>
          <w:numId w:val="0"/>
        </w:numPr>
        <w:rPr>
          <w:rFonts w:hint="default" w:ascii="Times New Roman" w:hAnsi="Times New Roman" w:cs="Times New Roman"/>
          <w:b/>
          <w:bCs/>
        </w:rPr>
      </w:pPr>
    </w:p>
    <w:p>
      <w:pPr>
        <w:numPr>
          <w:ilvl w:val="0"/>
          <w:numId w:val="0"/>
        </w:numPr>
        <w:rPr>
          <w:rFonts w:hint="default" w:ascii="Times New Roman" w:hAnsi="Times New Roman" w:cs="Times New Roman"/>
          <w:b/>
          <w:bCs/>
        </w:rPr>
      </w:pPr>
    </w:p>
    <w:p>
      <w:pPr>
        <w:numPr>
          <w:ilvl w:val="0"/>
          <w:numId w:val="0"/>
        </w:numPr>
        <w:rPr>
          <w:rFonts w:hint="default" w:ascii="Times New Roman" w:hAnsi="Times New Roman" w:cs="Times New Roman"/>
          <w:b/>
          <w:bCs/>
        </w:rPr>
      </w:pPr>
    </w:p>
    <w:p>
      <w:pPr>
        <w:numPr>
          <w:ilvl w:val="0"/>
          <w:numId w:val="0"/>
        </w:numPr>
        <w:rPr>
          <w:rFonts w:hint="default" w:ascii="Times New Roman" w:hAnsi="Times New Roman" w:cs="Times New Roman"/>
          <w:b/>
          <w:bCs/>
        </w:rPr>
      </w:pPr>
    </w:p>
    <w:p>
      <w:pPr>
        <w:numPr>
          <w:ilvl w:val="0"/>
          <w:numId w:val="0"/>
        </w:numPr>
        <w:rPr>
          <w:rFonts w:hint="default" w:ascii="Times New Roman" w:hAnsi="Times New Roman" w:cs="Times New Roman"/>
          <w:b/>
          <w:bCs/>
        </w:rPr>
      </w:pPr>
    </w:p>
    <w:p>
      <w:pPr>
        <w:numPr>
          <w:ilvl w:val="0"/>
          <w:numId w:val="0"/>
        </w:numPr>
        <w:rPr>
          <w:rFonts w:hint="default" w:ascii="Times New Roman" w:hAnsi="Times New Roman" w:cs="Times New Roman"/>
          <w:b/>
          <w:bCs/>
        </w:rPr>
      </w:pPr>
    </w:p>
    <w:p>
      <w:pPr>
        <w:numPr>
          <w:ilvl w:val="0"/>
          <w:numId w:val="0"/>
        </w:numPr>
        <w:rPr>
          <w:rFonts w:hint="default" w:ascii="Times New Roman" w:hAnsi="Times New Roman" w:cs="Times New Roman"/>
          <w:b/>
          <w:bCs/>
        </w:rPr>
      </w:pPr>
    </w:p>
    <w:p>
      <w:pPr>
        <w:numPr>
          <w:ilvl w:val="0"/>
          <w:numId w:val="0"/>
        </w:numPr>
        <w:rPr>
          <w:rFonts w:hint="default" w:ascii="Times New Roman" w:hAnsi="Times New Roman" w:cs="Times New Roman"/>
          <w:b/>
          <w:bCs/>
        </w:rPr>
      </w:pPr>
    </w:p>
    <w:p>
      <w:pPr>
        <w:numPr>
          <w:ilvl w:val="0"/>
          <w:numId w:val="0"/>
        </w:numPr>
        <w:rPr>
          <w:rFonts w:hint="default" w:ascii="Times New Roman" w:hAnsi="Times New Roman" w:cs="Times New Roman"/>
          <w:b/>
          <w:bCs/>
        </w:rPr>
      </w:pPr>
    </w:p>
    <w:p>
      <w:pPr>
        <w:numPr>
          <w:ilvl w:val="0"/>
          <w:numId w:val="0"/>
        </w:numPr>
        <w:rPr>
          <w:rFonts w:hint="default" w:ascii="Times New Roman" w:hAnsi="Times New Roman" w:cs="Times New Roman"/>
          <w:b/>
          <w:bCs/>
        </w:rPr>
      </w:pPr>
    </w:p>
    <w:p>
      <w:pPr>
        <w:numPr>
          <w:ilvl w:val="0"/>
          <w:numId w:val="0"/>
        </w:numPr>
        <w:rPr>
          <w:rFonts w:hint="default" w:ascii="Times New Roman" w:hAnsi="Times New Roman" w:cs="Times New Roman"/>
          <w:b/>
          <w:bCs/>
        </w:rPr>
      </w:pPr>
    </w:p>
    <w:p>
      <w:pPr>
        <w:numPr>
          <w:ilvl w:val="0"/>
          <w:numId w:val="0"/>
        </w:numPr>
        <w:rPr>
          <w:rFonts w:hint="default" w:ascii="Times New Roman" w:hAnsi="Times New Roman" w:cs="Times New Roman"/>
          <w:b/>
          <w:bCs/>
        </w:rPr>
      </w:pPr>
    </w:p>
    <w:p>
      <w:pPr>
        <w:numPr>
          <w:ilvl w:val="0"/>
          <w:numId w:val="0"/>
        </w:numPr>
        <w:rPr>
          <w:rFonts w:hint="default" w:ascii="Times New Roman" w:hAnsi="Times New Roman" w:cs="Times New Roman"/>
          <w:b/>
          <w:bCs/>
        </w:rPr>
      </w:pPr>
    </w:p>
    <w:p>
      <w:pPr>
        <w:numPr>
          <w:ilvl w:val="0"/>
          <w:numId w:val="0"/>
        </w:numPr>
        <w:rPr>
          <w:rFonts w:hint="default" w:ascii="Times New Roman" w:hAnsi="Times New Roman" w:cs="Times New Roman"/>
          <w:b/>
          <w:bCs/>
        </w:rPr>
      </w:pPr>
    </w:p>
    <w:p>
      <w:pPr>
        <w:numPr>
          <w:ilvl w:val="0"/>
          <w:numId w:val="0"/>
        </w:numPr>
        <w:rPr>
          <w:rFonts w:hint="default" w:ascii="Times New Roman" w:hAnsi="Times New Roman" w:cs="Times New Roman"/>
          <w:b/>
          <w:bCs/>
        </w:rPr>
      </w:pPr>
    </w:p>
    <w:p>
      <w:pPr>
        <w:numPr>
          <w:ilvl w:val="0"/>
          <w:numId w:val="0"/>
        </w:numPr>
        <w:rPr>
          <w:rFonts w:hint="default" w:ascii="Times New Roman" w:hAnsi="Times New Roman" w:cs="Times New Roman"/>
          <w:b/>
          <w:bCs/>
        </w:rPr>
      </w:pPr>
    </w:p>
    <w:p>
      <w:pPr>
        <w:numPr>
          <w:ilvl w:val="0"/>
          <w:numId w:val="0"/>
        </w:numPr>
        <w:rPr>
          <w:rFonts w:hint="default" w:ascii="Times New Roman" w:hAnsi="Times New Roman" w:cs="Times New Roman"/>
          <w:b/>
          <w:bCs/>
        </w:rPr>
      </w:pPr>
    </w:p>
    <w:p>
      <w:pPr>
        <w:numPr>
          <w:ilvl w:val="0"/>
          <w:numId w:val="0"/>
        </w:numPr>
        <w:rPr>
          <w:rFonts w:hint="default" w:ascii="Times New Roman" w:hAnsi="Times New Roman" w:cs="Times New Roman"/>
          <w:b/>
          <w:bCs/>
        </w:rPr>
      </w:pPr>
    </w:p>
    <w:p>
      <w:pPr>
        <w:numPr>
          <w:ilvl w:val="0"/>
          <w:numId w:val="0"/>
        </w:numPr>
        <w:rPr>
          <w:rFonts w:hint="default" w:ascii="Times New Roman" w:hAnsi="Times New Roman" w:cs="Times New Roman"/>
          <w:b/>
          <w:bCs/>
        </w:rPr>
      </w:pPr>
    </w:p>
    <w:p>
      <w:pPr>
        <w:numPr>
          <w:ilvl w:val="0"/>
          <w:numId w:val="0"/>
        </w:numPr>
        <w:rPr>
          <w:rFonts w:hint="default" w:ascii="Times New Roman" w:hAnsi="Times New Roman" w:cs="Times New Roman"/>
          <w:b/>
          <w:bCs/>
        </w:rPr>
      </w:pPr>
    </w:p>
    <w:p>
      <w:pPr>
        <w:numPr>
          <w:ilvl w:val="0"/>
          <w:numId w:val="0"/>
        </w:numPr>
        <w:rPr>
          <w:rFonts w:hint="default" w:ascii="Times New Roman" w:hAnsi="Times New Roman" w:cs="Times New Roman"/>
          <w:b/>
          <w:bCs/>
        </w:rPr>
      </w:pPr>
    </w:p>
    <w:p>
      <w:pPr>
        <w:numPr>
          <w:ilvl w:val="0"/>
          <w:numId w:val="0"/>
        </w:numPr>
        <w:rPr>
          <w:rFonts w:hint="default" w:ascii="Times New Roman" w:hAnsi="Times New Roman" w:cs="Times New Roman"/>
          <w:b/>
          <w:bCs/>
        </w:rPr>
      </w:pPr>
    </w:p>
    <w:p>
      <w:pPr>
        <w:keepNext w:val="0"/>
        <w:keepLines w:val="0"/>
        <w:pageBreakBefore w:val="0"/>
        <w:numPr>
          <w:ilvl w:val="0"/>
          <w:numId w:val="0"/>
        </w:numPr>
        <w:kinsoku/>
        <w:wordWrap/>
        <w:overflowPunct/>
        <w:topLinePunct w:val="0"/>
        <w:autoSpaceDE/>
        <w:autoSpaceDN/>
        <w:bidi w:val="0"/>
        <w:spacing w:line="360" w:lineRule="auto"/>
        <w:textAlignment w:val="auto"/>
        <w:rPr>
          <w:rFonts w:hint="default" w:ascii="Times New Roman" w:hAnsi="Times New Roman" w:cs="Times New Roman"/>
          <w:b/>
          <w:bCs/>
          <w:sz w:val="20"/>
          <w:szCs w:val="20"/>
        </w:rPr>
      </w:pPr>
      <w:r>
        <w:rPr>
          <w:rFonts w:hint="default" w:ascii="Times New Roman" w:hAnsi="Times New Roman" w:cs="Times New Roman"/>
          <w:b/>
          <w:bCs/>
          <w:sz w:val="20"/>
          <w:szCs w:val="20"/>
          <w:lang w:val="en-US" w:eastAsia="zh-CN"/>
        </w:rPr>
        <w:t xml:space="preserve">Section 1 : </w:t>
      </w:r>
      <w:r>
        <w:rPr>
          <w:rFonts w:hint="default" w:ascii="Times New Roman" w:hAnsi="Times New Roman" w:eastAsia="等线" w:cs="Times New Roman"/>
          <w:b/>
          <w:bCs/>
          <w:sz w:val="20"/>
          <w:szCs w:val="20"/>
          <w:lang w:val="en-US" w:eastAsia="zh-CN" w:bidi="ar"/>
        </w:rPr>
        <w:t>Specific evaluation criteria and classification criteria based on nodule density</w:t>
      </w:r>
    </w:p>
    <w:p>
      <w:pPr>
        <w:pStyle w:val="8"/>
        <w:keepNext w:val="0"/>
        <w:keepLines w:val="0"/>
        <w:pageBreakBefore w:val="0"/>
        <w:widowControl/>
        <w:numPr>
          <w:ilvl w:val="0"/>
          <w:numId w:val="1"/>
        </w:numPr>
        <w:kinsoku/>
        <w:wordWrap/>
        <w:overflowPunct/>
        <w:topLinePunct w:val="0"/>
        <w:autoSpaceDE/>
        <w:autoSpaceDN/>
        <w:bidi w:val="0"/>
        <w:spacing w:line="360" w:lineRule="auto"/>
        <w:ind w:firstLineChars="0"/>
        <w:textAlignment w:val="auto"/>
        <w:rPr>
          <w:rFonts w:hint="default" w:ascii="Times New Roman" w:hAnsi="Times New Roman" w:cs="Times New Roman"/>
          <w:bCs/>
          <w:kern w:val="44"/>
          <w:sz w:val="20"/>
          <w:szCs w:val="20"/>
        </w:rPr>
      </w:pPr>
      <w:r>
        <w:rPr>
          <w:rFonts w:hint="default" w:ascii="Times New Roman" w:hAnsi="Times New Roman" w:cs="Times New Roman"/>
          <w:bCs/>
          <w:kern w:val="44"/>
          <w:sz w:val="20"/>
          <w:szCs w:val="20"/>
        </w:rPr>
        <w:t>Definition of solid and subsolid nodules</w:t>
      </w:r>
    </w:p>
    <w:p>
      <w:pPr>
        <w:keepNext w:val="0"/>
        <w:keepLines w:val="0"/>
        <w:pageBreakBefore w:val="0"/>
        <w:widowControl/>
        <w:kinsoku/>
        <w:wordWrap/>
        <w:overflowPunct/>
        <w:topLinePunct w:val="0"/>
        <w:autoSpaceDE/>
        <w:autoSpaceDN/>
        <w:bidi w:val="0"/>
        <w:spacing w:line="360" w:lineRule="auto"/>
        <w:textAlignment w:val="auto"/>
        <w:rPr>
          <w:rFonts w:hint="default" w:ascii="Times New Roman" w:hAnsi="Times New Roman" w:cs="Times New Roman"/>
          <w:bCs/>
          <w:kern w:val="44"/>
          <w:sz w:val="20"/>
          <w:szCs w:val="20"/>
        </w:rPr>
      </w:pPr>
      <w:r>
        <w:rPr>
          <w:rFonts w:hint="default" w:ascii="Times New Roman" w:hAnsi="Times New Roman" w:cs="Times New Roman"/>
          <w:bCs/>
          <w:kern w:val="44"/>
          <w:sz w:val="20"/>
          <w:szCs w:val="20"/>
        </w:rPr>
        <w:t>a)</w:t>
      </w:r>
      <w:r>
        <w:rPr>
          <w:rFonts w:hint="default" w:ascii="Times New Roman" w:hAnsi="Times New Roman" w:cs="Times New Roman"/>
          <w:bCs/>
          <w:sz w:val="20"/>
          <w:szCs w:val="20"/>
        </w:rPr>
        <w:t xml:space="preserve"> </w:t>
      </w:r>
      <w:r>
        <w:rPr>
          <w:rFonts w:hint="default" w:ascii="Times New Roman" w:hAnsi="Times New Roman" w:cs="Times New Roman"/>
          <w:bCs/>
          <w:kern w:val="44"/>
          <w:sz w:val="20"/>
          <w:szCs w:val="20"/>
        </w:rPr>
        <w:t>Solid nodule:</w:t>
      </w:r>
      <w:r>
        <w:rPr>
          <w:rFonts w:hint="default" w:ascii="Times New Roman" w:hAnsi="Times New Roman" w:cs="Times New Roman"/>
          <w:sz w:val="20"/>
          <w:szCs w:val="20"/>
        </w:rPr>
        <w:t xml:space="preserve"> </w:t>
      </w:r>
      <w:r>
        <w:rPr>
          <w:rFonts w:hint="default" w:ascii="Times New Roman" w:hAnsi="Times New Roman" w:cs="Times New Roman"/>
          <w:bCs/>
          <w:kern w:val="44"/>
          <w:sz w:val="20"/>
          <w:szCs w:val="20"/>
        </w:rPr>
        <w:t>Round or round-like increased density shadows were found in the lung, and the lesion density was sufficient to mask the walking blood vessels and bronchi.</w:t>
      </w:r>
    </w:p>
    <w:p>
      <w:pPr>
        <w:keepNext w:val="0"/>
        <w:keepLines w:val="0"/>
        <w:pageBreakBefore w:val="0"/>
        <w:widowControl/>
        <w:kinsoku/>
        <w:wordWrap/>
        <w:overflowPunct/>
        <w:topLinePunct w:val="0"/>
        <w:autoSpaceDE/>
        <w:autoSpaceDN/>
        <w:bidi w:val="0"/>
        <w:spacing w:line="360" w:lineRule="auto"/>
        <w:textAlignment w:val="auto"/>
        <w:rPr>
          <w:rFonts w:hint="default" w:ascii="Times New Roman" w:hAnsi="Times New Roman" w:cs="Times New Roman"/>
          <w:b/>
          <w:bCs w:val="0"/>
          <w:kern w:val="44"/>
          <w:sz w:val="20"/>
          <w:szCs w:val="20"/>
        </w:rPr>
      </w:pPr>
      <w:r>
        <w:rPr>
          <w:rFonts w:hint="default" w:ascii="Times New Roman" w:hAnsi="Times New Roman" w:cs="Times New Roman"/>
          <w:bCs/>
          <w:kern w:val="44"/>
          <w:sz w:val="20"/>
          <w:szCs w:val="20"/>
          <w:lang w:val="en-US" w:eastAsia="zh-CN"/>
        </w:rPr>
        <w:t>2</w:t>
      </w:r>
      <w:r>
        <w:rPr>
          <w:rFonts w:hint="default" w:ascii="Times New Roman" w:hAnsi="Times New Roman" w:cs="Times New Roman"/>
          <w:bCs/>
          <w:kern w:val="44"/>
          <w:sz w:val="20"/>
          <w:szCs w:val="20"/>
        </w:rPr>
        <w:t>) Subsolid nodule: All pulmonary nodules with ground glass density are called subsolid pulmonary nodules. Among them, ground glass lesion refers to the increased density of the lung with clear or unclear boundary on CT, but the density of the lesion is not enough to cover the walking blood vessels and bronchial shadow.</w:t>
      </w:r>
      <w:r>
        <w:rPr>
          <w:rFonts w:hint="default" w:ascii="Times New Roman" w:hAnsi="Times New Roman" w:cs="Times New Roman"/>
          <w:sz w:val="20"/>
          <w:szCs w:val="20"/>
        </w:rPr>
        <w:t xml:space="preserve"> </w:t>
      </w:r>
      <w:r>
        <w:rPr>
          <w:rFonts w:hint="default" w:ascii="Times New Roman" w:hAnsi="Times New Roman" w:cs="Times New Roman"/>
          <w:bCs/>
          <w:kern w:val="44"/>
          <w:sz w:val="20"/>
          <w:szCs w:val="20"/>
        </w:rPr>
        <w:t>Subsolid pulmonary nodules include pure ground-class nodule (pGGN), mixed ground-class nodule (mGGN) with both ground glass density and solid density. The latter is also called part solid nodule. If the lesion does not contain solid components, it is called pGGN; If it contains a solid component, it is called mGGN.</w:t>
      </w:r>
      <w:r>
        <w:rPr>
          <w:rFonts w:hint="default" w:ascii="Times New Roman" w:hAnsi="Times New Roman" w:cs="Times New Roman"/>
          <w:sz w:val="20"/>
          <w:szCs w:val="20"/>
        </w:rPr>
        <w:t xml:space="preserve"> </w:t>
      </w:r>
      <w:r>
        <w:rPr>
          <w:rFonts w:hint="default" w:ascii="Times New Roman" w:hAnsi="Times New Roman" w:cs="Times New Roman"/>
          <w:bCs/>
          <w:kern w:val="44"/>
          <w:sz w:val="20"/>
          <w:szCs w:val="20"/>
        </w:rPr>
        <w:t xml:space="preserve">CT images of nodules with different densities were shown in </w:t>
      </w:r>
      <w:r>
        <w:rPr>
          <w:rFonts w:hint="default" w:ascii="Times New Roman" w:hAnsi="Times New Roman" w:cs="Times New Roman"/>
          <w:b/>
          <w:bCs w:val="0"/>
          <w:kern w:val="44"/>
          <w:sz w:val="20"/>
          <w:szCs w:val="20"/>
          <w:highlight w:val="none"/>
        </w:rPr>
        <w:t xml:space="preserve">Figure </w:t>
      </w:r>
      <w:r>
        <w:rPr>
          <w:rFonts w:hint="default" w:ascii="Times New Roman" w:hAnsi="Times New Roman" w:cs="Times New Roman"/>
          <w:b/>
          <w:bCs w:val="0"/>
          <w:kern w:val="44"/>
          <w:sz w:val="20"/>
          <w:szCs w:val="20"/>
          <w:highlight w:val="none"/>
          <w:lang w:val="en-US" w:eastAsia="zh-CN"/>
        </w:rPr>
        <w:t>S1</w:t>
      </w:r>
      <w:r>
        <w:rPr>
          <w:rFonts w:hint="default" w:ascii="Times New Roman" w:hAnsi="Times New Roman" w:cs="Times New Roman"/>
          <w:b/>
          <w:bCs w:val="0"/>
          <w:kern w:val="44"/>
          <w:sz w:val="20"/>
          <w:szCs w:val="20"/>
        </w:rPr>
        <w:t>(A、B、C).</w:t>
      </w:r>
    </w:p>
    <w:p>
      <w:pPr>
        <w:keepNext w:val="0"/>
        <w:keepLines w:val="0"/>
        <w:pageBreakBefore w:val="0"/>
        <w:widowControl/>
        <w:kinsoku/>
        <w:wordWrap/>
        <w:overflowPunct/>
        <w:topLinePunct w:val="0"/>
        <w:autoSpaceDE/>
        <w:autoSpaceDN/>
        <w:bidi w:val="0"/>
        <w:spacing w:line="360" w:lineRule="auto"/>
        <w:textAlignment w:val="auto"/>
        <w:rPr>
          <w:rFonts w:hint="default" w:ascii="Times New Roman" w:hAnsi="Times New Roman" w:cs="Times New Roman"/>
          <w:b w:val="0"/>
          <w:bCs/>
          <w:kern w:val="44"/>
          <w:sz w:val="20"/>
          <w:szCs w:val="20"/>
        </w:rPr>
      </w:pPr>
      <w:r>
        <w:rPr>
          <w:rFonts w:hint="default" w:ascii="Times New Roman" w:hAnsi="Times New Roman" w:cs="Times New Roman"/>
          <w:b w:val="0"/>
          <w:bCs/>
          <w:kern w:val="44"/>
          <w:sz w:val="20"/>
          <w:szCs w:val="20"/>
          <w:lang w:val="en-US" w:eastAsia="zh-CN"/>
        </w:rPr>
        <w:t>3)</w:t>
      </w:r>
      <w:r>
        <w:rPr>
          <w:rFonts w:hint="default" w:ascii="Times New Roman" w:hAnsi="Times New Roman" w:cs="Times New Roman"/>
          <w:b w:val="0"/>
          <w:bCs/>
          <w:kern w:val="44"/>
          <w:sz w:val="20"/>
          <w:szCs w:val="20"/>
        </w:rPr>
        <w:t xml:space="preserve"> Definition of screening negative</w:t>
      </w:r>
    </w:p>
    <w:p>
      <w:pPr>
        <w:keepNext w:val="0"/>
        <w:keepLines w:val="0"/>
        <w:pageBreakBefore w:val="0"/>
        <w:widowControl/>
        <w:kinsoku/>
        <w:wordWrap/>
        <w:overflowPunct/>
        <w:topLinePunct w:val="0"/>
        <w:autoSpaceDE/>
        <w:autoSpaceDN/>
        <w:bidi w:val="0"/>
        <w:spacing w:line="360" w:lineRule="auto"/>
        <w:textAlignment w:val="auto"/>
        <w:rPr>
          <w:rFonts w:hint="default" w:ascii="Times New Roman" w:hAnsi="Times New Roman" w:cs="Times New Roman"/>
          <w:b w:val="0"/>
          <w:bCs/>
          <w:kern w:val="44"/>
          <w:sz w:val="20"/>
          <w:szCs w:val="20"/>
        </w:rPr>
      </w:pPr>
      <w:r>
        <w:rPr>
          <w:rFonts w:hint="default" w:ascii="Times New Roman" w:hAnsi="Times New Roman" w:cs="Times New Roman"/>
          <w:b w:val="0"/>
          <w:bCs/>
          <w:kern w:val="44"/>
          <w:sz w:val="20"/>
          <w:szCs w:val="20"/>
        </w:rPr>
        <w:t>It refers to lesions with no abnormal findings or clinical manifestations, such as completely calcified nodules or lesions with obvious clinical manifestations and low probability of malignancy, such as filament shadow, pulmonary interstitial fibrosis, pneumonia, and benign lesions with typical morphology, such as pulmonary cysts.</w:t>
      </w:r>
    </w:p>
    <w:p>
      <w:pPr>
        <w:keepNext w:val="0"/>
        <w:keepLines w:val="0"/>
        <w:pageBreakBefore w:val="0"/>
        <w:widowControl/>
        <w:kinsoku/>
        <w:wordWrap/>
        <w:overflowPunct/>
        <w:topLinePunct w:val="0"/>
        <w:autoSpaceDE/>
        <w:autoSpaceDN/>
        <w:bidi w:val="0"/>
        <w:spacing w:line="360" w:lineRule="auto"/>
        <w:textAlignment w:val="auto"/>
        <w:rPr>
          <w:rFonts w:hint="default" w:ascii="Times New Roman" w:hAnsi="Times New Roman" w:cs="Times New Roman"/>
          <w:b w:val="0"/>
          <w:bCs/>
          <w:kern w:val="44"/>
          <w:sz w:val="20"/>
          <w:szCs w:val="20"/>
        </w:rPr>
      </w:pPr>
      <w:r>
        <w:rPr>
          <w:rFonts w:hint="default" w:ascii="Times New Roman" w:hAnsi="Times New Roman" w:cs="Times New Roman"/>
          <w:b w:val="0"/>
          <w:bCs/>
          <w:kern w:val="44"/>
          <w:sz w:val="20"/>
          <w:szCs w:val="20"/>
          <w:lang w:val="en-US" w:eastAsia="zh-CN"/>
        </w:rPr>
        <w:t>4)</w:t>
      </w:r>
      <w:r>
        <w:rPr>
          <w:rFonts w:hint="default" w:ascii="Times New Roman" w:hAnsi="Times New Roman" w:cs="Times New Roman"/>
          <w:b w:val="0"/>
          <w:bCs/>
          <w:kern w:val="44"/>
          <w:sz w:val="20"/>
          <w:szCs w:val="20"/>
        </w:rPr>
        <w:t xml:space="preserve"> Definition of screening positive</w:t>
      </w:r>
    </w:p>
    <w:p>
      <w:pPr>
        <w:keepNext w:val="0"/>
        <w:keepLines w:val="0"/>
        <w:pageBreakBefore w:val="0"/>
        <w:widowControl/>
        <w:kinsoku/>
        <w:wordWrap/>
        <w:overflowPunct/>
        <w:topLinePunct w:val="0"/>
        <w:autoSpaceDE/>
        <w:autoSpaceDN/>
        <w:bidi w:val="0"/>
        <w:spacing w:line="360" w:lineRule="auto"/>
        <w:textAlignment w:val="auto"/>
        <w:rPr>
          <w:rFonts w:hint="default" w:ascii="Times New Roman" w:hAnsi="Times New Roman" w:cs="Times New Roman"/>
          <w:b w:val="0"/>
          <w:bCs/>
          <w:kern w:val="44"/>
          <w:sz w:val="20"/>
          <w:szCs w:val="20"/>
        </w:rPr>
      </w:pPr>
      <w:r>
        <w:rPr>
          <w:rFonts w:hint="default" w:ascii="Times New Roman" w:hAnsi="Times New Roman" w:cs="Times New Roman"/>
          <w:b w:val="0"/>
          <w:bCs/>
          <w:kern w:val="44"/>
          <w:sz w:val="20"/>
          <w:szCs w:val="20"/>
        </w:rPr>
        <w:t>It refers to any lesion that may be malignant, such as non-calcified nodules, masses, soft tissue shadows, patchy hyperdense shadows, obstructive atelectasis, etc., on any level. Pulmonary nodules are focal, quasi-circular, dense solid or subsolid pulmonary shadows that occur in the lungs ≤3 cm in diameter. They can be isolated or multiple, and are not accompanied by pulmonary atelectasis hilar lymph node enlargement, or pleural effusion. Non-calcified nodules with a diameter greater than 3mm were referred to as positive pulmonary nodules.</w:t>
      </w:r>
    </w:p>
    <w:p>
      <w:pPr>
        <w:keepNext w:val="0"/>
        <w:keepLines w:val="0"/>
        <w:pageBreakBefore w:val="0"/>
        <w:numPr>
          <w:ilvl w:val="0"/>
          <w:numId w:val="0"/>
        </w:numPr>
        <w:kinsoku/>
        <w:wordWrap/>
        <w:overflowPunct/>
        <w:topLinePunct w:val="0"/>
        <w:autoSpaceDE/>
        <w:autoSpaceDN/>
        <w:bidi w:val="0"/>
        <w:spacing w:line="360" w:lineRule="auto"/>
        <w:textAlignment w:val="auto"/>
        <w:rPr>
          <w:rFonts w:hint="default" w:ascii="Times New Roman" w:hAnsi="Times New Roman" w:cs="Times New Roman"/>
          <w:b/>
          <w:bCs/>
          <w:sz w:val="20"/>
          <w:szCs w:val="20"/>
          <w:lang w:val="en-US" w:eastAsia="zh-CN"/>
        </w:rPr>
      </w:pPr>
    </w:p>
    <w:p>
      <w:pPr>
        <w:keepNext w:val="0"/>
        <w:keepLines w:val="0"/>
        <w:pageBreakBefore w:val="0"/>
        <w:numPr>
          <w:ilvl w:val="0"/>
          <w:numId w:val="0"/>
        </w:numPr>
        <w:kinsoku/>
        <w:wordWrap/>
        <w:overflowPunct/>
        <w:topLinePunct w:val="0"/>
        <w:autoSpaceDE/>
        <w:autoSpaceDN/>
        <w:bidi w:val="0"/>
        <w:spacing w:line="360" w:lineRule="auto"/>
        <w:textAlignment w:val="auto"/>
        <w:rPr>
          <w:rFonts w:hint="default" w:ascii="Times New Roman" w:hAnsi="Times New Roman" w:cs="Times New Roman"/>
          <w:b/>
          <w:bCs/>
          <w:sz w:val="20"/>
          <w:szCs w:val="20"/>
          <w:lang w:val="en-US" w:eastAsia="zh-CN"/>
        </w:rPr>
      </w:pPr>
    </w:p>
    <w:p>
      <w:pPr>
        <w:keepNext w:val="0"/>
        <w:keepLines w:val="0"/>
        <w:pageBreakBefore w:val="0"/>
        <w:numPr>
          <w:ilvl w:val="0"/>
          <w:numId w:val="0"/>
        </w:numPr>
        <w:kinsoku/>
        <w:wordWrap/>
        <w:overflowPunct/>
        <w:topLinePunct w:val="0"/>
        <w:autoSpaceDE/>
        <w:autoSpaceDN/>
        <w:bidi w:val="0"/>
        <w:spacing w:line="360" w:lineRule="auto"/>
        <w:textAlignment w:val="auto"/>
        <w:rPr>
          <w:rFonts w:hint="default" w:ascii="Times New Roman" w:hAnsi="Times New Roman" w:cs="Times New Roman"/>
          <w:b/>
          <w:bCs/>
          <w:sz w:val="20"/>
          <w:szCs w:val="20"/>
          <w:lang w:val="en-US" w:eastAsia="zh-CN"/>
        </w:rPr>
      </w:pPr>
    </w:p>
    <w:p>
      <w:pPr>
        <w:keepNext w:val="0"/>
        <w:keepLines w:val="0"/>
        <w:pageBreakBefore w:val="0"/>
        <w:numPr>
          <w:ilvl w:val="0"/>
          <w:numId w:val="0"/>
        </w:numPr>
        <w:kinsoku/>
        <w:wordWrap/>
        <w:overflowPunct/>
        <w:topLinePunct w:val="0"/>
        <w:autoSpaceDE/>
        <w:autoSpaceDN/>
        <w:bidi w:val="0"/>
        <w:spacing w:line="360" w:lineRule="auto"/>
        <w:textAlignment w:val="auto"/>
        <w:rPr>
          <w:rFonts w:hint="default" w:ascii="Times New Roman" w:hAnsi="Times New Roman" w:cs="Times New Roman"/>
          <w:b/>
          <w:bCs/>
          <w:sz w:val="20"/>
          <w:szCs w:val="20"/>
          <w:lang w:val="en-US" w:eastAsia="zh-CN"/>
        </w:rPr>
      </w:pPr>
    </w:p>
    <w:p>
      <w:pPr>
        <w:keepNext w:val="0"/>
        <w:keepLines w:val="0"/>
        <w:pageBreakBefore w:val="0"/>
        <w:numPr>
          <w:ilvl w:val="0"/>
          <w:numId w:val="0"/>
        </w:numPr>
        <w:kinsoku/>
        <w:wordWrap/>
        <w:overflowPunct/>
        <w:topLinePunct w:val="0"/>
        <w:autoSpaceDE/>
        <w:autoSpaceDN/>
        <w:bidi w:val="0"/>
        <w:spacing w:line="360" w:lineRule="auto"/>
        <w:textAlignment w:val="auto"/>
        <w:rPr>
          <w:rFonts w:hint="default" w:ascii="Times New Roman" w:hAnsi="Times New Roman" w:cs="Times New Roman"/>
          <w:b/>
          <w:bCs/>
          <w:i w:val="0"/>
          <w:iCs w:val="0"/>
          <w:sz w:val="20"/>
          <w:szCs w:val="20"/>
          <w:u w:val="none"/>
          <w:lang w:val="en-US" w:eastAsia="zh-CN"/>
        </w:rPr>
      </w:pPr>
    </w:p>
    <w:p>
      <w:pPr>
        <w:keepNext w:val="0"/>
        <w:keepLines w:val="0"/>
        <w:pageBreakBefore w:val="0"/>
        <w:numPr>
          <w:ilvl w:val="0"/>
          <w:numId w:val="0"/>
        </w:numPr>
        <w:kinsoku/>
        <w:wordWrap/>
        <w:overflowPunct/>
        <w:topLinePunct w:val="0"/>
        <w:autoSpaceDE/>
        <w:autoSpaceDN/>
        <w:bidi w:val="0"/>
        <w:spacing w:line="360" w:lineRule="auto"/>
        <w:textAlignment w:val="auto"/>
        <w:rPr>
          <w:rFonts w:hint="default" w:ascii="Times New Roman" w:hAnsi="Times New Roman" w:cs="Times New Roman"/>
          <w:b/>
          <w:bCs/>
          <w:i w:val="0"/>
          <w:iCs w:val="0"/>
          <w:sz w:val="20"/>
          <w:szCs w:val="20"/>
          <w:u w:val="none"/>
          <w:lang w:val="en-US" w:eastAsia="zh-CN"/>
        </w:rPr>
      </w:pPr>
    </w:p>
    <w:p>
      <w:pPr>
        <w:keepNext w:val="0"/>
        <w:keepLines w:val="0"/>
        <w:pageBreakBefore w:val="0"/>
        <w:numPr>
          <w:ilvl w:val="0"/>
          <w:numId w:val="0"/>
        </w:numPr>
        <w:kinsoku/>
        <w:wordWrap/>
        <w:overflowPunct/>
        <w:topLinePunct w:val="0"/>
        <w:autoSpaceDE/>
        <w:autoSpaceDN/>
        <w:bidi w:val="0"/>
        <w:spacing w:line="360" w:lineRule="auto"/>
        <w:textAlignment w:val="auto"/>
        <w:rPr>
          <w:rFonts w:hint="default" w:ascii="Times New Roman" w:hAnsi="Times New Roman" w:cs="Times New Roman"/>
          <w:b/>
          <w:bCs/>
          <w:i w:val="0"/>
          <w:iCs w:val="0"/>
          <w:kern w:val="44"/>
          <w:sz w:val="20"/>
          <w:szCs w:val="20"/>
          <w:u w:val="none"/>
          <w:lang w:val="en-US" w:eastAsia="zh-CN"/>
        </w:rPr>
      </w:pPr>
      <w:r>
        <w:rPr>
          <w:rFonts w:hint="default" w:ascii="Times New Roman" w:hAnsi="Times New Roman" w:cs="Times New Roman"/>
          <w:b/>
          <w:bCs/>
          <w:i w:val="0"/>
          <w:iCs w:val="0"/>
          <w:sz w:val="20"/>
          <w:szCs w:val="20"/>
          <w:u w:val="none"/>
          <w:lang w:val="en-US" w:eastAsia="zh-CN"/>
        </w:rPr>
        <w:t>Section2 :</w:t>
      </w:r>
      <w:r>
        <w:rPr>
          <w:rFonts w:hint="default" w:ascii="Times New Roman" w:hAnsi="Times New Roman" w:cs="Times New Roman"/>
          <w:b/>
          <w:bCs/>
          <w:i w:val="0"/>
          <w:iCs w:val="0"/>
          <w:kern w:val="44"/>
          <w:sz w:val="20"/>
          <w:szCs w:val="20"/>
          <w:u w:val="none"/>
        </w:rPr>
        <w:t xml:space="preserve"> Classification of pulmonary nodules according to the </w:t>
      </w:r>
      <w:r>
        <w:rPr>
          <w:rFonts w:hint="default" w:ascii="Times New Roman" w:hAnsi="Times New Roman" w:cs="Times New Roman"/>
          <w:b/>
          <w:bCs/>
          <w:i w:val="0"/>
          <w:iCs w:val="0"/>
          <w:kern w:val="44"/>
          <w:sz w:val="20"/>
          <w:szCs w:val="20"/>
          <w:u w:val="none"/>
          <w:lang w:val="en-US" w:eastAsia="zh-CN"/>
        </w:rPr>
        <w:t>nature:</w:t>
      </w:r>
    </w:p>
    <w:p>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default" w:ascii="Times New Roman" w:hAnsi="Times New Roman" w:cs="Times New Roman"/>
          <w:bCs/>
          <w:kern w:val="44"/>
          <w:sz w:val="20"/>
          <w:szCs w:val="20"/>
        </w:rPr>
      </w:pPr>
      <w:r>
        <w:rPr>
          <w:rFonts w:hint="default" w:ascii="Times New Roman" w:hAnsi="Times New Roman" w:cs="Times New Roman"/>
          <w:bCs/>
          <w:kern w:val="44"/>
          <w:sz w:val="20"/>
          <w:szCs w:val="20"/>
        </w:rPr>
        <w:t>1)</w:t>
      </w:r>
      <w:r>
        <w:rPr>
          <w:rFonts w:hint="default" w:ascii="Times New Roman" w:hAnsi="Times New Roman" w:cs="Times New Roman"/>
          <w:bCs/>
          <w:sz w:val="20"/>
          <w:szCs w:val="20"/>
        </w:rPr>
        <w:t xml:space="preserve"> </w:t>
      </w:r>
      <w:r>
        <w:rPr>
          <w:rFonts w:hint="default" w:ascii="Times New Roman" w:hAnsi="Times New Roman" w:cs="Times New Roman"/>
          <w:bCs/>
          <w:kern w:val="44"/>
          <w:sz w:val="20"/>
          <w:szCs w:val="20"/>
        </w:rPr>
        <w:t>Identified benign nodules or calcified nodules:</w:t>
      </w:r>
      <w:r>
        <w:rPr>
          <w:rFonts w:hint="default" w:ascii="Times New Roman" w:hAnsi="Times New Roman" w:cs="Times New Roman"/>
          <w:bCs/>
          <w:sz w:val="20"/>
          <w:szCs w:val="20"/>
        </w:rPr>
        <w:t xml:space="preserve"> </w:t>
      </w:r>
      <w:r>
        <w:rPr>
          <w:rFonts w:hint="default" w:ascii="Times New Roman" w:hAnsi="Times New Roman" w:cs="Times New Roman"/>
          <w:bCs/>
          <w:kern w:val="44"/>
          <w:sz w:val="20"/>
          <w:szCs w:val="20"/>
        </w:rPr>
        <w:t>These nodules have clear boundaries and high density. Diffuse calcification, central calcification, sliceed calcification or popcorn calcification can be seen.</w:t>
      </w:r>
    </w:p>
    <w:p>
      <w:pPr>
        <w:keepNext w:val="0"/>
        <w:keepLines w:val="0"/>
        <w:pageBreakBefore w:val="0"/>
        <w:kinsoku/>
        <w:wordWrap/>
        <w:overflowPunct/>
        <w:topLinePunct w:val="0"/>
        <w:autoSpaceDE/>
        <w:autoSpaceDN/>
        <w:bidi w:val="0"/>
        <w:spacing w:line="360" w:lineRule="auto"/>
        <w:textAlignment w:val="auto"/>
        <w:rPr>
          <w:rFonts w:hint="default" w:ascii="Times New Roman" w:hAnsi="Times New Roman" w:cs="Times New Roman"/>
          <w:sz w:val="20"/>
          <w:szCs w:val="20"/>
        </w:rPr>
      </w:pPr>
      <w:r>
        <w:rPr>
          <w:rFonts w:hint="default" w:ascii="Times New Roman" w:hAnsi="Times New Roman" w:cs="Times New Roman"/>
          <w:bCs/>
          <w:kern w:val="44"/>
          <w:sz w:val="20"/>
          <w:szCs w:val="20"/>
        </w:rPr>
        <w:t>2) Nodules of uncertain nature:</w:t>
      </w:r>
      <w:r>
        <w:rPr>
          <w:rFonts w:hint="default" w:ascii="Times New Roman" w:hAnsi="Times New Roman" w:cs="Times New Roman"/>
          <w:sz w:val="20"/>
          <w:szCs w:val="20"/>
        </w:rPr>
        <w:t xml:space="preserve"> </w:t>
      </w:r>
      <w:r>
        <w:rPr>
          <w:rFonts w:hint="default" w:ascii="Times New Roman" w:hAnsi="Times New Roman" w:cs="Times New Roman"/>
          <w:bCs/>
          <w:kern w:val="44"/>
          <w:sz w:val="20"/>
          <w:szCs w:val="20"/>
        </w:rPr>
        <w:t>Usually non-calcified nodules, this category includes solid nodules, partially solid nodules, and ground glass density nodules.</w:t>
      </w:r>
      <w:r>
        <w:rPr>
          <w:rFonts w:hint="default" w:ascii="Times New Roman" w:hAnsi="Times New Roman" w:cs="Times New Roman"/>
          <w:sz w:val="20"/>
          <w:szCs w:val="20"/>
        </w:rPr>
        <w:t xml:space="preserve"> </w:t>
      </w:r>
      <w:r>
        <w:rPr>
          <w:rFonts w:hint="default" w:ascii="Times New Roman" w:hAnsi="Times New Roman" w:cs="Times New Roman"/>
          <w:bCs/>
          <w:kern w:val="44"/>
          <w:sz w:val="20"/>
          <w:szCs w:val="20"/>
        </w:rPr>
        <w:t>According to the probability of malignancy, the nodules were divided into high-risk nodules, intermediate-risk nodules and low-risk nodules. Different treatment strategies were adopted for nodules with different malignant probability.</w:t>
      </w:r>
    </w:p>
    <w:p>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default" w:ascii="Times New Roman" w:hAnsi="Times New Roman" w:cs="Times New Roman"/>
          <w:bCs/>
          <w:kern w:val="44"/>
          <w:sz w:val="20"/>
          <w:szCs w:val="20"/>
        </w:rPr>
      </w:pPr>
      <w:r>
        <w:rPr>
          <w:rFonts w:hint="default" w:ascii="Times New Roman" w:hAnsi="Times New Roman" w:cs="Times New Roman"/>
          <w:bCs/>
          <w:kern w:val="44"/>
          <w:sz w:val="20"/>
          <w:szCs w:val="20"/>
        </w:rPr>
        <w:t>a) High-risk nodules include nodules ≥ 15mm in diameter or solid nodules between 8mm and 15mm in diameter that exhibit malignant CT signs (lobular sign, burr sign, pleural indentation sign, bronchial air sign and vacuole sign, eccentric thick-wall cavity, etc.) or partial solid nodules &gt;8mm in diameter.</w:t>
      </w:r>
      <w:r>
        <w:rPr>
          <w:rFonts w:hint="default" w:ascii="Times New Roman" w:hAnsi="Times New Roman" w:cs="Times New Roman"/>
          <w:sz w:val="20"/>
          <w:szCs w:val="20"/>
        </w:rPr>
        <w:t xml:space="preserve"> </w:t>
      </w:r>
      <w:r>
        <w:rPr>
          <w:rFonts w:hint="default" w:ascii="Times New Roman" w:hAnsi="Times New Roman" w:cs="Times New Roman"/>
          <w:bCs/>
          <w:kern w:val="44"/>
          <w:sz w:val="20"/>
          <w:szCs w:val="20"/>
        </w:rPr>
        <w:t>High-risk nodules should be discussed in a multidisciplinary setting involving physicians from various specialties including respiratory medicine, thoracic surgery, oncology, and radiology. This discussion aims to determine whether further examinations such as enhanced CT scans or positron emission tomography (PET)-CT scans are necessary, or if invasive procedures such as bronchoscopy and percutaneous lung biopsy are required for definitive diagnosis, and to decide on the appropriate treatment approach.</w:t>
      </w:r>
    </w:p>
    <w:p>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default" w:ascii="Times New Roman" w:hAnsi="Times New Roman" w:cs="Times New Roman"/>
          <w:bCs/>
          <w:kern w:val="44"/>
          <w:sz w:val="20"/>
          <w:szCs w:val="20"/>
        </w:rPr>
      </w:pPr>
      <w:r>
        <w:rPr>
          <w:rFonts w:hint="default" w:ascii="Times New Roman" w:hAnsi="Times New Roman" w:cs="Times New Roman"/>
          <w:bCs/>
          <w:kern w:val="44"/>
          <w:sz w:val="20"/>
          <w:szCs w:val="20"/>
        </w:rPr>
        <w:t>b) Intermediate-risk nodules include solid nodules with a diameter between 5 mm and 15 mm, without apparent malignant CT features, or partially solid nodules with a diameter less than 8 mm, or ground-glass opacity nodules with a diameter greater than 5 mm.</w:t>
      </w:r>
      <w:r>
        <w:rPr>
          <w:rFonts w:hint="default" w:ascii="Times New Roman" w:hAnsi="Times New Roman" w:cs="Times New Roman"/>
          <w:sz w:val="20"/>
          <w:szCs w:val="20"/>
        </w:rPr>
        <w:t xml:space="preserve"> </w:t>
      </w:r>
      <w:r>
        <w:rPr>
          <w:rFonts w:hint="default" w:ascii="Times New Roman" w:hAnsi="Times New Roman" w:cs="Times New Roman"/>
          <w:bCs/>
          <w:kern w:val="44"/>
          <w:sz w:val="20"/>
          <w:szCs w:val="20"/>
        </w:rPr>
        <w:t>Once medium-risk nodules are found, they need to be re-examined 3 months later to follow up the growth changes of lung nodules. If there are growth signs such as enlarged diameter and increased solid components, high-risk nodules will be included in the treatment; if there are no growth signs, follow-up should be continued.</w:t>
      </w:r>
    </w:p>
    <w:p>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default" w:ascii="Times New Roman" w:hAnsi="Times New Roman" w:cs="Times New Roman"/>
          <w:bCs/>
          <w:kern w:val="44"/>
          <w:sz w:val="20"/>
          <w:szCs w:val="20"/>
        </w:rPr>
      </w:pPr>
      <w:r>
        <w:rPr>
          <w:rFonts w:hint="default" w:ascii="Times New Roman" w:hAnsi="Times New Roman" w:cs="Times New Roman"/>
          <w:bCs/>
          <w:kern w:val="44"/>
          <w:sz w:val="20"/>
          <w:szCs w:val="20"/>
        </w:rPr>
        <w:t>c)</w:t>
      </w:r>
      <w:r>
        <w:rPr>
          <w:rFonts w:hint="default" w:ascii="Times New Roman" w:hAnsi="Times New Roman" w:cs="Times New Roman"/>
          <w:sz w:val="20"/>
          <w:szCs w:val="20"/>
        </w:rPr>
        <w:t xml:space="preserve"> </w:t>
      </w:r>
      <w:r>
        <w:rPr>
          <w:rFonts w:hint="default" w:ascii="Times New Roman" w:hAnsi="Times New Roman" w:cs="Times New Roman"/>
          <w:bCs/>
          <w:kern w:val="44"/>
          <w:sz w:val="20"/>
          <w:szCs w:val="20"/>
        </w:rPr>
        <w:t>Low-risk nodules include solid nodules &lt;5mm in diameter or ground glass density nodules &lt;5mm in diameter.</w:t>
      </w:r>
      <w:r>
        <w:rPr>
          <w:rFonts w:hint="default" w:ascii="Times New Roman" w:hAnsi="Times New Roman" w:cs="Times New Roman"/>
          <w:sz w:val="20"/>
          <w:szCs w:val="20"/>
        </w:rPr>
        <w:t xml:space="preserve"> It is recommended to follow up after 1 year. </w:t>
      </w:r>
      <w:r>
        <w:rPr>
          <w:rFonts w:hint="default" w:ascii="Times New Roman" w:hAnsi="Times New Roman" w:cs="Times New Roman"/>
          <w:bCs/>
          <w:kern w:val="44"/>
          <w:sz w:val="20"/>
          <w:szCs w:val="20"/>
        </w:rPr>
        <w:t>If there are signs of growth such as an increase in diameter or an increase in the solid component of the nodule, it should be considered as a high-risk nodule for management. If there are no signs of growth, annual follow-up is suggested.</w:t>
      </w:r>
    </w:p>
    <w:p>
      <w:pPr>
        <w:keepNext w:val="0"/>
        <w:keepLines w:val="0"/>
        <w:pageBreakBefore w:val="0"/>
        <w:numPr>
          <w:ilvl w:val="0"/>
          <w:numId w:val="0"/>
        </w:numPr>
        <w:kinsoku/>
        <w:wordWrap/>
        <w:overflowPunct/>
        <w:topLinePunct w:val="0"/>
        <w:autoSpaceDE/>
        <w:autoSpaceDN/>
        <w:bidi w:val="0"/>
        <w:spacing w:line="360" w:lineRule="auto"/>
        <w:textAlignment w:val="auto"/>
        <w:rPr>
          <w:rFonts w:hint="default" w:ascii="Times New Roman" w:hAnsi="Times New Roman" w:cs="Times New Roman"/>
          <w:b/>
          <w:bCs/>
          <w:i w:val="0"/>
          <w:iCs w:val="0"/>
          <w:sz w:val="20"/>
          <w:szCs w:val="20"/>
          <w:u w:val="none"/>
          <w:lang w:val="en-US" w:eastAsia="zh-CN"/>
        </w:rPr>
      </w:pPr>
    </w:p>
    <w:p>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default" w:ascii="Times New Roman" w:hAnsi="Times New Roman" w:cs="Times New Roman"/>
          <w:b/>
          <w:bCs w:val="0"/>
          <w:i w:val="0"/>
          <w:iCs w:val="0"/>
          <w:kern w:val="44"/>
          <w:sz w:val="20"/>
          <w:szCs w:val="20"/>
          <w:lang w:val="en-US" w:eastAsia="zh-CN"/>
        </w:rPr>
      </w:pPr>
    </w:p>
    <w:p>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default" w:ascii="Times New Roman" w:hAnsi="Times New Roman" w:cs="Times New Roman"/>
          <w:b/>
          <w:bCs w:val="0"/>
          <w:i w:val="0"/>
          <w:iCs w:val="0"/>
          <w:kern w:val="44"/>
          <w:sz w:val="20"/>
          <w:szCs w:val="20"/>
          <w:lang w:val="en-US" w:eastAsia="zh-CN"/>
        </w:rPr>
      </w:pPr>
    </w:p>
    <w:p>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default" w:ascii="Times New Roman" w:hAnsi="Times New Roman" w:cs="Times New Roman"/>
          <w:b/>
          <w:bCs w:val="0"/>
          <w:i w:val="0"/>
          <w:iCs w:val="0"/>
          <w:kern w:val="44"/>
          <w:sz w:val="20"/>
          <w:szCs w:val="20"/>
          <w:lang w:val="en-US" w:eastAsia="zh-CN"/>
        </w:rPr>
      </w:pPr>
    </w:p>
    <w:p>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default" w:ascii="Times New Roman" w:hAnsi="Times New Roman" w:cs="Times New Roman"/>
          <w:b/>
          <w:bCs w:val="0"/>
          <w:i w:val="0"/>
          <w:iCs w:val="0"/>
          <w:kern w:val="44"/>
          <w:sz w:val="20"/>
          <w:szCs w:val="20"/>
          <w:lang w:val="en-US" w:eastAsia="zh-CN"/>
        </w:rPr>
      </w:pPr>
    </w:p>
    <w:p>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default" w:ascii="Times New Roman" w:hAnsi="Times New Roman" w:cs="Times New Roman"/>
          <w:b/>
          <w:bCs w:val="0"/>
          <w:i w:val="0"/>
          <w:iCs w:val="0"/>
          <w:kern w:val="44"/>
          <w:sz w:val="20"/>
          <w:szCs w:val="20"/>
          <w:lang w:val="en-US" w:eastAsia="zh-CN"/>
        </w:rPr>
      </w:pPr>
    </w:p>
    <w:p>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default" w:ascii="Times New Roman" w:hAnsi="Times New Roman" w:cs="Times New Roman"/>
          <w:b/>
          <w:bCs w:val="0"/>
          <w:i w:val="0"/>
          <w:iCs w:val="0"/>
          <w:kern w:val="44"/>
          <w:sz w:val="20"/>
          <w:szCs w:val="20"/>
          <w:lang w:val="en-US" w:eastAsia="zh-CN"/>
        </w:rPr>
      </w:pPr>
    </w:p>
    <w:p>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default" w:ascii="Times New Roman" w:hAnsi="Times New Roman" w:cs="Times New Roman"/>
          <w:b/>
          <w:bCs w:val="0"/>
          <w:i w:val="0"/>
          <w:iCs w:val="0"/>
          <w:kern w:val="44"/>
          <w:sz w:val="20"/>
          <w:szCs w:val="20"/>
          <w:lang w:val="en-US" w:eastAsia="zh-CN"/>
        </w:rPr>
      </w:pPr>
    </w:p>
    <w:p>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default" w:ascii="Times New Roman" w:hAnsi="Times New Roman" w:cs="Times New Roman"/>
          <w:b/>
          <w:bCs w:val="0"/>
          <w:i w:val="0"/>
          <w:iCs w:val="0"/>
          <w:kern w:val="44"/>
          <w:sz w:val="20"/>
          <w:szCs w:val="20"/>
          <w:lang w:val="en-US" w:eastAsia="zh-CN"/>
        </w:rPr>
      </w:pPr>
    </w:p>
    <w:p>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default" w:ascii="Times New Roman" w:hAnsi="Times New Roman" w:cs="Times New Roman"/>
          <w:b/>
          <w:bCs w:val="0"/>
          <w:i w:val="0"/>
          <w:iCs w:val="0"/>
          <w:kern w:val="44"/>
          <w:sz w:val="20"/>
          <w:szCs w:val="20"/>
          <w:lang w:val="en-US" w:eastAsia="zh-CN"/>
        </w:rPr>
      </w:pPr>
    </w:p>
    <w:p>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default" w:ascii="Times New Roman" w:hAnsi="Times New Roman" w:cs="Times New Roman"/>
          <w:b/>
          <w:bCs w:val="0"/>
          <w:i w:val="0"/>
          <w:iCs w:val="0"/>
          <w:kern w:val="44"/>
          <w:sz w:val="20"/>
          <w:szCs w:val="20"/>
          <w:lang w:val="en-US" w:eastAsia="zh-CN"/>
        </w:rPr>
      </w:pPr>
    </w:p>
    <w:p>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default" w:ascii="Times New Roman" w:hAnsi="Times New Roman" w:cs="Times New Roman"/>
          <w:b/>
          <w:bCs w:val="0"/>
          <w:i w:val="0"/>
          <w:iCs w:val="0"/>
          <w:kern w:val="44"/>
          <w:sz w:val="20"/>
          <w:szCs w:val="20"/>
        </w:rPr>
      </w:pPr>
      <w:r>
        <w:rPr>
          <w:rFonts w:hint="default" w:ascii="Times New Roman" w:hAnsi="Times New Roman" w:cs="Times New Roman"/>
          <w:b/>
          <w:bCs w:val="0"/>
          <w:i w:val="0"/>
          <w:iCs w:val="0"/>
          <w:kern w:val="44"/>
          <w:sz w:val="20"/>
          <w:szCs w:val="20"/>
          <w:lang w:val="en-US" w:eastAsia="zh-CN"/>
        </w:rPr>
        <w:t>Section3:</w:t>
      </w:r>
      <w:r>
        <w:rPr>
          <w:rFonts w:hint="default" w:ascii="Times New Roman" w:hAnsi="Times New Roman" w:cs="Times New Roman"/>
          <w:b/>
          <w:bCs w:val="0"/>
          <w:i w:val="0"/>
          <w:iCs w:val="0"/>
          <w:kern w:val="44"/>
          <w:sz w:val="20"/>
          <w:szCs w:val="20"/>
        </w:rPr>
        <w:t xml:space="preserve"> Quality control</w:t>
      </w:r>
    </w:p>
    <w:p>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default" w:ascii="Times New Roman" w:hAnsi="Times New Roman" w:cs="Times New Roman"/>
          <w:b/>
          <w:kern w:val="44"/>
          <w:sz w:val="20"/>
          <w:szCs w:val="20"/>
        </w:rPr>
      </w:pPr>
      <w:r>
        <w:rPr>
          <w:rFonts w:hint="default" w:ascii="Times New Roman" w:hAnsi="Times New Roman" w:cs="Times New Roman"/>
          <w:b/>
          <w:kern w:val="44"/>
          <w:sz w:val="20"/>
          <w:szCs w:val="20"/>
        </w:rPr>
        <w:t>1 Composition and Division of Labor</w:t>
      </w:r>
    </w:p>
    <w:p>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default" w:ascii="Times New Roman" w:hAnsi="Times New Roman" w:cs="Times New Roman"/>
          <w:bCs/>
          <w:kern w:val="44"/>
          <w:sz w:val="20"/>
          <w:szCs w:val="20"/>
        </w:rPr>
      </w:pPr>
      <w:r>
        <w:rPr>
          <w:rFonts w:hint="default" w:ascii="Times New Roman" w:hAnsi="Times New Roman" w:cs="Times New Roman"/>
          <w:bCs/>
          <w:kern w:val="44"/>
          <w:sz w:val="20"/>
          <w:szCs w:val="20"/>
        </w:rPr>
        <w:t>1）Data recorder：The staff of the health Management Center of our hospital conducted a baseline investigation on the subjects who came to our center for physical examination, and strictly screened the enrolled people according to the inclusion and exclusion criteria and signed the informed consent.</w:t>
      </w:r>
      <w:r>
        <w:rPr>
          <w:rFonts w:hint="default" w:ascii="Times New Roman" w:hAnsi="Times New Roman" w:cs="Times New Roman"/>
          <w:sz w:val="20"/>
          <w:szCs w:val="20"/>
        </w:rPr>
        <w:t xml:space="preserve"> </w:t>
      </w:r>
      <w:r>
        <w:rPr>
          <w:rFonts w:hint="default" w:ascii="Times New Roman" w:hAnsi="Times New Roman" w:cs="Times New Roman"/>
          <w:bCs/>
          <w:kern w:val="44"/>
          <w:sz w:val="20"/>
          <w:szCs w:val="20"/>
        </w:rPr>
        <w:t>The data recorders compile the baseline screening results and promptly call the screened individuals based on the follow-up plan determined by the screening results, ensuring completion of subsequent follow-up and annual review tasks.</w:t>
      </w:r>
    </w:p>
    <w:p>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default" w:ascii="Times New Roman" w:hAnsi="Times New Roman" w:cs="Times New Roman"/>
          <w:bCs/>
          <w:kern w:val="44"/>
          <w:sz w:val="20"/>
          <w:szCs w:val="20"/>
        </w:rPr>
      </w:pPr>
      <w:r>
        <w:rPr>
          <w:rFonts w:hint="default" w:ascii="Times New Roman" w:hAnsi="Times New Roman" w:cs="Times New Roman"/>
          <w:bCs/>
          <w:kern w:val="44"/>
          <w:sz w:val="20"/>
          <w:szCs w:val="20"/>
        </w:rPr>
        <w:t>2）Statistical analyst：The data were collated and statistically analyzed by the full-time scientific researchers of the health Management Center of our hospital.</w:t>
      </w:r>
    </w:p>
    <w:p>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default" w:ascii="Times New Roman" w:hAnsi="Times New Roman" w:cs="Times New Roman"/>
          <w:b/>
          <w:i/>
          <w:iCs/>
          <w:kern w:val="44"/>
          <w:sz w:val="20"/>
          <w:szCs w:val="20"/>
        </w:rPr>
      </w:pPr>
      <w:r>
        <w:rPr>
          <w:rFonts w:hint="default" w:ascii="Times New Roman" w:hAnsi="Times New Roman" w:cs="Times New Roman"/>
          <w:b/>
          <w:i/>
          <w:iCs/>
          <w:kern w:val="44"/>
          <w:sz w:val="20"/>
          <w:szCs w:val="20"/>
        </w:rPr>
        <w:t>2 Data collection and management</w:t>
      </w:r>
    </w:p>
    <w:p>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default" w:ascii="Times New Roman" w:hAnsi="Times New Roman" w:cs="Times New Roman"/>
          <w:bCs/>
          <w:kern w:val="44"/>
          <w:sz w:val="20"/>
          <w:szCs w:val="20"/>
        </w:rPr>
      </w:pPr>
      <w:r>
        <w:rPr>
          <w:rFonts w:hint="default" w:ascii="Times New Roman" w:hAnsi="Times New Roman" w:cs="Times New Roman"/>
          <w:bCs/>
          <w:kern w:val="44"/>
          <w:sz w:val="20"/>
          <w:szCs w:val="20"/>
        </w:rPr>
        <w:t>1)</w:t>
      </w:r>
      <w:r>
        <w:rPr>
          <w:rFonts w:hint="default" w:ascii="Times New Roman" w:hAnsi="Times New Roman" w:cs="Times New Roman"/>
          <w:sz w:val="20"/>
          <w:szCs w:val="20"/>
        </w:rPr>
        <w:t xml:space="preserve"> </w:t>
      </w:r>
      <w:r>
        <w:rPr>
          <w:rFonts w:hint="default" w:ascii="Times New Roman" w:hAnsi="Times New Roman" w:cs="Times New Roman"/>
          <w:bCs/>
          <w:kern w:val="44"/>
          <w:sz w:val="20"/>
          <w:szCs w:val="20"/>
        </w:rPr>
        <w:t>Data entry: Baseline database, longitudinal follow-up database and follow-up review database were established.</w:t>
      </w:r>
      <w:r>
        <w:rPr>
          <w:rFonts w:hint="default" w:ascii="Times New Roman" w:hAnsi="Times New Roman" w:cs="Times New Roman"/>
          <w:sz w:val="20"/>
          <w:szCs w:val="20"/>
        </w:rPr>
        <w:t xml:space="preserve"> </w:t>
      </w:r>
      <w:r>
        <w:rPr>
          <w:rFonts w:hint="default" w:ascii="Times New Roman" w:hAnsi="Times New Roman" w:cs="Times New Roman"/>
          <w:bCs/>
          <w:kern w:val="44"/>
          <w:sz w:val="20"/>
          <w:szCs w:val="20"/>
        </w:rPr>
        <w:t>The data entry work is in the charge of special personnel, and double input is implemented. For inconsistent results, the original questionnaire is checked and corrected in time.</w:t>
      </w:r>
    </w:p>
    <w:p>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default" w:ascii="Times New Roman" w:hAnsi="Times New Roman" w:cs="Times New Roman"/>
          <w:bCs/>
          <w:kern w:val="44"/>
          <w:sz w:val="20"/>
          <w:szCs w:val="20"/>
        </w:rPr>
      </w:pPr>
      <w:r>
        <w:rPr>
          <w:rFonts w:hint="default" w:ascii="Times New Roman" w:hAnsi="Times New Roman" w:cs="Times New Roman"/>
          <w:bCs/>
          <w:kern w:val="44"/>
          <w:sz w:val="20"/>
          <w:szCs w:val="20"/>
        </w:rPr>
        <w:t>2)</w:t>
      </w:r>
      <w:r>
        <w:rPr>
          <w:rFonts w:hint="default" w:ascii="Times New Roman" w:hAnsi="Times New Roman" w:cs="Times New Roman"/>
          <w:bCs/>
          <w:sz w:val="20"/>
          <w:szCs w:val="20"/>
        </w:rPr>
        <w:t xml:space="preserve"> </w:t>
      </w:r>
      <w:r>
        <w:rPr>
          <w:rFonts w:hint="default" w:ascii="Times New Roman" w:hAnsi="Times New Roman" w:cs="Times New Roman"/>
          <w:bCs/>
          <w:kern w:val="44"/>
          <w:sz w:val="20"/>
          <w:szCs w:val="20"/>
        </w:rPr>
        <w:t>Data cleaning and feedback: The data cleaning work shall be carried out in a phased manner. According to the completion of data entry, the missing value, extreme value and logical verification shall be carried out in time, the data problems shall be timely reported to the on-site data recording personnel, and the results shall be re-investigated and re-modified, confirmed and entered when necessary</w:t>
      </w:r>
    </w:p>
    <w:p>
      <w:pPr>
        <w:keepNext w:val="0"/>
        <w:keepLines w:val="0"/>
        <w:pageBreakBefore w:val="0"/>
        <w:numPr>
          <w:ilvl w:val="0"/>
          <w:numId w:val="0"/>
        </w:numPr>
        <w:kinsoku/>
        <w:wordWrap/>
        <w:overflowPunct/>
        <w:topLinePunct w:val="0"/>
        <w:autoSpaceDE/>
        <w:autoSpaceDN/>
        <w:bidi w:val="0"/>
        <w:spacing w:line="360" w:lineRule="auto"/>
        <w:textAlignment w:val="auto"/>
        <w:rPr>
          <w:rFonts w:hint="default" w:ascii="Times New Roman" w:hAnsi="Times New Roman" w:cs="Times New Roman"/>
          <w:b/>
          <w:bCs/>
          <w:sz w:val="20"/>
          <w:szCs w:val="20"/>
          <w:lang w:val="en-US" w:eastAsia="zh-CN"/>
        </w:rPr>
      </w:pPr>
    </w:p>
    <w:p>
      <w:pPr>
        <w:numPr>
          <w:ilvl w:val="0"/>
          <w:numId w:val="0"/>
        </w:numPr>
        <w:rPr>
          <w:rFonts w:hint="default" w:ascii="Times New Roman" w:hAnsi="Times New Roman" w:cs="Times New Roman"/>
          <w:b/>
          <w:bCs/>
          <w:sz w:val="20"/>
          <w:szCs w:val="20"/>
          <w:lang w:val="en-US" w:eastAsia="zh-CN"/>
        </w:rPr>
      </w:pPr>
    </w:p>
    <w:p>
      <w:pPr>
        <w:numPr>
          <w:ilvl w:val="0"/>
          <w:numId w:val="0"/>
        </w:numPr>
        <w:rPr>
          <w:rFonts w:hint="default" w:ascii="Times New Roman" w:hAnsi="Times New Roman" w:cs="Times New Roman"/>
          <w:b/>
          <w:bCs/>
          <w:sz w:val="20"/>
          <w:szCs w:val="20"/>
          <w:lang w:val="en-US" w:eastAsia="zh-CN"/>
        </w:rPr>
      </w:pPr>
    </w:p>
    <w:p>
      <w:pPr>
        <w:numPr>
          <w:ilvl w:val="0"/>
          <w:numId w:val="0"/>
        </w:numPr>
        <w:rPr>
          <w:rFonts w:hint="default" w:ascii="Times New Roman" w:hAnsi="Times New Roman" w:cs="Times New Roman"/>
          <w:b/>
          <w:bCs/>
          <w:sz w:val="20"/>
          <w:szCs w:val="20"/>
          <w:lang w:val="en-US" w:eastAsia="zh-CN"/>
        </w:rPr>
      </w:pPr>
    </w:p>
    <w:p>
      <w:pPr>
        <w:numPr>
          <w:ilvl w:val="0"/>
          <w:numId w:val="0"/>
        </w:numPr>
        <w:rPr>
          <w:rFonts w:hint="default" w:ascii="Times New Roman" w:hAnsi="Times New Roman" w:cs="Times New Roman"/>
          <w:b/>
          <w:bCs/>
          <w:sz w:val="20"/>
          <w:szCs w:val="20"/>
          <w:lang w:val="en-US" w:eastAsia="zh-CN"/>
        </w:rPr>
      </w:pPr>
    </w:p>
    <w:p>
      <w:pPr>
        <w:numPr>
          <w:ilvl w:val="0"/>
          <w:numId w:val="0"/>
        </w:numPr>
        <w:rPr>
          <w:rFonts w:hint="default" w:ascii="Times New Roman" w:hAnsi="Times New Roman" w:cs="Times New Roman"/>
          <w:b/>
          <w:bCs/>
          <w:sz w:val="20"/>
          <w:szCs w:val="20"/>
          <w:lang w:val="en-US" w:eastAsia="zh-CN"/>
        </w:rPr>
      </w:pPr>
    </w:p>
    <w:p>
      <w:pPr>
        <w:numPr>
          <w:ilvl w:val="0"/>
          <w:numId w:val="0"/>
        </w:numPr>
        <w:rPr>
          <w:rFonts w:hint="default" w:ascii="Times New Roman" w:hAnsi="Times New Roman" w:cs="Times New Roman"/>
          <w:b/>
          <w:bCs/>
          <w:sz w:val="20"/>
          <w:szCs w:val="20"/>
          <w:lang w:val="en-US" w:eastAsia="zh-CN"/>
        </w:rPr>
      </w:pPr>
    </w:p>
    <w:p>
      <w:pPr>
        <w:numPr>
          <w:ilvl w:val="0"/>
          <w:numId w:val="0"/>
        </w:numPr>
        <w:rPr>
          <w:rFonts w:hint="default" w:ascii="Times New Roman" w:hAnsi="Times New Roman" w:cs="Times New Roman"/>
          <w:b/>
          <w:bCs/>
          <w:sz w:val="20"/>
          <w:szCs w:val="20"/>
          <w:lang w:val="en-US" w:eastAsia="zh-CN"/>
        </w:rPr>
      </w:pPr>
    </w:p>
    <w:p>
      <w:pPr>
        <w:numPr>
          <w:ilvl w:val="0"/>
          <w:numId w:val="0"/>
        </w:numPr>
        <w:rPr>
          <w:rFonts w:hint="default" w:ascii="Times New Roman" w:hAnsi="Times New Roman" w:cs="Times New Roman"/>
          <w:b/>
          <w:bCs/>
          <w:sz w:val="20"/>
          <w:szCs w:val="20"/>
          <w:lang w:val="en-US" w:eastAsia="zh-CN"/>
        </w:rPr>
      </w:pPr>
    </w:p>
    <w:p>
      <w:pPr>
        <w:numPr>
          <w:ilvl w:val="0"/>
          <w:numId w:val="0"/>
        </w:numPr>
        <w:rPr>
          <w:rFonts w:hint="default" w:ascii="Times New Roman" w:hAnsi="Times New Roman" w:cs="Times New Roman"/>
          <w:b/>
          <w:bCs/>
          <w:sz w:val="20"/>
          <w:szCs w:val="20"/>
          <w:lang w:val="en-US" w:eastAsia="zh-CN"/>
        </w:rPr>
      </w:pPr>
    </w:p>
    <w:p>
      <w:pPr>
        <w:numPr>
          <w:ilvl w:val="0"/>
          <w:numId w:val="0"/>
        </w:numPr>
        <w:rPr>
          <w:rFonts w:hint="default" w:ascii="Times New Roman" w:hAnsi="Times New Roman" w:cs="Times New Roman"/>
          <w:b/>
          <w:bCs/>
          <w:sz w:val="20"/>
          <w:szCs w:val="20"/>
          <w:lang w:val="en-US" w:eastAsia="zh-CN"/>
        </w:rPr>
      </w:pPr>
    </w:p>
    <w:p>
      <w:pPr>
        <w:numPr>
          <w:ilvl w:val="0"/>
          <w:numId w:val="0"/>
        </w:numPr>
        <w:rPr>
          <w:rFonts w:hint="default" w:ascii="Times New Roman" w:hAnsi="Times New Roman" w:cs="Times New Roman"/>
          <w:b/>
          <w:bCs/>
          <w:sz w:val="20"/>
          <w:szCs w:val="20"/>
          <w:lang w:val="en-US" w:eastAsia="zh-CN"/>
        </w:rPr>
      </w:pPr>
    </w:p>
    <w:p>
      <w:pPr>
        <w:numPr>
          <w:ilvl w:val="0"/>
          <w:numId w:val="0"/>
        </w:numPr>
        <w:rPr>
          <w:rFonts w:hint="default" w:ascii="Times New Roman" w:hAnsi="Times New Roman" w:cs="Times New Roman"/>
          <w:b/>
          <w:bCs/>
          <w:sz w:val="20"/>
          <w:szCs w:val="20"/>
          <w:lang w:val="en-US" w:eastAsia="zh-CN"/>
        </w:rPr>
      </w:pPr>
    </w:p>
    <w:p>
      <w:pPr>
        <w:numPr>
          <w:ilvl w:val="0"/>
          <w:numId w:val="0"/>
        </w:numPr>
        <w:rPr>
          <w:rFonts w:hint="default" w:ascii="Times New Roman" w:hAnsi="Times New Roman" w:cs="Times New Roman"/>
          <w:b/>
          <w:bCs/>
          <w:sz w:val="20"/>
          <w:szCs w:val="20"/>
          <w:lang w:val="en-US" w:eastAsia="zh-CN"/>
        </w:rPr>
      </w:pPr>
    </w:p>
    <w:p>
      <w:pPr>
        <w:numPr>
          <w:ilvl w:val="0"/>
          <w:numId w:val="0"/>
        </w:numPr>
        <w:rPr>
          <w:rFonts w:hint="default" w:ascii="Times New Roman" w:hAnsi="Times New Roman" w:cs="Times New Roman"/>
          <w:b/>
          <w:bCs/>
          <w:sz w:val="20"/>
          <w:szCs w:val="20"/>
          <w:lang w:val="en-US" w:eastAsia="zh-CN"/>
        </w:rPr>
      </w:pPr>
    </w:p>
    <w:p>
      <w:pPr>
        <w:numPr>
          <w:ilvl w:val="0"/>
          <w:numId w:val="0"/>
        </w:numPr>
        <w:rPr>
          <w:rFonts w:hint="default" w:ascii="Times New Roman" w:hAnsi="Times New Roman" w:cs="Times New Roman"/>
          <w:b/>
          <w:bCs w:val="0"/>
          <w:kern w:val="44"/>
          <w:sz w:val="20"/>
          <w:szCs w:val="20"/>
          <w:lang w:val="en-US" w:eastAsia="zh-CN"/>
        </w:rPr>
      </w:pPr>
    </w:p>
    <w:p>
      <w:pPr>
        <w:numPr>
          <w:ilvl w:val="0"/>
          <w:numId w:val="0"/>
        </w:numPr>
        <w:rPr>
          <w:rFonts w:hint="default" w:ascii="Times New Roman" w:hAnsi="Times New Roman" w:cs="Times New Roman"/>
          <w:b/>
          <w:bCs w:val="0"/>
          <w:kern w:val="44"/>
          <w:sz w:val="20"/>
          <w:szCs w:val="20"/>
          <w:lang w:val="en-US" w:eastAsia="zh-CN"/>
        </w:rPr>
      </w:pPr>
    </w:p>
    <w:p>
      <w:pPr>
        <w:numPr>
          <w:ilvl w:val="0"/>
          <w:numId w:val="0"/>
        </w:numPr>
        <w:rPr>
          <w:rFonts w:hint="default" w:ascii="Times New Roman" w:hAnsi="Times New Roman" w:cs="Times New Roman"/>
          <w:b/>
          <w:bCs w:val="0"/>
          <w:kern w:val="44"/>
          <w:sz w:val="20"/>
          <w:szCs w:val="20"/>
          <w:lang w:val="en-US" w:eastAsia="zh-CN"/>
        </w:rPr>
      </w:pPr>
    </w:p>
    <w:p>
      <w:pPr>
        <w:numPr>
          <w:ilvl w:val="0"/>
          <w:numId w:val="0"/>
        </w:numPr>
        <w:rPr>
          <w:rFonts w:hint="default" w:ascii="Times New Roman" w:hAnsi="Times New Roman" w:cs="Times New Roman"/>
          <w:b/>
          <w:bCs w:val="0"/>
          <w:kern w:val="44"/>
          <w:sz w:val="20"/>
          <w:szCs w:val="20"/>
          <w:lang w:val="en-US" w:eastAsia="zh-CN"/>
        </w:rPr>
      </w:pPr>
    </w:p>
    <w:p>
      <w:pPr>
        <w:numPr>
          <w:ilvl w:val="0"/>
          <w:numId w:val="0"/>
        </w:numPr>
        <w:rPr>
          <w:rFonts w:hint="default" w:ascii="Times New Roman" w:hAnsi="Times New Roman" w:cs="Times New Roman"/>
          <w:b/>
          <w:bCs w:val="0"/>
          <w:kern w:val="44"/>
          <w:sz w:val="20"/>
          <w:szCs w:val="20"/>
          <w:lang w:val="en-US" w:eastAsia="zh-CN"/>
        </w:rPr>
      </w:pPr>
    </w:p>
    <w:p>
      <w:pPr>
        <w:numPr>
          <w:ilvl w:val="0"/>
          <w:numId w:val="0"/>
        </w:numPr>
        <w:rPr>
          <w:rFonts w:hint="default" w:ascii="Times New Roman" w:hAnsi="Times New Roman" w:cs="Times New Roman"/>
          <w:b/>
          <w:bCs w:val="0"/>
          <w:kern w:val="44"/>
          <w:sz w:val="20"/>
          <w:szCs w:val="20"/>
          <w:lang w:val="en-US" w:eastAsia="zh-CN"/>
        </w:rPr>
      </w:pPr>
    </w:p>
    <w:p>
      <w:pPr>
        <w:numPr>
          <w:ilvl w:val="0"/>
          <w:numId w:val="0"/>
        </w:numPr>
        <w:rPr>
          <w:rFonts w:hint="default" w:ascii="Times New Roman" w:hAnsi="Times New Roman" w:cs="Times New Roman"/>
          <w:b/>
          <w:bCs w:val="0"/>
          <w:kern w:val="44"/>
          <w:sz w:val="20"/>
          <w:szCs w:val="20"/>
          <w:lang w:val="en-US" w:eastAsia="zh-CN"/>
        </w:rPr>
      </w:pPr>
    </w:p>
    <w:p>
      <w:pPr>
        <w:numPr>
          <w:ilvl w:val="0"/>
          <w:numId w:val="0"/>
        </w:numPr>
        <w:rPr>
          <w:rFonts w:hint="default" w:ascii="Times New Roman" w:hAnsi="Times New Roman" w:cs="Times New Roman"/>
          <w:b/>
          <w:bCs w:val="0"/>
          <w:kern w:val="44"/>
          <w:sz w:val="20"/>
          <w:szCs w:val="20"/>
          <w:lang w:val="en-US" w:eastAsia="zh-CN"/>
        </w:rPr>
      </w:pPr>
    </w:p>
    <w:p>
      <w:pPr>
        <w:numPr>
          <w:ilvl w:val="0"/>
          <w:numId w:val="0"/>
        </w:numPr>
        <w:rPr>
          <w:rFonts w:hint="default" w:ascii="Times New Roman" w:hAnsi="Times New Roman" w:cs="Times New Roman"/>
          <w:b/>
          <w:bCs w:val="0"/>
          <w:kern w:val="44"/>
          <w:sz w:val="20"/>
          <w:szCs w:val="20"/>
          <w:lang w:val="en-US" w:eastAsia="zh-CN"/>
        </w:rPr>
      </w:pPr>
    </w:p>
    <w:p>
      <w:pPr>
        <w:numPr>
          <w:ilvl w:val="0"/>
          <w:numId w:val="0"/>
        </w:numPr>
        <w:rPr>
          <w:rFonts w:hint="default" w:ascii="Times New Roman" w:hAnsi="Times New Roman" w:cs="Times New Roman"/>
          <w:b/>
          <w:bCs w:val="0"/>
          <w:kern w:val="44"/>
          <w:sz w:val="20"/>
          <w:szCs w:val="20"/>
          <w:lang w:val="en-US" w:eastAsia="zh-CN"/>
        </w:rPr>
      </w:pPr>
    </w:p>
    <w:p>
      <w:pPr>
        <w:numPr>
          <w:ilvl w:val="0"/>
          <w:numId w:val="0"/>
        </w:numPr>
        <w:rPr>
          <w:rFonts w:hint="default" w:ascii="Times New Roman" w:hAnsi="Times New Roman" w:cs="Times New Roman"/>
          <w:b/>
          <w:bCs w:val="0"/>
          <w:kern w:val="44"/>
          <w:sz w:val="20"/>
          <w:szCs w:val="20"/>
        </w:rPr>
      </w:pPr>
      <w:r>
        <w:rPr>
          <w:rFonts w:hint="default" w:ascii="Times New Roman" w:hAnsi="Times New Roman" w:cs="Times New Roman"/>
          <w:b/>
          <w:bCs w:val="0"/>
          <w:kern w:val="44"/>
          <w:sz w:val="20"/>
          <w:szCs w:val="20"/>
          <w:lang w:val="en-US" w:eastAsia="zh-CN"/>
        </w:rPr>
        <w:t xml:space="preserve">Figure S1 </w:t>
      </w:r>
      <w:r>
        <w:rPr>
          <w:rFonts w:hint="default" w:ascii="Times New Roman" w:hAnsi="Times New Roman" w:cs="Times New Roman"/>
          <w:b/>
          <w:bCs w:val="0"/>
          <w:kern w:val="44"/>
          <w:sz w:val="20"/>
          <w:szCs w:val="20"/>
        </w:rPr>
        <w:t>CT images of nodules with different densities</w:t>
      </w:r>
    </w:p>
    <w:p>
      <w:pPr>
        <w:numPr>
          <w:ilvl w:val="0"/>
          <w:numId w:val="0"/>
        </w:numPr>
        <w:rPr>
          <w:rFonts w:hint="default" w:ascii="Times New Roman" w:hAnsi="Times New Roman" w:cs="Times New Roman"/>
          <w:b/>
          <w:bCs w:val="0"/>
          <w:kern w:val="44"/>
          <w:sz w:val="20"/>
          <w:szCs w:val="20"/>
          <w:lang w:val="en-US" w:eastAsia="zh-CN"/>
        </w:rPr>
      </w:pPr>
    </w:p>
    <w:p>
      <w:pPr>
        <w:numPr>
          <w:ilvl w:val="0"/>
          <w:numId w:val="0"/>
        </w:numPr>
        <w:rPr>
          <w:rFonts w:hint="default" w:ascii="Times New Roman" w:hAnsi="Times New Roman" w:cs="Times New Roman"/>
          <w:b/>
          <w:bCs/>
          <w:sz w:val="20"/>
          <w:szCs w:val="20"/>
          <w:lang w:val="en-US" w:eastAsia="zh-CN"/>
        </w:rPr>
      </w:pPr>
      <w:r>
        <w:rPr>
          <w:rFonts w:hint="default" w:ascii="Times New Roman" w:hAnsi="Times New Roman" w:cs="Times New Roman"/>
          <w:sz w:val="20"/>
          <w:szCs w:val="20"/>
        </w:rPr>
        <mc:AlternateContent>
          <mc:Choice Requires="wps">
            <w:drawing>
              <wp:anchor distT="0" distB="0" distL="114300" distR="114300" simplePos="0" relativeHeight="251660288" behindDoc="0" locked="0" layoutInCell="1" allowOverlap="1">
                <wp:simplePos x="0" y="0"/>
                <wp:positionH relativeFrom="column">
                  <wp:posOffset>-457835</wp:posOffset>
                </wp:positionH>
                <wp:positionV relativeFrom="paragraph">
                  <wp:posOffset>2184400</wp:posOffset>
                </wp:positionV>
                <wp:extent cx="6122670" cy="312420"/>
                <wp:effectExtent l="0" t="0" r="1905" b="1905"/>
                <wp:wrapNone/>
                <wp:docPr id="2" name="文本框 2"/>
                <wp:cNvGraphicFramePr/>
                <a:graphic xmlns:a="http://schemas.openxmlformats.org/drawingml/2006/main">
                  <a:graphicData uri="http://schemas.microsoft.com/office/word/2010/wordprocessingShape">
                    <wps:wsp>
                      <wps:cNvSpPr txBox="1"/>
                      <wps:spPr>
                        <a:xfrm>
                          <a:off x="0" y="0"/>
                          <a:ext cx="6122670" cy="3124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b w:val="0"/>
                                <w:bCs/>
                                <w:sz w:val="18"/>
                                <w:szCs w:val="18"/>
                                <w:lang w:val="en-US" w:eastAsia="zh-CN"/>
                              </w:rPr>
                            </w:pPr>
                            <w:r>
                              <w:rPr>
                                <w:rFonts w:ascii="Times New Roman" w:hAnsi="Times New Roman" w:cs="Times New Roman"/>
                                <w:b w:val="0"/>
                                <w:bCs/>
                                <w:kern w:val="44"/>
                                <w:sz w:val="18"/>
                                <w:szCs w:val="18"/>
                              </w:rPr>
                              <w:t xml:space="preserve">Figure </w:t>
                            </w:r>
                            <w:r>
                              <w:rPr>
                                <w:rFonts w:hint="eastAsia" w:ascii="Times New Roman" w:hAnsi="Times New Roman" w:cs="Times New Roman"/>
                                <w:b w:val="0"/>
                                <w:bCs/>
                                <w:kern w:val="44"/>
                                <w:sz w:val="18"/>
                                <w:szCs w:val="18"/>
                                <w:lang w:val="en-US" w:eastAsia="zh-CN"/>
                              </w:rPr>
                              <w:t>S</w:t>
                            </w:r>
                            <w:r>
                              <w:rPr>
                                <w:rFonts w:ascii="Times New Roman" w:hAnsi="Times New Roman" w:cs="Times New Roman"/>
                                <w:b w:val="0"/>
                                <w:bCs/>
                                <w:kern w:val="44"/>
                                <w:sz w:val="18"/>
                                <w:szCs w:val="18"/>
                              </w:rPr>
                              <w:t xml:space="preserve">1. </w:t>
                            </w:r>
                            <w:r>
                              <w:rPr>
                                <w:rFonts w:hint="eastAsia" w:ascii="Times New Roman" w:hAnsi="Times New Roman" w:cs="Times New Roman"/>
                                <w:b w:val="0"/>
                                <w:bCs/>
                                <w:kern w:val="44"/>
                                <w:sz w:val="18"/>
                                <w:szCs w:val="18"/>
                                <w:lang w:val="en-US" w:eastAsia="zh-CN"/>
                              </w:rPr>
                              <w:t xml:space="preserve">A </w:t>
                            </w:r>
                            <w:r>
                              <w:rPr>
                                <w:rFonts w:ascii="Times New Roman" w:hAnsi="Times New Roman" w:cs="Times New Roman"/>
                                <w:b w:val="0"/>
                                <w:bCs/>
                                <w:kern w:val="44"/>
                                <w:sz w:val="18"/>
                                <w:szCs w:val="18"/>
                              </w:rPr>
                              <w:t>Solid nodules of the right lung</w:t>
                            </w:r>
                            <w:r>
                              <w:rPr>
                                <w:rFonts w:hint="eastAsia" w:ascii="Times New Roman" w:hAnsi="Times New Roman" w:cs="Times New Roman"/>
                                <w:b w:val="0"/>
                                <w:bCs/>
                                <w:kern w:val="44"/>
                                <w:sz w:val="18"/>
                                <w:szCs w:val="18"/>
                                <w:lang w:val="en-US" w:eastAsia="zh-CN"/>
                              </w:rPr>
                              <w:t xml:space="preserve">   B </w:t>
                            </w:r>
                            <w:r>
                              <w:rPr>
                                <w:rFonts w:ascii="Times New Roman" w:hAnsi="Times New Roman" w:cs="Times New Roman"/>
                                <w:b w:val="0"/>
                                <w:bCs/>
                                <w:kern w:val="44"/>
                                <w:sz w:val="18"/>
                                <w:szCs w:val="18"/>
                              </w:rPr>
                              <w:t>Partial solid nodules of the right lung</w:t>
                            </w:r>
                            <w:r>
                              <w:rPr>
                                <w:rFonts w:hint="eastAsia" w:ascii="Times New Roman" w:hAnsi="Times New Roman" w:cs="Times New Roman"/>
                                <w:b w:val="0"/>
                                <w:bCs/>
                                <w:kern w:val="44"/>
                                <w:sz w:val="18"/>
                                <w:szCs w:val="18"/>
                                <w:lang w:val="en-US" w:eastAsia="zh-CN"/>
                              </w:rPr>
                              <w:t xml:space="preserve">  C </w:t>
                            </w:r>
                            <w:r>
                              <w:rPr>
                                <w:rFonts w:ascii="Times New Roman" w:hAnsi="Times New Roman" w:cs="Times New Roman"/>
                                <w:b w:val="0"/>
                                <w:bCs/>
                                <w:kern w:val="44"/>
                                <w:sz w:val="18"/>
                                <w:szCs w:val="18"/>
                              </w:rPr>
                              <w:t>Pure ground glass nodules of right lung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05pt;margin-top:172pt;height:24.6pt;width:482.1pt;z-index:251660288;mso-width-relative:page;mso-height-relative:page;" fillcolor="#FFFFFF [3201]" filled="t" stroked="f" coordsize="21600,21600" o:gfxdata="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LVo0IfXAAAACwEAAA8A&#10;AAAAAAAAAQAgAAAAIgAAAGRycy9kb3ducmV2LnhtbFBLAQIUABQAAAAIAIdO4kAS5clOUQIAAI8E&#10;AAAOAAAAAAAAAAEAIAAAACYBAABkcnMvZTJvRG9jLnhtbFBLBQYAAAAABgAGAFkBAADpBQAAAAA=&#10;">
                <v:fill on="t" focussize="0,0"/>
                <v:stroke on="f" weight="0.5pt"/>
                <v:imagedata o:title=""/>
                <o:lock v:ext="edit" aspectratio="f"/>
                <v:textbox>
                  <w:txbxContent>
                    <w:p>
                      <w:pPr>
                        <w:rPr>
                          <w:rFonts w:hint="eastAsia" w:eastAsiaTheme="minorEastAsia"/>
                          <w:b w:val="0"/>
                          <w:bCs/>
                          <w:sz w:val="18"/>
                          <w:szCs w:val="18"/>
                          <w:lang w:val="en-US" w:eastAsia="zh-CN"/>
                        </w:rPr>
                      </w:pPr>
                      <w:r>
                        <w:rPr>
                          <w:rFonts w:ascii="Times New Roman" w:hAnsi="Times New Roman" w:cs="Times New Roman"/>
                          <w:b w:val="0"/>
                          <w:bCs/>
                          <w:kern w:val="44"/>
                          <w:sz w:val="18"/>
                          <w:szCs w:val="18"/>
                        </w:rPr>
                        <w:t xml:space="preserve">Figure </w:t>
                      </w:r>
                      <w:r>
                        <w:rPr>
                          <w:rFonts w:hint="eastAsia" w:ascii="Times New Roman" w:hAnsi="Times New Roman" w:cs="Times New Roman"/>
                          <w:b w:val="0"/>
                          <w:bCs/>
                          <w:kern w:val="44"/>
                          <w:sz w:val="18"/>
                          <w:szCs w:val="18"/>
                          <w:lang w:val="en-US" w:eastAsia="zh-CN"/>
                        </w:rPr>
                        <w:t>S</w:t>
                      </w:r>
                      <w:r>
                        <w:rPr>
                          <w:rFonts w:ascii="Times New Roman" w:hAnsi="Times New Roman" w:cs="Times New Roman"/>
                          <w:b w:val="0"/>
                          <w:bCs/>
                          <w:kern w:val="44"/>
                          <w:sz w:val="18"/>
                          <w:szCs w:val="18"/>
                        </w:rPr>
                        <w:t xml:space="preserve">1. </w:t>
                      </w:r>
                      <w:r>
                        <w:rPr>
                          <w:rFonts w:hint="eastAsia" w:ascii="Times New Roman" w:hAnsi="Times New Roman" w:cs="Times New Roman"/>
                          <w:b w:val="0"/>
                          <w:bCs/>
                          <w:kern w:val="44"/>
                          <w:sz w:val="18"/>
                          <w:szCs w:val="18"/>
                          <w:lang w:val="en-US" w:eastAsia="zh-CN"/>
                        </w:rPr>
                        <w:t xml:space="preserve">A </w:t>
                      </w:r>
                      <w:r>
                        <w:rPr>
                          <w:rFonts w:ascii="Times New Roman" w:hAnsi="Times New Roman" w:cs="Times New Roman"/>
                          <w:b w:val="0"/>
                          <w:bCs/>
                          <w:kern w:val="44"/>
                          <w:sz w:val="18"/>
                          <w:szCs w:val="18"/>
                        </w:rPr>
                        <w:t>Solid nodules of the right lung</w:t>
                      </w:r>
                      <w:r>
                        <w:rPr>
                          <w:rFonts w:hint="eastAsia" w:ascii="Times New Roman" w:hAnsi="Times New Roman" w:cs="Times New Roman"/>
                          <w:b w:val="0"/>
                          <w:bCs/>
                          <w:kern w:val="44"/>
                          <w:sz w:val="18"/>
                          <w:szCs w:val="18"/>
                          <w:lang w:val="en-US" w:eastAsia="zh-CN"/>
                        </w:rPr>
                        <w:t xml:space="preserve">   B </w:t>
                      </w:r>
                      <w:r>
                        <w:rPr>
                          <w:rFonts w:ascii="Times New Roman" w:hAnsi="Times New Roman" w:cs="Times New Roman"/>
                          <w:b w:val="0"/>
                          <w:bCs/>
                          <w:kern w:val="44"/>
                          <w:sz w:val="18"/>
                          <w:szCs w:val="18"/>
                        </w:rPr>
                        <w:t>Partial solid nodules of the right lung</w:t>
                      </w:r>
                      <w:r>
                        <w:rPr>
                          <w:rFonts w:hint="eastAsia" w:ascii="Times New Roman" w:hAnsi="Times New Roman" w:cs="Times New Roman"/>
                          <w:b w:val="0"/>
                          <w:bCs/>
                          <w:kern w:val="44"/>
                          <w:sz w:val="18"/>
                          <w:szCs w:val="18"/>
                          <w:lang w:val="en-US" w:eastAsia="zh-CN"/>
                        </w:rPr>
                        <w:t xml:space="preserve">  C </w:t>
                      </w:r>
                      <w:r>
                        <w:rPr>
                          <w:rFonts w:ascii="Times New Roman" w:hAnsi="Times New Roman" w:cs="Times New Roman"/>
                          <w:b w:val="0"/>
                          <w:bCs/>
                          <w:kern w:val="44"/>
                          <w:sz w:val="18"/>
                          <w:szCs w:val="18"/>
                        </w:rPr>
                        <w:t>Pure ground glass nodules of right lung</w:t>
                      </w:r>
                    </w:p>
                  </w:txbxContent>
                </v:textbox>
              </v:shape>
            </w:pict>
          </mc:Fallback>
        </mc:AlternateContent>
      </w:r>
      <w:r>
        <w:rPr>
          <w:rFonts w:hint="default" w:ascii="Times New Roman" w:hAnsi="Times New Roman" w:cs="Times New Roman"/>
          <w:b/>
          <w:bCs/>
          <w:sz w:val="20"/>
          <w:szCs w:val="20"/>
          <w:lang w:val="en-US" w:eastAsia="zh-CN"/>
        </w:rPr>
        <w:drawing>
          <wp:inline distT="0" distB="0" distL="114300" distR="114300">
            <wp:extent cx="5478145" cy="3081655"/>
            <wp:effectExtent l="0" t="0" r="8255" b="4445"/>
            <wp:docPr id="3" name="图片 3" descr="Figure 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gure S1"/>
                    <pic:cNvPicPr>
                      <a:picLocks noChangeAspect="1"/>
                    </pic:cNvPicPr>
                  </pic:nvPicPr>
                  <pic:blipFill>
                    <a:blip r:embed="rId6"/>
                    <a:stretch>
                      <a:fillRect/>
                    </a:stretch>
                  </pic:blipFill>
                  <pic:spPr>
                    <a:xfrm>
                      <a:off x="0" y="0"/>
                      <a:ext cx="5478145" cy="3081655"/>
                    </a:xfrm>
                    <a:prstGeom prst="rect">
                      <a:avLst/>
                    </a:prstGeom>
                  </pic:spPr>
                </pic:pic>
              </a:graphicData>
            </a:graphic>
          </wp:inline>
        </w:drawing>
      </w:r>
    </w:p>
    <w:p>
      <w:pPr>
        <w:bidi w:val="0"/>
        <w:rPr>
          <w:rFonts w:hint="default" w:ascii="Times New Roman" w:hAnsi="Times New Roman" w:cs="Times New Roman" w:eastAsiaTheme="minorEastAsia"/>
          <w:kern w:val="2"/>
          <w:sz w:val="20"/>
          <w:szCs w:val="20"/>
          <w:lang w:val="en-US" w:eastAsia="zh-CN" w:bidi="ar-SA"/>
        </w:rPr>
      </w:pPr>
    </w:p>
    <w:p>
      <w:pPr>
        <w:bidi w:val="0"/>
        <w:rPr>
          <w:rFonts w:hint="default" w:ascii="Times New Roman" w:hAnsi="Times New Roman" w:cs="Times New Roman"/>
          <w:sz w:val="20"/>
          <w:szCs w:val="20"/>
          <w:lang w:val="en-US" w:eastAsia="zh-CN"/>
        </w:rPr>
      </w:pPr>
    </w:p>
    <w:p>
      <w:pPr>
        <w:widowControl/>
        <w:spacing w:line="360" w:lineRule="auto"/>
        <w:jc w:val="left"/>
        <w:rPr>
          <w:rFonts w:hint="default" w:ascii="Times New Roman" w:hAnsi="Times New Roman" w:cs="Times New Roman" w:eastAsiaTheme="minorEastAsia"/>
          <w:b/>
          <w:kern w:val="44"/>
          <w:sz w:val="20"/>
          <w:szCs w:val="20"/>
          <w:lang w:val="en-US" w:eastAsia="zh-CN"/>
        </w:rPr>
      </w:pPr>
      <w:r>
        <w:rPr>
          <w:rFonts w:hint="default" w:ascii="Times New Roman" w:hAnsi="Times New Roman" w:cs="Times New Roman"/>
          <w:b/>
          <w:kern w:val="44"/>
          <w:sz w:val="20"/>
          <w:szCs w:val="20"/>
        </w:rPr>
        <w:t>A. Solid nodules of the right lung</w:t>
      </w:r>
      <w:r>
        <w:rPr>
          <w:rFonts w:hint="default" w:ascii="Times New Roman" w:hAnsi="Times New Roman" w:cs="Times New Roman"/>
          <w:b/>
          <w:kern w:val="44"/>
          <w:sz w:val="20"/>
          <w:szCs w:val="20"/>
          <w:lang w:val="en-US" w:eastAsia="zh-CN"/>
        </w:rPr>
        <w:t xml:space="preserve"> </w:t>
      </w:r>
    </w:p>
    <w:p>
      <w:pPr>
        <w:widowControl/>
        <w:spacing w:line="360" w:lineRule="auto"/>
        <w:jc w:val="left"/>
        <w:rPr>
          <w:rFonts w:hint="default" w:ascii="Times New Roman" w:hAnsi="Times New Roman" w:cs="Times New Roman"/>
          <w:b/>
          <w:kern w:val="44"/>
          <w:sz w:val="20"/>
          <w:szCs w:val="20"/>
        </w:rPr>
      </w:pPr>
      <w:r>
        <w:rPr>
          <w:rFonts w:hint="default" w:ascii="Times New Roman" w:hAnsi="Times New Roman" w:cs="Times New Roman"/>
          <w:b/>
          <w:kern w:val="44"/>
          <w:sz w:val="20"/>
          <w:szCs w:val="20"/>
        </w:rPr>
        <w:t>B. Partial solid nodules of the right lung</w:t>
      </w:r>
    </w:p>
    <w:p>
      <w:pPr>
        <w:widowControl/>
        <w:spacing w:line="360" w:lineRule="auto"/>
        <w:jc w:val="left"/>
        <w:rPr>
          <w:rFonts w:hint="default" w:ascii="Times New Roman" w:hAnsi="Times New Roman" w:cs="Times New Roman"/>
          <w:b/>
          <w:kern w:val="44"/>
          <w:sz w:val="20"/>
          <w:szCs w:val="20"/>
        </w:rPr>
      </w:pPr>
      <w:r>
        <w:rPr>
          <w:rFonts w:hint="default" w:ascii="Times New Roman" w:hAnsi="Times New Roman" w:cs="Times New Roman"/>
          <w:b/>
          <w:kern w:val="44"/>
          <w:sz w:val="20"/>
          <w:szCs w:val="20"/>
        </w:rPr>
        <w:t>C. Pure ground glass nodules of right lung</w:t>
      </w:r>
    </w:p>
    <w:p>
      <w:pPr>
        <w:bidi w:val="0"/>
        <w:ind w:firstLine="257" w:firstLineChars="0"/>
        <w:jc w:val="left"/>
        <w:rPr>
          <w:rFonts w:hint="default" w:ascii="Times New Roman" w:hAnsi="Times New Roman" w:cs="Times New Roman"/>
          <w:sz w:val="20"/>
          <w:szCs w:val="20"/>
          <w:lang w:val="en-US" w:eastAsia="zh-CN"/>
        </w:rPr>
      </w:pPr>
    </w:p>
    <w:p>
      <w:pPr>
        <w:bidi w:val="0"/>
        <w:rPr>
          <w:rFonts w:hint="default" w:ascii="Times New Roman" w:hAnsi="Times New Roman" w:cs="Times New Roman" w:eastAsiaTheme="minorEastAsia"/>
          <w:kern w:val="2"/>
          <w:sz w:val="20"/>
          <w:szCs w:val="20"/>
          <w:lang w:val="en-US" w:eastAsia="zh-CN" w:bidi="ar-SA"/>
        </w:rPr>
      </w:pPr>
    </w:p>
    <w:p>
      <w:pPr>
        <w:bidi w:val="0"/>
        <w:rPr>
          <w:rFonts w:hint="default" w:ascii="Times New Roman" w:hAnsi="Times New Roman" w:cs="Times New Roman"/>
          <w:sz w:val="20"/>
          <w:szCs w:val="20"/>
          <w:lang w:val="en-US" w:eastAsia="zh-CN"/>
        </w:rPr>
      </w:pPr>
    </w:p>
    <w:p>
      <w:pPr>
        <w:bidi w:val="0"/>
        <w:rPr>
          <w:rFonts w:hint="default" w:ascii="Times New Roman" w:hAnsi="Times New Roman" w:cs="Times New Roman"/>
          <w:sz w:val="20"/>
          <w:szCs w:val="20"/>
          <w:lang w:val="en-US" w:eastAsia="zh-CN"/>
        </w:rPr>
      </w:pPr>
    </w:p>
    <w:p>
      <w:pPr>
        <w:bidi w:val="0"/>
        <w:rPr>
          <w:rFonts w:hint="default" w:ascii="Times New Roman" w:hAnsi="Times New Roman" w:cs="Times New Roman"/>
          <w:sz w:val="20"/>
          <w:szCs w:val="20"/>
          <w:lang w:val="en-US" w:eastAsia="zh-CN"/>
        </w:rPr>
      </w:pPr>
    </w:p>
    <w:p>
      <w:pPr>
        <w:bidi w:val="0"/>
        <w:rPr>
          <w:rFonts w:hint="default" w:ascii="Times New Roman" w:hAnsi="Times New Roman" w:cs="Times New Roman"/>
          <w:sz w:val="20"/>
          <w:szCs w:val="20"/>
          <w:lang w:val="en-US" w:eastAsia="zh-CN"/>
        </w:rPr>
      </w:pPr>
    </w:p>
    <w:p>
      <w:pPr>
        <w:bidi w:val="0"/>
        <w:rPr>
          <w:rFonts w:hint="default" w:ascii="Times New Roman" w:hAnsi="Times New Roman" w:cs="Times New Roman"/>
          <w:sz w:val="20"/>
          <w:szCs w:val="20"/>
          <w:lang w:val="en-US" w:eastAsia="zh-CN"/>
        </w:rPr>
      </w:pPr>
    </w:p>
    <w:p>
      <w:pPr>
        <w:bidi w:val="0"/>
        <w:rPr>
          <w:rFonts w:hint="default" w:ascii="Times New Roman" w:hAnsi="Times New Roman" w:cs="Times New Roman"/>
          <w:sz w:val="20"/>
          <w:szCs w:val="20"/>
          <w:lang w:val="en-US" w:eastAsia="zh-CN"/>
        </w:rPr>
      </w:pPr>
    </w:p>
    <w:p>
      <w:pPr>
        <w:bidi w:val="0"/>
        <w:rPr>
          <w:rFonts w:hint="default" w:ascii="Times New Roman" w:hAnsi="Times New Roman" w:cs="Times New Roman"/>
          <w:sz w:val="20"/>
          <w:szCs w:val="20"/>
          <w:lang w:val="en-US" w:eastAsia="zh-CN"/>
        </w:rPr>
      </w:pPr>
    </w:p>
    <w:p>
      <w:pPr>
        <w:bidi w:val="0"/>
        <w:rPr>
          <w:rFonts w:hint="default" w:ascii="Times New Roman" w:hAnsi="Times New Roman" w:cs="Times New Roman"/>
          <w:sz w:val="20"/>
          <w:szCs w:val="20"/>
          <w:lang w:val="en-US" w:eastAsia="zh-CN"/>
        </w:rPr>
      </w:pPr>
    </w:p>
    <w:p>
      <w:pPr>
        <w:bidi w:val="0"/>
        <w:rPr>
          <w:rFonts w:hint="default" w:ascii="Times New Roman" w:hAnsi="Times New Roman" w:cs="Times New Roman"/>
          <w:sz w:val="20"/>
          <w:szCs w:val="20"/>
          <w:lang w:val="en-US" w:eastAsia="zh-CN"/>
        </w:rPr>
      </w:pPr>
    </w:p>
    <w:p>
      <w:pPr>
        <w:bidi w:val="0"/>
        <w:rPr>
          <w:rFonts w:hint="default" w:ascii="Times New Roman" w:hAnsi="Times New Roman" w:cs="Times New Roman"/>
          <w:sz w:val="20"/>
          <w:szCs w:val="20"/>
          <w:lang w:val="en-US" w:eastAsia="zh-CN"/>
        </w:rPr>
      </w:pPr>
    </w:p>
    <w:p>
      <w:pPr>
        <w:bidi w:val="0"/>
        <w:jc w:val="left"/>
        <w:rPr>
          <w:rFonts w:hint="default" w:ascii="Times New Roman" w:hAnsi="Times New Roman" w:cs="Times New Roman"/>
          <w:sz w:val="20"/>
          <w:szCs w:val="20"/>
          <w:lang w:val="en-US" w:eastAsia="zh-CN"/>
        </w:rPr>
      </w:pPr>
    </w:p>
    <w:p>
      <w:pPr>
        <w:bidi w:val="0"/>
        <w:ind w:firstLine="390" w:firstLineChars="0"/>
        <w:jc w:val="left"/>
        <w:rPr>
          <w:rFonts w:hint="default" w:ascii="Times New Roman" w:hAnsi="Times New Roman" w:cs="Times New Roman"/>
          <w:sz w:val="20"/>
          <w:szCs w:val="20"/>
          <w:lang w:val="en-US" w:eastAsia="zh-CN"/>
        </w:rPr>
      </w:pPr>
    </w:p>
    <w:p>
      <w:pPr>
        <w:bidi w:val="0"/>
        <w:ind w:firstLine="390" w:firstLineChars="0"/>
        <w:jc w:val="left"/>
        <w:rPr>
          <w:rFonts w:hint="default" w:ascii="Times New Roman" w:hAnsi="Times New Roman" w:cs="Times New Roman"/>
          <w:sz w:val="20"/>
          <w:szCs w:val="20"/>
          <w:lang w:val="en-US" w:eastAsia="zh-CN"/>
        </w:rPr>
      </w:pPr>
    </w:p>
    <w:p>
      <w:pPr>
        <w:bidi w:val="0"/>
        <w:ind w:firstLine="390" w:firstLineChars="0"/>
        <w:jc w:val="left"/>
        <w:rPr>
          <w:rFonts w:hint="default" w:ascii="Times New Roman" w:hAnsi="Times New Roman" w:cs="Times New Roman"/>
          <w:sz w:val="20"/>
          <w:szCs w:val="20"/>
          <w:lang w:val="en-US" w:eastAsia="zh-CN"/>
        </w:rPr>
      </w:pPr>
    </w:p>
    <w:p>
      <w:pPr>
        <w:bidi w:val="0"/>
        <w:ind w:firstLine="390" w:firstLineChars="0"/>
        <w:jc w:val="left"/>
        <w:rPr>
          <w:rFonts w:hint="default" w:ascii="Times New Roman" w:hAnsi="Times New Roman" w:cs="Times New Roman"/>
          <w:sz w:val="20"/>
          <w:szCs w:val="20"/>
          <w:lang w:val="en-US" w:eastAsia="zh-CN"/>
        </w:rPr>
      </w:pPr>
    </w:p>
    <w:p>
      <w:pPr>
        <w:bidi w:val="0"/>
        <w:ind w:firstLine="390" w:firstLineChars="0"/>
        <w:jc w:val="left"/>
        <w:rPr>
          <w:rFonts w:hint="default" w:ascii="Times New Roman" w:hAnsi="Times New Roman" w:cs="Times New Roman"/>
          <w:sz w:val="20"/>
          <w:szCs w:val="20"/>
          <w:lang w:val="en-US" w:eastAsia="zh-CN"/>
        </w:rPr>
      </w:pPr>
    </w:p>
    <w:tbl>
      <w:tblPr>
        <w:tblStyle w:val="5"/>
        <w:tblW w:w="8300" w:type="dxa"/>
        <w:tblInd w:w="96" w:type="dxa"/>
        <w:tblLayout w:type="autofit"/>
        <w:tblCellMar>
          <w:top w:w="0" w:type="dxa"/>
          <w:left w:w="108" w:type="dxa"/>
          <w:bottom w:w="0" w:type="dxa"/>
          <w:right w:w="108" w:type="dxa"/>
        </w:tblCellMar>
      </w:tblPr>
      <w:tblGrid>
        <w:gridCol w:w="3843"/>
        <w:gridCol w:w="1607"/>
        <w:gridCol w:w="1715"/>
        <w:gridCol w:w="1135"/>
      </w:tblGrid>
      <w:tr>
        <w:tblPrEx>
          <w:tblCellMar>
            <w:top w:w="0" w:type="dxa"/>
            <w:left w:w="108" w:type="dxa"/>
            <w:bottom w:w="0" w:type="dxa"/>
            <w:right w:w="108" w:type="dxa"/>
          </w:tblCellMar>
        </w:tblPrEx>
        <w:trPr>
          <w:trHeight w:val="683" w:hRule="atLeast"/>
        </w:trPr>
        <w:tc>
          <w:tcPr>
            <w:tcW w:w="8300" w:type="dxa"/>
            <w:gridSpan w:val="4"/>
            <w:tcBorders>
              <w:top w:val="nil"/>
              <w:left w:val="nil"/>
              <w:bottom w:val="nil"/>
              <w:right w:val="nil"/>
            </w:tcBorders>
            <w:noWrap/>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rPr>
              <w:t>Supplementary table 1. Lung cancer detection of chest LDCT in different screening result groups of healthy individuals.</w:t>
            </w:r>
          </w:p>
        </w:tc>
      </w:tr>
      <w:tr>
        <w:tblPrEx>
          <w:tblCellMar>
            <w:top w:w="0" w:type="dxa"/>
            <w:left w:w="108" w:type="dxa"/>
            <w:bottom w:w="0" w:type="dxa"/>
            <w:right w:w="108" w:type="dxa"/>
          </w:tblCellMar>
        </w:tblPrEx>
        <w:trPr>
          <w:trHeight w:val="418" w:hRule="atLeast"/>
        </w:trPr>
        <w:tc>
          <w:tcPr>
            <w:tcW w:w="3843" w:type="dxa"/>
            <w:vMerge w:val="restart"/>
            <w:tcBorders>
              <w:top w:val="single" w:color="000000" w:sz="4" w:space="0"/>
              <w:left w:val="nil"/>
              <w:bottom w:val="single" w:color="000000" w:sz="4" w:space="0"/>
              <w:right w:val="nil"/>
            </w:tcBorders>
            <w:noWrap/>
            <w:vAlign w:val="center"/>
          </w:tcPr>
          <w:p>
            <w:pPr>
              <w:keepNext w:val="0"/>
              <w:keepLines w:val="0"/>
              <w:widowControl/>
              <w:suppressLineNumbers w:val="0"/>
              <w:spacing w:before="0" w:beforeAutospacing="0" w:after="0" w:afterAutospacing="0" w:line="360" w:lineRule="auto"/>
              <w:ind w:left="0" w:right="0"/>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Characteristics</w:t>
            </w:r>
          </w:p>
        </w:tc>
        <w:tc>
          <w:tcPr>
            <w:tcW w:w="1607" w:type="dxa"/>
            <w:tcBorders>
              <w:top w:val="single" w:color="000000" w:sz="4" w:space="0"/>
              <w:left w:val="nil"/>
              <w:bottom w:val="nil"/>
              <w:right w:val="nil"/>
            </w:tcBorders>
            <w:noWrap/>
            <w:vAlign w:val="center"/>
          </w:tcPr>
          <w:p>
            <w:pPr>
              <w:keepNext w:val="0"/>
              <w:keepLines w:val="0"/>
              <w:widowControl/>
              <w:suppressLineNumbers w:val="0"/>
              <w:spacing w:before="0" w:beforeAutospacing="0" w:after="0" w:afterAutospacing="0" w:line="360" w:lineRule="auto"/>
              <w:ind w:left="0" w:right="0"/>
              <w:jc w:val="center"/>
              <w:textAlignment w:val="center"/>
              <w:rPr>
                <w:rFonts w:hint="default" w:ascii="Times New Roman" w:hAnsi="Times New Roman" w:cs="Times New Roman"/>
                <w:color w:val="000000"/>
                <w:sz w:val="20"/>
                <w:szCs w:val="20"/>
              </w:rPr>
            </w:pPr>
            <w:r>
              <w:rPr>
                <w:rFonts w:hint="default" w:ascii="Times New Roman" w:hAnsi="Times New Roman" w:cs="Times New Roman"/>
                <w:bCs/>
                <w:kern w:val="44"/>
                <w:sz w:val="20"/>
                <w:szCs w:val="20"/>
              </w:rPr>
              <w:t>thin-slice</w:t>
            </w:r>
            <w:r>
              <w:rPr>
                <w:rFonts w:hint="default" w:ascii="Times New Roman" w:hAnsi="Times New Roman" w:cs="Times New Roman"/>
                <w:color w:val="000000"/>
                <w:kern w:val="0"/>
                <w:sz w:val="20"/>
                <w:szCs w:val="20"/>
              </w:rPr>
              <w:t xml:space="preserve"> (%)</w:t>
            </w:r>
          </w:p>
        </w:tc>
        <w:tc>
          <w:tcPr>
            <w:tcW w:w="1715" w:type="dxa"/>
            <w:tcBorders>
              <w:top w:val="single" w:color="000000" w:sz="4" w:space="0"/>
              <w:left w:val="nil"/>
              <w:bottom w:val="nil"/>
              <w:right w:val="nil"/>
            </w:tcBorders>
            <w:noWrap/>
            <w:vAlign w:val="center"/>
          </w:tcPr>
          <w:p>
            <w:pPr>
              <w:keepNext w:val="0"/>
              <w:keepLines w:val="0"/>
              <w:widowControl/>
              <w:suppressLineNumbers w:val="0"/>
              <w:spacing w:before="0" w:beforeAutospacing="0" w:after="0" w:afterAutospacing="0" w:line="360" w:lineRule="auto"/>
              <w:ind w:left="0" w:right="0"/>
              <w:jc w:val="center"/>
              <w:textAlignment w:val="center"/>
              <w:rPr>
                <w:rFonts w:hint="default" w:ascii="Times New Roman" w:hAnsi="Times New Roman" w:cs="Times New Roman"/>
                <w:color w:val="000000"/>
                <w:sz w:val="20"/>
                <w:szCs w:val="20"/>
              </w:rPr>
            </w:pPr>
            <w:r>
              <w:rPr>
                <w:rFonts w:hint="default" w:ascii="Times New Roman" w:hAnsi="Times New Roman" w:cs="Times New Roman"/>
                <w:bCs/>
                <w:kern w:val="44"/>
                <w:sz w:val="20"/>
                <w:szCs w:val="20"/>
              </w:rPr>
              <w:t>thick-slice</w:t>
            </w:r>
            <w:r>
              <w:rPr>
                <w:rFonts w:hint="default" w:ascii="Times New Roman" w:hAnsi="Times New Roman" w:cs="Times New Roman"/>
                <w:color w:val="000000"/>
                <w:kern w:val="0"/>
                <w:sz w:val="20"/>
                <w:szCs w:val="20"/>
              </w:rPr>
              <w:t xml:space="preserve"> (%)</w:t>
            </w:r>
          </w:p>
        </w:tc>
        <w:tc>
          <w:tcPr>
            <w:tcW w:w="1135" w:type="dxa"/>
            <w:vMerge w:val="restart"/>
            <w:tcBorders>
              <w:top w:val="single" w:color="000000" w:sz="4" w:space="0"/>
              <w:left w:val="nil"/>
              <w:bottom w:val="single" w:color="000000" w:sz="4" w:space="0"/>
              <w:right w:val="nil"/>
            </w:tcBorders>
            <w:noWrap/>
            <w:vAlign w:val="center"/>
          </w:tcPr>
          <w:p>
            <w:pPr>
              <w:keepNext w:val="0"/>
              <w:keepLines w:val="0"/>
              <w:widowControl/>
              <w:suppressLineNumbers w:val="0"/>
              <w:spacing w:before="0" w:beforeAutospacing="0" w:after="0" w:afterAutospacing="0" w:line="360" w:lineRule="auto"/>
              <w:ind w:left="0" w:right="0"/>
              <w:jc w:val="center"/>
              <w:textAlignment w:val="center"/>
              <w:rPr>
                <w:rFonts w:hint="default" w:ascii="Times New Roman" w:hAnsi="Times New Roman" w:cs="Times New Roman"/>
                <w:i/>
                <w:iCs/>
                <w:color w:val="000000"/>
                <w:sz w:val="20"/>
                <w:szCs w:val="20"/>
              </w:rPr>
            </w:pPr>
            <w:r>
              <w:rPr>
                <w:rFonts w:hint="default" w:ascii="Times New Roman" w:hAnsi="Times New Roman" w:cs="Times New Roman"/>
                <w:b/>
                <w:bCs/>
                <w:i/>
                <w:iCs/>
                <w:color w:val="000000"/>
                <w:kern w:val="0"/>
                <w:sz w:val="20"/>
                <w:szCs w:val="20"/>
              </w:rPr>
              <w:t>P</w:t>
            </w:r>
            <w:r>
              <w:rPr>
                <w:rFonts w:hint="default" w:ascii="Times New Roman" w:hAnsi="Times New Roman" w:cs="Times New Roman"/>
                <w:b/>
                <w:bCs/>
                <w:i/>
                <w:iCs/>
                <w:color w:val="000000"/>
                <w:kern w:val="0"/>
                <w:sz w:val="20"/>
                <w:szCs w:val="20"/>
                <w:lang w:val="en-US" w:eastAsia="zh-CN"/>
              </w:rPr>
              <w:t>-value</w:t>
            </w:r>
          </w:p>
        </w:tc>
      </w:tr>
      <w:tr>
        <w:tblPrEx>
          <w:tblCellMar>
            <w:top w:w="0" w:type="dxa"/>
            <w:left w:w="108" w:type="dxa"/>
            <w:bottom w:w="0" w:type="dxa"/>
            <w:right w:w="108" w:type="dxa"/>
          </w:tblCellMar>
        </w:tblPrEx>
        <w:trPr>
          <w:trHeight w:val="418" w:hRule="atLeast"/>
        </w:trPr>
        <w:tc>
          <w:tcPr>
            <w:tcW w:w="3843" w:type="dxa"/>
            <w:vMerge w:val="continue"/>
            <w:tcBorders>
              <w:top w:val="single" w:color="000000" w:sz="4" w:space="0"/>
              <w:left w:val="nil"/>
              <w:bottom w:val="single" w:color="000000" w:sz="4" w:space="0"/>
              <w:right w:val="nil"/>
            </w:tcBorders>
            <w:vAlign w:val="center"/>
          </w:tcPr>
          <w:p>
            <w:pPr>
              <w:keepNext w:val="0"/>
              <w:keepLines w:val="0"/>
              <w:widowControl/>
              <w:suppressLineNumbers w:val="0"/>
              <w:spacing w:before="0" w:beforeAutospacing="0" w:after="0" w:afterAutospacing="0" w:line="360" w:lineRule="auto"/>
              <w:ind w:left="0" w:right="0"/>
              <w:jc w:val="left"/>
              <w:rPr>
                <w:rFonts w:hint="default" w:ascii="Times New Roman" w:hAnsi="Times New Roman" w:eastAsia="宋体" w:cs="Times New Roman"/>
                <w:color w:val="000000"/>
                <w:sz w:val="20"/>
                <w:szCs w:val="20"/>
              </w:rPr>
            </w:pPr>
          </w:p>
        </w:tc>
        <w:tc>
          <w:tcPr>
            <w:tcW w:w="1607" w:type="dxa"/>
            <w:tcBorders>
              <w:top w:val="nil"/>
              <w:left w:val="nil"/>
              <w:bottom w:val="single" w:color="000000" w:sz="4" w:space="0"/>
              <w:right w:val="nil"/>
            </w:tcBorders>
            <w:noWrap/>
            <w:vAlign w:val="center"/>
          </w:tcPr>
          <w:p>
            <w:pPr>
              <w:keepNext w:val="0"/>
              <w:keepLines w:val="0"/>
              <w:widowControl/>
              <w:suppressLineNumbers w:val="0"/>
              <w:spacing w:before="0" w:beforeAutospacing="0" w:after="0" w:afterAutospacing="0" w:line="360" w:lineRule="auto"/>
              <w:ind w:left="0" w:right="0"/>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(N=132)</w:t>
            </w:r>
          </w:p>
        </w:tc>
        <w:tc>
          <w:tcPr>
            <w:tcW w:w="1715" w:type="dxa"/>
            <w:tcBorders>
              <w:top w:val="nil"/>
              <w:left w:val="nil"/>
              <w:bottom w:val="single" w:color="000000" w:sz="4" w:space="0"/>
              <w:right w:val="nil"/>
            </w:tcBorders>
            <w:noWrap/>
            <w:vAlign w:val="center"/>
          </w:tcPr>
          <w:p>
            <w:pPr>
              <w:keepNext w:val="0"/>
              <w:keepLines w:val="0"/>
              <w:widowControl/>
              <w:suppressLineNumbers w:val="0"/>
              <w:spacing w:before="0" w:beforeAutospacing="0" w:after="0" w:afterAutospacing="0" w:line="360" w:lineRule="auto"/>
              <w:ind w:left="0" w:right="0"/>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(N=121)</w:t>
            </w:r>
          </w:p>
        </w:tc>
        <w:tc>
          <w:tcPr>
            <w:tcW w:w="1135" w:type="dxa"/>
            <w:vMerge w:val="continue"/>
            <w:tcBorders>
              <w:top w:val="single" w:color="000000" w:sz="4" w:space="0"/>
              <w:left w:val="nil"/>
              <w:bottom w:val="single" w:color="000000" w:sz="4" w:space="0"/>
              <w:right w:val="nil"/>
            </w:tcBorders>
            <w:vAlign w:val="center"/>
          </w:tcPr>
          <w:p>
            <w:pPr>
              <w:keepNext w:val="0"/>
              <w:keepLines w:val="0"/>
              <w:widowControl/>
              <w:suppressLineNumbers w:val="0"/>
              <w:spacing w:before="0" w:beforeAutospacing="0" w:after="0" w:afterAutospacing="0" w:line="360" w:lineRule="auto"/>
              <w:ind w:left="0" w:right="0"/>
              <w:jc w:val="left"/>
              <w:rPr>
                <w:rFonts w:hint="default" w:ascii="Times New Roman" w:hAnsi="Times New Roman" w:eastAsia="宋体" w:cs="Times New Roman"/>
                <w:i/>
                <w:iCs/>
                <w:color w:val="000000"/>
                <w:sz w:val="20"/>
                <w:szCs w:val="20"/>
              </w:rPr>
            </w:pPr>
          </w:p>
        </w:tc>
      </w:tr>
      <w:tr>
        <w:tblPrEx>
          <w:tblCellMar>
            <w:top w:w="0" w:type="dxa"/>
            <w:left w:w="108" w:type="dxa"/>
            <w:bottom w:w="0" w:type="dxa"/>
            <w:right w:w="108" w:type="dxa"/>
          </w:tblCellMar>
        </w:tblPrEx>
        <w:trPr>
          <w:trHeight w:val="617" w:hRule="atLeast"/>
        </w:trPr>
        <w:tc>
          <w:tcPr>
            <w:tcW w:w="3843" w:type="dxa"/>
            <w:tcBorders>
              <w:top w:val="nil"/>
              <w:left w:val="nil"/>
              <w:bottom w:val="nil"/>
              <w:right w:val="nil"/>
            </w:tcBorders>
            <w:noWrap/>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cs="Times New Roman"/>
                <w:b/>
                <w:bCs/>
                <w:color w:val="000000"/>
                <w:sz w:val="20"/>
                <w:szCs w:val="20"/>
              </w:rPr>
            </w:pPr>
            <w:r>
              <w:rPr>
                <w:rFonts w:hint="default" w:ascii="Times New Roman" w:hAnsi="Times New Roman" w:cs="Times New Roman"/>
                <w:b/>
                <w:bCs/>
                <w:color w:val="000000"/>
                <w:kern w:val="0"/>
                <w:sz w:val="20"/>
                <w:szCs w:val="20"/>
              </w:rPr>
              <w:t>Number of lung cancers detected</w:t>
            </w:r>
          </w:p>
        </w:tc>
        <w:tc>
          <w:tcPr>
            <w:tcW w:w="1607" w:type="dxa"/>
            <w:tcBorders>
              <w:top w:val="nil"/>
              <w:left w:val="nil"/>
              <w:bottom w:val="nil"/>
              <w:right w:val="nil"/>
            </w:tcBorders>
            <w:noWrap/>
            <w:vAlign w:val="center"/>
          </w:tcPr>
          <w:p>
            <w:pPr>
              <w:keepNext w:val="0"/>
              <w:keepLines w:val="0"/>
              <w:suppressLineNumbers w:val="0"/>
              <w:spacing w:before="0" w:beforeAutospacing="0" w:after="0" w:afterAutospacing="0" w:line="360" w:lineRule="auto"/>
              <w:ind w:left="0" w:right="0"/>
              <w:jc w:val="center"/>
              <w:rPr>
                <w:rFonts w:hint="default" w:ascii="Times New Roman" w:hAnsi="Times New Roman" w:cs="Times New Roman"/>
                <w:color w:val="000000"/>
                <w:sz w:val="20"/>
                <w:szCs w:val="20"/>
              </w:rPr>
            </w:pPr>
          </w:p>
        </w:tc>
        <w:tc>
          <w:tcPr>
            <w:tcW w:w="1715" w:type="dxa"/>
            <w:tcBorders>
              <w:top w:val="nil"/>
              <w:left w:val="nil"/>
              <w:bottom w:val="nil"/>
              <w:right w:val="nil"/>
            </w:tcBorders>
            <w:noWrap/>
            <w:vAlign w:val="center"/>
          </w:tcPr>
          <w:p>
            <w:pPr>
              <w:keepNext w:val="0"/>
              <w:keepLines w:val="0"/>
              <w:suppressLineNumbers w:val="0"/>
              <w:spacing w:before="0" w:beforeAutospacing="0" w:after="0" w:afterAutospacing="0" w:line="360" w:lineRule="auto"/>
              <w:ind w:left="0" w:right="0"/>
              <w:jc w:val="center"/>
              <w:rPr>
                <w:rFonts w:hint="default" w:ascii="Times New Roman" w:hAnsi="Times New Roman" w:cs="Times New Roman"/>
                <w:color w:val="000000"/>
                <w:sz w:val="20"/>
                <w:szCs w:val="20"/>
              </w:rPr>
            </w:pPr>
          </w:p>
        </w:tc>
        <w:tc>
          <w:tcPr>
            <w:tcW w:w="1135" w:type="dxa"/>
            <w:tcBorders>
              <w:top w:val="nil"/>
              <w:left w:val="nil"/>
              <w:bottom w:val="nil"/>
              <w:right w:val="nil"/>
            </w:tcBorders>
            <w:noWrap/>
            <w:vAlign w:val="center"/>
          </w:tcPr>
          <w:p>
            <w:pPr>
              <w:keepNext w:val="0"/>
              <w:keepLines w:val="0"/>
              <w:widowControl/>
              <w:suppressLineNumbers w:val="0"/>
              <w:spacing w:before="0" w:beforeAutospacing="0" w:after="0" w:afterAutospacing="0" w:line="360" w:lineRule="auto"/>
              <w:ind w:left="0" w:right="0"/>
              <w:jc w:val="center"/>
              <w:textAlignment w:val="center"/>
              <w:rPr>
                <w:rFonts w:hint="default" w:ascii="Times New Roman" w:hAnsi="Times New Roman" w:cs="Times New Roman"/>
                <w:color w:val="000000"/>
                <w:sz w:val="20"/>
                <w:szCs w:val="20"/>
              </w:rPr>
            </w:pPr>
            <w:r>
              <w:rPr>
                <w:rFonts w:hint="default" w:ascii="Times New Roman" w:hAnsi="Times New Roman" w:cs="Times New Roman"/>
                <w:i/>
                <w:iCs/>
                <w:sz w:val="20"/>
                <w:szCs w:val="20"/>
              </w:rPr>
              <w:t>&lt;</w:t>
            </w:r>
            <w:r>
              <w:rPr>
                <w:rFonts w:hint="default" w:ascii="Times New Roman" w:hAnsi="Times New Roman" w:cs="Times New Roman"/>
                <w:sz w:val="20"/>
                <w:szCs w:val="20"/>
              </w:rPr>
              <w:t xml:space="preserve"> 0.001</w:t>
            </w:r>
          </w:p>
        </w:tc>
      </w:tr>
      <w:tr>
        <w:tblPrEx>
          <w:tblCellMar>
            <w:top w:w="0" w:type="dxa"/>
            <w:left w:w="108" w:type="dxa"/>
            <w:bottom w:w="0" w:type="dxa"/>
            <w:right w:w="108" w:type="dxa"/>
          </w:tblCellMar>
        </w:tblPrEx>
        <w:trPr>
          <w:trHeight w:val="595" w:hRule="atLeast"/>
        </w:trPr>
        <w:tc>
          <w:tcPr>
            <w:tcW w:w="3843" w:type="dxa"/>
            <w:tcBorders>
              <w:top w:val="nil"/>
              <w:left w:val="nil"/>
              <w:bottom w:val="nil"/>
              <w:right w:val="nil"/>
            </w:tcBorders>
            <w:noWrap/>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Screening positive</w:t>
            </w:r>
          </w:p>
        </w:tc>
        <w:tc>
          <w:tcPr>
            <w:tcW w:w="1607" w:type="dxa"/>
            <w:tcBorders>
              <w:top w:val="nil"/>
              <w:left w:val="nil"/>
              <w:bottom w:val="nil"/>
              <w:right w:val="nil"/>
            </w:tcBorders>
            <w:noWrap/>
            <w:vAlign w:val="center"/>
          </w:tcPr>
          <w:p>
            <w:pPr>
              <w:keepNext w:val="0"/>
              <w:keepLines w:val="0"/>
              <w:widowControl/>
              <w:suppressLineNumbers w:val="0"/>
              <w:spacing w:before="0" w:beforeAutospacing="0" w:after="0" w:afterAutospacing="0" w:line="360" w:lineRule="auto"/>
              <w:ind w:left="0" w:right="0"/>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103 (78.0)</w:t>
            </w:r>
          </w:p>
        </w:tc>
        <w:tc>
          <w:tcPr>
            <w:tcW w:w="1715" w:type="dxa"/>
            <w:tcBorders>
              <w:top w:val="nil"/>
              <w:left w:val="nil"/>
              <w:bottom w:val="nil"/>
              <w:right w:val="nil"/>
            </w:tcBorders>
            <w:noWrap/>
            <w:vAlign w:val="center"/>
          </w:tcPr>
          <w:p>
            <w:pPr>
              <w:keepNext w:val="0"/>
              <w:keepLines w:val="0"/>
              <w:widowControl/>
              <w:suppressLineNumbers w:val="0"/>
              <w:spacing w:before="0" w:beforeAutospacing="0" w:after="0" w:afterAutospacing="0" w:line="360" w:lineRule="auto"/>
              <w:ind w:left="0" w:right="0"/>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64 (52.9)</w:t>
            </w:r>
          </w:p>
        </w:tc>
        <w:tc>
          <w:tcPr>
            <w:tcW w:w="1135" w:type="dxa"/>
            <w:tcBorders>
              <w:top w:val="nil"/>
              <w:left w:val="nil"/>
              <w:bottom w:val="nil"/>
              <w:right w:val="nil"/>
            </w:tcBorders>
            <w:noWrap/>
            <w:vAlign w:val="center"/>
          </w:tcPr>
          <w:p>
            <w:pPr>
              <w:keepNext w:val="0"/>
              <w:keepLines w:val="0"/>
              <w:suppressLineNumbers w:val="0"/>
              <w:spacing w:before="0" w:beforeAutospacing="0" w:after="0" w:afterAutospacing="0" w:line="360" w:lineRule="auto"/>
              <w:ind w:left="0" w:right="0"/>
              <w:jc w:val="center"/>
              <w:rPr>
                <w:rFonts w:hint="default" w:ascii="Times New Roman" w:hAnsi="Times New Roman" w:cs="Times New Roman"/>
                <w:color w:val="000000"/>
                <w:sz w:val="20"/>
                <w:szCs w:val="20"/>
              </w:rPr>
            </w:pPr>
          </w:p>
        </w:tc>
      </w:tr>
      <w:tr>
        <w:tblPrEx>
          <w:tblCellMar>
            <w:top w:w="0" w:type="dxa"/>
            <w:left w:w="108" w:type="dxa"/>
            <w:bottom w:w="0" w:type="dxa"/>
            <w:right w:w="108" w:type="dxa"/>
          </w:tblCellMar>
        </w:tblPrEx>
        <w:trPr>
          <w:trHeight w:val="617" w:hRule="atLeast"/>
        </w:trPr>
        <w:tc>
          <w:tcPr>
            <w:tcW w:w="3843" w:type="dxa"/>
            <w:tcBorders>
              <w:top w:val="nil"/>
              <w:left w:val="nil"/>
              <w:bottom w:val="single" w:color="000000" w:sz="4" w:space="0"/>
              <w:right w:val="nil"/>
            </w:tcBorders>
            <w:noWrap/>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Screening negative</w:t>
            </w:r>
          </w:p>
        </w:tc>
        <w:tc>
          <w:tcPr>
            <w:tcW w:w="1607" w:type="dxa"/>
            <w:tcBorders>
              <w:top w:val="nil"/>
              <w:left w:val="nil"/>
              <w:bottom w:val="single" w:color="000000" w:sz="4" w:space="0"/>
              <w:right w:val="nil"/>
            </w:tcBorders>
            <w:noWrap/>
            <w:vAlign w:val="center"/>
          </w:tcPr>
          <w:p>
            <w:pPr>
              <w:keepNext w:val="0"/>
              <w:keepLines w:val="0"/>
              <w:widowControl/>
              <w:suppressLineNumbers w:val="0"/>
              <w:spacing w:before="0" w:beforeAutospacing="0" w:after="0" w:afterAutospacing="0" w:line="360" w:lineRule="auto"/>
              <w:ind w:left="0" w:right="0"/>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21 (32.0)</w:t>
            </w:r>
          </w:p>
        </w:tc>
        <w:tc>
          <w:tcPr>
            <w:tcW w:w="1715" w:type="dxa"/>
            <w:tcBorders>
              <w:top w:val="nil"/>
              <w:left w:val="nil"/>
              <w:bottom w:val="single" w:color="000000" w:sz="4" w:space="0"/>
              <w:right w:val="nil"/>
            </w:tcBorders>
            <w:noWrap/>
            <w:vAlign w:val="center"/>
          </w:tcPr>
          <w:p>
            <w:pPr>
              <w:keepNext w:val="0"/>
              <w:keepLines w:val="0"/>
              <w:widowControl/>
              <w:suppressLineNumbers w:val="0"/>
              <w:spacing w:before="0" w:beforeAutospacing="0" w:after="0" w:afterAutospacing="0" w:line="360" w:lineRule="auto"/>
              <w:ind w:left="0" w:right="0"/>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57 (47.1)</w:t>
            </w:r>
          </w:p>
        </w:tc>
        <w:tc>
          <w:tcPr>
            <w:tcW w:w="1135" w:type="dxa"/>
            <w:tcBorders>
              <w:top w:val="nil"/>
              <w:left w:val="nil"/>
              <w:bottom w:val="single" w:color="000000" w:sz="4" w:space="0"/>
              <w:right w:val="nil"/>
            </w:tcBorders>
            <w:noWrap/>
            <w:vAlign w:val="center"/>
          </w:tcPr>
          <w:p>
            <w:pPr>
              <w:keepNext w:val="0"/>
              <w:keepLines w:val="0"/>
              <w:suppressLineNumbers w:val="0"/>
              <w:spacing w:before="0" w:beforeAutospacing="0" w:after="0" w:afterAutospacing="0" w:line="360" w:lineRule="auto"/>
              <w:ind w:left="0" w:right="0"/>
              <w:jc w:val="center"/>
              <w:rPr>
                <w:rFonts w:hint="default" w:ascii="Times New Roman" w:hAnsi="Times New Roman" w:cs="Times New Roman"/>
                <w:color w:val="000000"/>
                <w:sz w:val="20"/>
                <w:szCs w:val="20"/>
              </w:rPr>
            </w:pPr>
          </w:p>
        </w:tc>
      </w:tr>
    </w:tbl>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cs="Times New Roman"/>
          <w:b/>
          <w:bCs/>
          <w:color w:val="000000"/>
          <w:kern w:val="0"/>
          <w:sz w:val="20"/>
          <w:szCs w:val="20"/>
        </w:rPr>
        <w:sectPr>
          <w:footerReference r:id="rId3" w:type="default"/>
          <w:pgSz w:w="11906" w:h="16838"/>
          <w:pgMar w:top="1440" w:right="1800" w:bottom="1440" w:left="1800" w:header="851" w:footer="992" w:gutter="0"/>
          <w:pgNumType w:fmt="decimal"/>
          <w:cols w:space="425" w:num="1"/>
          <w:docGrid w:type="lines" w:linePitch="312" w:charSpace="0"/>
        </w:sectPr>
      </w:pPr>
    </w:p>
    <w:tbl>
      <w:tblPr>
        <w:tblStyle w:val="5"/>
        <w:tblW w:w="14390" w:type="dxa"/>
        <w:tblInd w:w="-459" w:type="dxa"/>
        <w:tblLayout w:type="autofit"/>
        <w:tblCellMar>
          <w:top w:w="0" w:type="dxa"/>
          <w:left w:w="108" w:type="dxa"/>
          <w:bottom w:w="0" w:type="dxa"/>
          <w:right w:w="108" w:type="dxa"/>
        </w:tblCellMar>
      </w:tblPr>
      <w:tblGrid>
        <w:gridCol w:w="14390"/>
      </w:tblGrid>
      <w:tr>
        <w:tblPrEx>
          <w:tblCellMar>
            <w:top w:w="0" w:type="dxa"/>
            <w:left w:w="108" w:type="dxa"/>
            <w:bottom w:w="0" w:type="dxa"/>
            <w:right w:w="108" w:type="dxa"/>
          </w:tblCellMar>
        </w:tblPrEx>
        <w:trPr>
          <w:trHeight w:val="582" w:hRule="atLeast"/>
        </w:trPr>
        <w:tc>
          <w:tcPr>
            <w:tcW w:w="14390" w:type="dxa"/>
            <w:tcBorders>
              <w:top w:val="nil"/>
              <w:left w:val="nil"/>
              <w:bottom w:val="nil"/>
              <w:right w:val="nil"/>
            </w:tcBorders>
            <w:noWrap/>
            <w:vAlign w:val="center"/>
          </w:tcPr>
          <w:tbl>
            <w:tblPr>
              <w:tblStyle w:val="5"/>
              <w:tblW w:w="14078" w:type="dxa"/>
              <w:tblInd w:w="96" w:type="dxa"/>
              <w:tblLayout w:type="autofit"/>
              <w:tblCellMar>
                <w:top w:w="0" w:type="dxa"/>
                <w:left w:w="108" w:type="dxa"/>
                <w:bottom w:w="0" w:type="dxa"/>
                <w:right w:w="108" w:type="dxa"/>
              </w:tblCellMar>
            </w:tblPr>
            <w:tblGrid>
              <w:gridCol w:w="1550"/>
              <w:gridCol w:w="2574"/>
              <w:gridCol w:w="2478"/>
              <w:gridCol w:w="1494"/>
              <w:gridCol w:w="232"/>
              <w:gridCol w:w="2779"/>
              <w:gridCol w:w="1604"/>
              <w:gridCol w:w="1367"/>
            </w:tblGrid>
            <w:tr>
              <w:tblPrEx>
                <w:tblCellMar>
                  <w:top w:w="0" w:type="dxa"/>
                  <w:left w:w="108" w:type="dxa"/>
                  <w:bottom w:w="0" w:type="dxa"/>
                  <w:right w:w="108" w:type="dxa"/>
                </w:tblCellMar>
              </w:tblPrEx>
              <w:trPr>
                <w:trHeight w:val="556" w:hRule="atLeast"/>
              </w:trPr>
              <w:tc>
                <w:tcPr>
                  <w:tcW w:w="14078" w:type="dxa"/>
                  <w:gridSpan w:val="8"/>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textAlignment w:val="center"/>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rPr>
                    <w:t xml:space="preserve">Supplementary table </w:t>
                  </w:r>
                  <w:r>
                    <w:rPr>
                      <w:rFonts w:hint="default" w:ascii="Times New Roman" w:hAnsi="Times New Roman" w:cs="Times New Roman"/>
                      <w:b/>
                      <w:bCs/>
                      <w:color w:val="000000"/>
                      <w:sz w:val="20"/>
                      <w:szCs w:val="20"/>
                      <w:lang w:val="en-US" w:eastAsia="zh-CN"/>
                    </w:rPr>
                    <w:t>2</w:t>
                  </w:r>
                  <w:r>
                    <w:rPr>
                      <w:rFonts w:hint="default" w:ascii="Times New Roman" w:hAnsi="Times New Roman" w:cs="Times New Roman"/>
                      <w:b/>
                      <w:bCs/>
                      <w:color w:val="000000"/>
                      <w:kern w:val="0"/>
                      <w:sz w:val="20"/>
                      <w:szCs w:val="20"/>
                    </w:rPr>
                    <w:t>. Comparison of lung cancer stages detected by LDCT baseline screening and follow-up in healthy physical examination population</w:t>
                  </w:r>
                </w:p>
              </w:tc>
            </w:tr>
            <w:tr>
              <w:tblPrEx>
                <w:tblCellMar>
                  <w:top w:w="0" w:type="dxa"/>
                  <w:left w:w="108" w:type="dxa"/>
                  <w:bottom w:w="0" w:type="dxa"/>
                  <w:right w:w="108" w:type="dxa"/>
                </w:tblCellMar>
              </w:tblPrEx>
              <w:trPr>
                <w:trHeight w:val="580" w:hRule="atLeast"/>
              </w:trPr>
              <w:tc>
                <w:tcPr>
                  <w:tcW w:w="1481" w:type="dxa"/>
                  <w:vMerge w:val="restart"/>
                  <w:tcBorders>
                    <w:top w:val="single" w:color="000000" w:sz="4" w:space="0"/>
                    <w:left w:val="nil"/>
                    <w:bottom w:val="single" w:color="000000" w:sz="4" w:space="0"/>
                    <w:right w:val="nil"/>
                  </w:tcBorders>
                  <w:vAlign w:val="center"/>
                </w:tcPr>
                <w:p>
                  <w:pPr>
                    <w:keepNext w:val="0"/>
                    <w:keepLines w:val="0"/>
                    <w:pageBreakBefore w:val="0"/>
                    <w:widowControl/>
                    <w:kinsoku/>
                    <w:wordWrap/>
                    <w:overflowPunct/>
                    <w:topLinePunct w:val="0"/>
                    <w:autoSpaceDN/>
                    <w:bidi w:val="0"/>
                    <w:spacing w:line="360" w:lineRule="auto"/>
                    <w:jc w:val="left"/>
                    <w:textAlignment w:val="center"/>
                    <w:rPr>
                      <w:rFonts w:hint="default" w:ascii="Times New Roman" w:hAnsi="Times New Roman" w:cs="Times New Roman"/>
                      <w:b/>
                      <w:bCs/>
                      <w:color w:val="000000"/>
                      <w:sz w:val="20"/>
                      <w:szCs w:val="20"/>
                    </w:rPr>
                  </w:pPr>
                  <w:r>
                    <w:rPr>
                      <w:rFonts w:hint="default" w:ascii="Times New Roman" w:hAnsi="Times New Roman" w:cs="Times New Roman"/>
                      <w:b/>
                      <w:bCs/>
                      <w:color w:val="000000"/>
                      <w:kern w:val="0"/>
                      <w:sz w:val="20"/>
                      <w:szCs w:val="20"/>
                    </w:rPr>
                    <w:t xml:space="preserve">Stage </w:t>
                  </w:r>
                </w:p>
              </w:tc>
              <w:tc>
                <w:tcPr>
                  <w:tcW w:w="6374" w:type="dxa"/>
                  <w:gridSpan w:val="3"/>
                  <w:tcBorders>
                    <w:top w:val="single" w:color="000000" w:sz="4" w:space="0"/>
                    <w:left w:val="nil"/>
                    <w:bottom w:val="single" w:color="000000" w:sz="4" w:space="0"/>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b/>
                      <w:bCs/>
                      <w:color w:val="000000"/>
                      <w:sz w:val="20"/>
                      <w:szCs w:val="20"/>
                    </w:rPr>
                  </w:pPr>
                  <w:r>
                    <w:rPr>
                      <w:rFonts w:hint="default" w:ascii="Times New Roman" w:hAnsi="Times New Roman" w:cs="Times New Roman"/>
                      <w:b/>
                      <w:bCs/>
                      <w:color w:val="000000"/>
                      <w:kern w:val="0"/>
                      <w:sz w:val="20"/>
                      <w:szCs w:val="20"/>
                    </w:rPr>
                    <w:t>Thin-slice</w:t>
                  </w:r>
                </w:p>
              </w:tc>
              <w:tc>
                <w:tcPr>
                  <w:tcW w:w="0" w:type="auto"/>
                  <w:tcBorders>
                    <w:top w:val="single" w:color="000000" w:sz="4" w:space="0"/>
                    <w:left w:val="nil"/>
                    <w:bottom w:val="nil"/>
                    <w:right w:val="nil"/>
                  </w:tcBorders>
                  <w:noWrap/>
                  <w:vAlign w:val="center"/>
                </w:tcPr>
                <w:p>
                  <w:pPr>
                    <w:keepNext w:val="0"/>
                    <w:keepLines w:val="0"/>
                    <w:pageBreakBefore w:val="0"/>
                    <w:kinsoku/>
                    <w:wordWrap/>
                    <w:overflowPunct/>
                    <w:topLinePunct w:val="0"/>
                    <w:autoSpaceDN/>
                    <w:bidi w:val="0"/>
                    <w:spacing w:line="360" w:lineRule="auto"/>
                    <w:jc w:val="center"/>
                    <w:rPr>
                      <w:rFonts w:hint="default" w:ascii="Times New Roman" w:hAnsi="Times New Roman" w:cs="Times New Roman"/>
                      <w:b/>
                      <w:bCs/>
                      <w:color w:val="000000"/>
                      <w:sz w:val="20"/>
                      <w:szCs w:val="20"/>
                    </w:rPr>
                  </w:pPr>
                </w:p>
              </w:tc>
              <w:tc>
                <w:tcPr>
                  <w:tcW w:w="0" w:type="auto"/>
                  <w:gridSpan w:val="3"/>
                  <w:tcBorders>
                    <w:top w:val="single" w:color="000000" w:sz="4" w:space="0"/>
                    <w:left w:val="nil"/>
                    <w:bottom w:val="single" w:color="000000" w:sz="4" w:space="0"/>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b/>
                      <w:bCs/>
                      <w:color w:val="000000"/>
                      <w:sz w:val="20"/>
                      <w:szCs w:val="20"/>
                    </w:rPr>
                  </w:pPr>
                  <w:r>
                    <w:rPr>
                      <w:rFonts w:hint="default" w:ascii="Times New Roman" w:hAnsi="Times New Roman" w:cs="Times New Roman"/>
                      <w:b/>
                      <w:bCs/>
                      <w:color w:val="000000"/>
                      <w:kern w:val="0"/>
                      <w:sz w:val="20"/>
                      <w:szCs w:val="20"/>
                    </w:rPr>
                    <w:t>Thick-slice</w:t>
                  </w:r>
                </w:p>
              </w:tc>
            </w:tr>
            <w:tr>
              <w:tblPrEx>
                <w:tblCellMar>
                  <w:top w:w="0" w:type="dxa"/>
                  <w:left w:w="108" w:type="dxa"/>
                  <w:bottom w:w="0" w:type="dxa"/>
                  <w:right w:w="108" w:type="dxa"/>
                </w:tblCellMar>
              </w:tblPrEx>
              <w:trPr>
                <w:trHeight w:val="580" w:hRule="atLeast"/>
              </w:trPr>
              <w:tc>
                <w:tcPr>
                  <w:tcW w:w="0" w:type="auto"/>
                  <w:vMerge w:val="continue"/>
                  <w:tcBorders>
                    <w:top w:val="single" w:color="000000" w:sz="4" w:space="0"/>
                    <w:left w:val="nil"/>
                    <w:bottom w:val="single" w:color="000000" w:sz="4" w:space="0"/>
                    <w:right w:val="nil"/>
                  </w:tcBorders>
                  <w:vAlign w:val="center"/>
                </w:tcPr>
                <w:p>
                  <w:pPr>
                    <w:keepNext w:val="0"/>
                    <w:keepLines w:val="0"/>
                    <w:pageBreakBefore w:val="0"/>
                    <w:widowControl/>
                    <w:kinsoku/>
                    <w:wordWrap/>
                    <w:overflowPunct/>
                    <w:topLinePunct w:val="0"/>
                    <w:autoSpaceDN/>
                    <w:bidi w:val="0"/>
                    <w:spacing w:line="360" w:lineRule="auto"/>
                    <w:jc w:val="left"/>
                    <w:rPr>
                      <w:rFonts w:hint="default" w:ascii="Times New Roman" w:hAnsi="Times New Roman" w:cs="Times New Roman"/>
                      <w:b/>
                      <w:bCs/>
                      <w:color w:val="000000"/>
                      <w:sz w:val="20"/>
                      <w:szCs w:val="20"/>
                    </w:rPr>
                  </w:pPr>
                </w:p>
              </w:tc>
              <w:tc>
                <w:tcPr>
                  <w:tcW w:w="2459"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Number of lung cancers detected by baseline screening</w:t>
                  </w:r>
                </w:p>
              </w:tc>
              <w:tc>
                <w:tcPr>
                  <w:tcW w:w="2367"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Number of lung cancers detected at follow-up</w:t>
                  </w:r>
                </w:p>
              </w:tc>
              <w:tc>
                <w:tcPr>
                  <w:tcW w:w="0" w:type="auto"/>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Total</w:t>
                  </w:r>
                </w:p>
              </w:tc>
              <w:tc>
                <w:tcPr>
                  <w:tcW w:w="0" w:type="auto"/>
                  <w:tcBorders>
                    <w:top w:val="nil"/>
                    <w:left w:val="nil"/>
                    <w:bottom w:val="nil"/>
                    <w:right w:val="nil"/>
                  </w:tcBorders>
                  <w:noWrap/>
                  <w:vAlign w:val="center"/>
                </w:tcPr>
                <w:p>
                  <w:pPr>
                    <w:keepNext w:val="0"/>
                    <w:keepLines w:val="0"/>
                    <w:pageBreakBefore w:val="0"/>
                    <w:kinsoku/>
                    <w:wordWrap/>
                    <w:overflowPunct/>
                    <w:topLinePunct w:val="0"/>
                    <w:autoSpaceDN/>
                    <w:bidi w:val="0"/>
                    <w:spacing w:line="360" w:lineRule="auto"/>
                    <w:jc w:val="center"/>
                    <w:rPr>
                      <w:rFonts w:hint="default" w:ascii="Times New Roman" w:hAnsi="Times New Roman" w:cs="Times New Roman"/>
                      <w:color w:val="000000"/>
                      <w:sz w:val="20"/>
                      <w:szCs w:val="20"/>
                    </w:rPr>
                  </w:pPr>
                </w:p>
              </w:tc>
              <w:tc>
                <w:tcPr>
                  <w:tcW w:w="0" w:type="auto"/>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 xml:space="preserve">Number of lung cancers </w:t>
                  </w:r>
                </w:p>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detected by baseline screening</w:t>
                  </w:r>
                </w:p>
              </w:tc>
              <w:tc>
                <w:tcPr>
                  <w:tcW w:w="0" w:type="auto"/>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 xml:space="preserve">Number of lung </w:t>
                  </w:r>
                </w:p>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 xml:space="preserve">cancers detected </w:t>
                  </w:r>
                </w:p>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at follow-up</w:t>
                  </w:r>
                </w:p>
              </w:tc>
              <w:tc>
                <w:tcPr>
                  <w:tcW w:w="0" w:type="auto"/>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Total</w:t>
                  </w:r>
                </w:p>
              </w:tc>
            </w:tr>
            <w:tr>
              <w:tblPrEx>
                <w:tblCellMar>
                  <w:top w:w="0" w:type="dxa"/>
                  <w:left w:w="108" w:type="dxa"/>
                  <w:bottom w:w="0" w:type="dxa"/>
                  <w:right w:w="108" w:type="dxa"/>
                </w:tblCellMar>
              </w:tblPrEx>
              <w:trPr>
                <w:trHeight w:val="580" w:hRule="atLeast"/>
              </w:trPr>
              <w:tc>
                <w:tcPr>
                  <w:tcW w:w="0" w:type="auto"/>
                  <w:vMerge w:val="continue"/>
                  <w:tcBorders>
                    <w:top w:val="single" w:color="000000" w:sz="4" w:space="0"/>
                    <w:left w:val="nil"/>
                    <w:bottom w:val="single" w:color="000000" w:sz="4" w:space="0"/>
                    <w:right w:val="nil"/>
                  </w:tcBorders>
                  <w:vAlign w:val="center"/>
                </w:tcPr>
                <w:p>
                  <w:pPr>
                    <w:keepNext w:val="0"/>
                    <w:keepLines w:val="0"/>
                    <w:pageBreakBefore w:val="0"/>
                    <w:widowControl/>
                    <w:kinsoku/>
                    <w:wordWrap/>
                    <w:overflowPunct/>
                    <w:topLinePunct w:val="0"/>
                    <w:autoSpaceDN/>
                    <w:bidi w:val="0"/>
                    <w:spacing w:line="360" w:lineRule="auto"/>
                    <w:jc w:val="left"/>
                    <w:rPr>
                      <w:rFonts w:hint="default" w:ascii="Times New Roman" w:hAnsi="Times New Roman" w:cs="Times New Roman"/>
                      <w:b/>
                      <w:bCs/>
                      <w:color w:val="000000"/>
                      <w:sz w:val="20"/>
                      <w:szCs w:val="20"/>
                    </w:rPr>
                  </w:pPr>
                </w:p>
              </w:tc>
              <w:tc>
                <w:tcPr>
                  <w:tcW w:w="2459" w:type="dxa"/>
                  <w:tcBorders>
                    <w:top w:val="nil"/>
                    <w:left w:val="nil"/>
                    <w:bottom w:val="single" w:color="000000" w:sz="4" w:space="0"/>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(N=87)</w:t>
                  </w:r>
                </w:p>
              </w:tc>
              <w:tc>
                <w:tcPr>
                  <w:tcW w:w="2367" w:type="dxa"/>
                  <w:tcBorders>
                    <w:top w:val="nil"/>
                    <w:left w:val="nil"/>
                    <w:bottom w:val="single" w:color="000000" w:sz="4" w:space="0"/>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(N=45)</w:t>
                  </w:r>
                </w:p>
              </w:tc>
              <w:tc>
                <w:tcPr>
                  <w:tcW w:w="0" w:type="auto"/>
                  <w:tcBorders>
                    <w:top w:val="nil"/>
                    <w:left w:val="nil"/>
                    <w:bottom w:val="single" w:color="000000" w:sz="4" w:space="0"/>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(N=132)</w:t>
                  </w:r>
                </w:p>
              </w:tc>
              <w:tc>
                <w:tcPr>
                  <w:tcW w:w="0" w:type="auto"/>
                  <w:tcBorders>
                    <w:top w:val="nil"/>
                    <w:left w:val="nil"/>
                    <w:bottom w:val="single" w:color="000000" w:sz="4" w:space="0"/>
                    <w:right w:val="nil"/>
                  </w:tcBorders>
                  <w:noWrap/>
                  <w:vAlign w:val="center"/>
                </w:tcPr>
                <w:p>
                  <w:pPr>
                    <w:keepNext w:val="0"/>
                    <w:keepLines w:val="0"/>
                    <w:pageBreakBefore w:val="0"/>
                    <w:kinsoku/>
                    <w:wordWrap/>
                    <w:overflowPunct/>
                    <w:topLinePunct w:val="0"/>
                    <w:autoSpaceDN/>
                    <w:bidi w:val="0"/>
                    <w:spacing w:line="360" w:lineRule="auto"/>
                    <w:jc w:val="center"/>
                    <w:rPr>
                      <w:rFonts w:hint="default" w:ascii="Times New Roman" w:hAnsi="Times New Roman" w:cs="Times New Roman"/>
                      <w:color w:val="000000"/>
                      <w:sz w:val="20"/>
                      <w:szCs w:val="20"/>
                    </w:rPr>
                  </w:pPr>
                </w:p>
              </w:tc>
              <w:tc>
                <w:tcPr>
                  <w:tcW w:w="0" w:type="auto"/>
                  <w:tcBorders>
                    <w:top w:val="nil"/>
                    <w:left w:val="nil"/>
                    <w:bottom w:val="single" w:color="000000" w:sz="4" w:space="0"/>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(N=65)</w:t>
                  </w:r>
                </w:p>
              </w:tc>
              <w:tc>
                <w:tcPr>
                  <w:tcW w:w="0" w:type="auto"/>
                  <w:tcBorders>
                    <w:top w:val="nil"/>
                    <w:left w:val="nil"/>
                    <w:bottom w:val="single" w:color="000000" w:sz="4" w:space="0"/>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(N=56)</w:t>
                  </w:r>
                </w:p>
              </w:tc>
              <w:tc>
                <w:tcPr>
                  <w:tcW w:w="0" w:type="auto"/>
                  <w:tcBorders>
                    <w:top w:val="nil"/>
                    <w:left w:val="nil"/>
                    <w:bottom w:val="single" w:color="000000" w:sz="4" w:space="0"/>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(N=121)</w:t>
                  </w:r>
                </w:p>
              </w:tc>
            </w:tr>
            <w:tr>
              <w:tblPrEx>
                <w:tblCellMar>
                  <w:top w:w="0" w:type="dxa"/>
                  <w:left w:w="108" w:type="dxa"/>
                  <w:bottom w:w="0" w:type="dxa"/>
                  <w:right w:w="108" w:type="dxa"/>
                </w:tblCellMar>
              </w:tblPrEx>
              <w:trPr>
                <w:trHeight w:val="580" w:hRule="atLeast"/>
              </w:trPr>
              <w:tc>
                <w:tcPr>
                  <w:tcW w:w="1481"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left"/>
                    <w:textAlignment w:val="center"/>
                    <w:rPr>
                      <w:rFonts w:hint="default" w:ascii="Times New Roman" w:hAnsi="Times New Roman" w:cs="Times New Roman"/>
                      <w:b/>
                      <w:bCs/>
                      <w:color w:val="000000"/>
                      <w:sz w:val="20"/>
                      <w:szCs w:val="20"/>
                    </w:rPr>
                  </w:pPr>
                  <w:r>
                    <w:rPr>
                      <w:rFonts w:hint="default" w:ascii="Times New Roman" w:hAnsi="Times New Roman" w:cs="Times New Roman"/>
                      <w:b/>
                      <w:bCs/>
                      <w:color w:val="000000"/>
                      <w:kern w:val="0"/>
                      <w:sz w:val="20"/>
                      <w:szCs w:val="20"/>
                    </w:rPr>
                    <w:t>Stage</w:t>
                  </w:r>
                </w:p>
              </w:tc>
              <w:tc>
                <w:tcPr>
                  <w:tcW w:w="2459" w:type="dxa"/>
                  <w:tcBorders>
                    <w:top w:val="nil"/>
                    <w:left w:val="nil"/>
                    <w:bottom w:val="nil"/>
                    <w:right w:val="nil"/>
                  </w:tcBorders>
                  <w:noWrap/>
                  <w:vAlign w:val="center"/>
                </w:tcPr>
                <w:p>
                  <w:pPr>
                    <w:keepNext w:val="0"/>
                    <w:keepLines w:val="0"/>
                    <w:pageBreakBefore w:val="0"/>
                    <w:kinsoku/>
                    <w:wordWrap/>
                    <w:overflowPunct/>
                    <w:topLinePunct w:val="0"/>
                    <w:autoSpaceDN/>
                    <w:bidi w:val="0"/>
                    <w:spacing w:line="360" w:lineRule="auto"/>
                    <w:jc w:val="center"/>
                    <w:rPr>
                      <w:rFonts w:hint="default" w:ascii="Times New Roman" w:hAnsi="Times New Roman" w:cs="Times New Roman"/>
                      <w:color w:val="000000"/>
                      <w:sz w:val="20"/>
                      <w:szCs w:val="20"/>
                    </w:rPr>
                  </w:pPr>
                </w:p>
              </w:tc>
              <w:tc>
                <w:tcPr>
                  <w:tcW w:w="2367" w:type="dxa"/>
                  <w:tcBorders>
                    <w:top w:val="nil"/>
                    <w:left w:val="nil"/>
                    <w:bottom w:val="nil"/>
                    <w:right w:val="nil"/>
                  </w:tcBorders>
                  <w:noWrap/>
                  <w:vAlign w:val="center"/>
                </w:tcPr>
                <w:p>
                  <w:pPr>
                    <w:keepNext w:val="0"/>
                    <w:keepLines w:val="0"/>
                    <w:pageBreakBefore w:val="0"/>
                    <w:kinsoku/>
                    <w:wordWrap/>
                    <w:overflowPunct/>
                    <w:topLinePunct w:val="0"/>
                    <w:autoSpaceDN/>
                    <w:bidi w:val="0"/>
                    <w:spacing w:line="360" w:lineRule="auto"/>
                    <w:jc w:val="center"/>
                    <w:rPr>
                      <w:rFonts w:hint="default" w:ascii="Times New Roman" w:hAnsi="Times New Roman" w:cs="Times New Roman"/>
                      <w:color w:val="000000"/>
                      <w:sz w:val="20"/>
                      <w:szCs w:val="20"/>
                    </w:rPr>
                  </w:pPr>
                </w:p>
              </w:tc>
              <w:tc>
                <w:tcPr>
                  <w:tcW w:w="0" w:type="auto"/>
                  <w:tcBorders>
                    <w:top w:val="nil"/>
                    <w:left w:val="nil"/>
                    <w:bottom w:val="nil"/>
                    <w:right w:val="nil"/>
                  </w:tcBorders>
                  <w:noWrap/>
                  <w:vAlign w:val="center"/>
                </w:tcPr>
                <w:p>
                  <w:pPr>
                    <w:keepNext w:val="0"/>
                    <w:keepLines w:val="0"/>
                    <w:pageBreakBefore w:val="0"/>
                    <w:kinsoku/>
                    <w:wordWrap/>
                    <w:overflowPunct/>
                    <w:topLinePunct w:val="0"/>
                    <w:autoSpaceDN/>
                    <w:bidi w:val="0"/>
                    <w:spacing w:line="360" w:lineRule="auto"/>
                    <w:jc w:val="center"/>
                    <w:rPr>
                      <w:rFonts w:hint="default" w:ascii="Times New Roman" w:hAnsi="Times New Roman" w:cs="Times New Roman"/>
                      <w:color w:val="000000"/>
                      <w:sz w:val="20"/>
                      <w:szCs w:val="20"/>
                    </w:rPr>
                  </w:pPr>
                </w:p>
              </w:tc>
              <w:tc>
                <w:tcPr>
                  <w:tcW w:w="0" w:type="auto"/>
                  <w:tcBorders>
                    <w:top w:val="nil"/>
                    <w:left w:val="nil"/>
                    <w:bottom w:val="nil"/>
                    <w:right w:val="nil"/>
                  </w:tcBorders>
                  <w:noWrap/>
                  <w:vAlign w:val="center"/>
                </w:tcPr>
                <w:p>
                  <w:pPr>
                    <w:keepNext w:val="0"/>
                    <w:keepLines w:val="0"/>
                    <w:pageBreakBefore w:val="0"/>
                    <w:kinsoku/>
                    <w:wordWrap/>
                    <w:overflowPunct/>
                    <w:topLinePunct w:val="0"/>
                    <w:autoSpaceDN/>
                    <w:bidi w:val="0"/>
                    <w:spacing w:line="360" w:lineRule="auto"/>
                    <w:jc w:val="center"/>
                    <w:rPr>
                      <w:rFonts w:hint="default" w:ascii="Times New Roman" w:hAnsi="Times New Roman" w:cs="Times New Roman"/>
                      <w:color w:val="000000"/>
                      <w:sz w:val="20"/>
                      <w:szCs w:val="20"/>
                    </w:rPr>
                  </w:pPr>
                </w:p>
              </w:tc>
              <w:tc>
                <w:tcPr>
                  <w:tcW w:w="0" w:type="auto"/>
                  <w:tcBorders>
                    <w:top w:val="nil"/>
                    <w:left w:val="nil"/>
                    <w:bottom w:val="nil"/>
                    <w:right w:val="nil"/>
                  </w:tcBorders>
                  <w:noWrap/>
                  <w:vAlign w:val="center"/>
                </w:tcPr>
                <w:p>
                  <w:pPr>
                    <w:keepNext w:val="0"/>
                    <w:keepLines w:val="0"/>
                    <w:pageBreakBefore w:val="0"/>
                    <w:kinsoku/>
                    <w:wordWrap/>
                    <w:overflowPunct/>
                    <w:topLinePunct w:val="0"/>
                    <w:autoSpaceDN/>
                    <w:bidi w:val="0"/>
                    <w:spacing w:line="360" w:lineRule="auto"/>
                    <w:jc w:val="center"/>
                    <w:rPr>
                      <w:rFonts w:hint="default" w:ascii="Times New Roman" w:hAnsi="Times New Roman" w:cs="Times New Roman"/>
                      <w:color w:val="000000"/>
                      <w:sz w:val="20"/>
                      <w:szCs w:val="20"/>
                    </w:rPr>
                  </w:pPr>
                </w:p>
              </w:tc>
              <w:tc>
                <w:tcPr>
                  <w:tcW w:w="0" w:type="auto"/>
                  <w:tcBorders>
                    <w:top w:val="nil"/>
                    <w:left w:val="nil"/>
                    <w:bottom w:val="nil"/>
                    <w:right w:val="nil"/>
                  </w:tcBorders>
                  <w:noWrap/>
                  <w:vAlign w:val="center"/>
                </w:tcPr>
                <w:p>
                  <w:pPr>
                    <w:keepNext w:val="0"/>
                    <w:keepLines w:val="0"/>
                    <w:pageBreakBefore w:val="0"/>
                    <w:kinsoku/>
                    <w:wordWrap/>
                    <w:overflowPunct/>
                    <w:topLinePunct w:val="0"/>
                    <w:autoSpaceDN/>
                    <w:bidi w:val="0"/>
                    <w:spacing w:line="360" w:lineRule="auto"/>
                    <w:jc w:val="center"/>
                    <w:rPr>
                      <w:rFonts w:hint="default" w:ascii="Times New Roman" w:hAnsi="Times New Roman" w:cs="Times New Roman"/>
                      <w:color w:val="000000"/>
                      <w:sz w:val="20"/>
                      <w:szCs w:val="20"/>
                    </w:rPr>
                  </w:pPr>
                </w:p>
              </w:tc>
              <w:tc>
                <w:tcPr>
                  <w:tcW w:w="0" w:type="auto"/>
                  <w:tcBorders>
                    <w:top w:val="nil"/>
                    <w:left w:val="nil"/>
                    <w:bottom w:val="nil"/>
                    <w:right w:val="nil"/>
                  </w:tcBorders>
                  <w:noWrap/>
                  <w:vAlign w:val="center"/>
                </w:tcPr>
                <w:p>
                  <w:pPr>
                    <w:keepNext w:val="0"/>
                    <w:keepLines w:val="0"/>
                    <w:pageBreakBefore w:val="0"/>
                    <w:kinsoku/>
                    <w:wordWrap/>
                    <w:overflowPunct/>
                    <w:topLinePunct w:val="0"/>
                    <w:autoSpaceDN/>
                    <w:bidi w:val="0"/>
                    <w:spacing w:line="360" w:lineRule="auto"/>
                    <w:jc w:val="center"/>
                    <w:rPr>
                      <w:rFonts w:hint="default" w:ascii="Times New Roman" w:hAnsi="Times New Roman" w:cs="Times New Roman"/>
                      <w:color w:val="000000"/>
                      <w:sz w:val="20"/>
                      <w:szCs w:val="20"/>
                    </w:rPr>
                  </w:pPr>
                </w:p>
              </w:tc>
            </w:tr>
            <w:tr>
              <w:tblPrEx>
                <w:tblCellMar>
                  <w:top w:w="0" w:type="dxa"/>
                  <w:left w:w="108" w:type="dxa"/>
                  <w:bottom w:w="0" w:type="dxa"/>
                  <w:right w:w="108" w:type="dxa"/>
                </w:tblCellMar>
              </w:tblPrEx>
              <w:trPr>
                <w:trHeight w:val="556" w:hRule="atLeast"/>
              </w:trPr>
              <w:tc>
                <w:tcPr>
                  <w:tcW w:w="1481"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IA1</w:t>
                  </w:r>
                </w:p>
              </w:tc>
              <w:tc>
                <w:tcPr>
                  <w:tcW w:w="2459"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39/86 (45.3)</w:t>
                  </w:r>
                </w:p>
              </w:tc>
              <w:tc>
                <w:tcPr>
                  <w:tcW w:w="2367"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26/40 (65.0)</w:t>
                  </w:r>
                </w:p>
              </w:tc>
              <w:tc>
                <w:tcPr>
                  <w:tcW w:w="0" w:type="auto"/>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65/126 (51.6)</w:t>
                  </w:r>
                </w:p>
              </w:tc>
              <w:tc>
                <w:tcPr>
                  <w:tcW w:w="0" w:type="auto"/>
                  <w:tcBorders>
                    <w:top w:val="nil"/>
                    <w:left w:val="nil"/>
                    <w:bottom w:val="nil"/>
                    <w:right w:val="nil"/>
                  </w:tcBorders>
                  <w:noWrap/>
                  <w:vAlign w:val="center"/>
                </w:tcPr>
                <w:p>
                  <w:pPr>
                    <w:keepNext w:val="0"/>
                    <w:keepLines w:val="0"/>
                    <w:pageBreakBefore w:val="0"/>
                    <w:kinsoku/>
                    <w:wordWrap/>
                    <w:overflowPunct/>
                    <w:topLinePunct w:val="0"/>
                    <w:autoSpaceDN/>
                    <w:bidi w:val="0"/>
                    <w:spacing w:line="360" w:lineRule="auto"/>
                    <w:jc w:val="center"/>
                    <w:rPr>
                      <w:rFonts w:hint="default" w:ascii="Times New Roman" w:hAnsi="Times New Roman" w:cs="Times New Roman"/>
                      <w:color w:val="000000"/>
                      <w:sz w:val="20"/>
                      <w:szCs w:val="20"/>
                    </w:rPr>
                  </w:pPr>
                </w:p>
              </w:tc>
              <w:tc>
                <w:tcPr>
                  <w:tcW w:w="0" w:type="auto"/>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24/61 (39.3)</w:t>
                  </w:r>
                </w:p>
              </w:tc>
              <w:tc>
                <w:tcPr>
                  <w:tcW w:w="0" w:type="auto"/>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24/51 (47.1)</w:t>
                  </w:r>
                </w:p>
              </w:tc>
              <w:tc>
                <w:tcPr>
                  <w:tcW w:w="0" w:type="auto"/>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48/112 (42.9)</w:t>
                  </w:r>
                </w:p>
              </w:tc>
            </w:tr>
            <w:tr>
              <w:tblPrEx>
                <w:tblCellMar>
                  <w:top w:w="0" w:type="dxa"/>
                  <w:left w:w="108" w:type="dxa"/>
                  <w:bottom w:w="0" w:type="dxa"/>
                  <w:right w:w="108" w:type="dxa"/>
                </w:tblCellMar>
              </w:tblPrEx>
              <w:trPr>
                <w:trHeight w:val="556" w:hRule="atLeast"/>
              </w:trPr>
              <w:tc>
                <w:tcPr>
                  <w:tcW w:w="1481"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IA2</w:t>
                  </w:r>
                </w:p>
              </w:tc>
              <w:tc>
                <w:tcPr>
                  <w:tcW w:w="2459"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30/86 (34.9)</w:t>
                  </w:r>
                </w:p>
              </w:tc>
              <w:tc>
                <w:tcPr>
                  <w:tcW w:w="2367"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11/40 (27.5)</w:t>
                  </w:r>
                </w:p>
              </w:tc>
              <w:tc>
                <w:tcPr>
                  <w:tcW w:w="0" w:type="auto"/>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41/126 (32.5)</w:t>
                  </w:r>
                </w:p>
              </w:tc>
              <w:tc>
                <w:tcPr>
                  <w:tcW w:w="0" w:type="auto"/>
                  <w:tcBorders>
                    <w:top w:val="nil"/>
                    <w:left w:val="nil"/>
                    <w:bottom w:val="nil"/>
                    <w:right w:val="nil"/>
                  </w:tcBorders>
                  <w:noWrap/>
                  <w:vAlign w:val="center"/>
                </w:tcPr>
                <w:p>
                  <w:pPr>
                    <w:keepNext w:val="0"/>
                    <w:keepLines w:val="0"/>
                    <w:pageBreakBefore w:val="0"/>
                    <w:kinsoku/>
                    <w:wordWrap/>
                    <w:overflowPunct/>
                    <w:topLinePunct w:val="0"/>
                    <w:autoSpaceDN/>
                    <w:bidi w:val="0"/>
                    <w:spacing w:line="360" w:lineRule="auto"/>
                    <w:jc w:val="center"/>
                    <w:rPr>
                      <w:rFonts w:hint="default" w:ascii="Times New Roman" w:hAnsi="Times New Roman" w:cs="Times New Roman"/>
                      <w:color w:val="000000"/>
                      <w:sz w:val="20"/>
                      <w:szCs w:val="20"/>
                    </w:rPr>
                  </w:pPr>
                </w:p>
              </w:tc>
              <w:tc>
                <w:tcPr>
                  <w:tcW w:w="0" w:type="auto"/>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28/61 (45.9)</w:t>
                  </w:r>
                </w:p>
              </w:tc>
              <w:tc>
                <w:tcPr>
                  <w:tcW w:w="0" w:type="auto"/>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17/51 (33.3)</w:t>
                  </w:r>
                </w:p>
              </w:tc>
              <w:tc>
                <w:tcPr>
                  <w:tcW w:w="0" w:type="auto"/>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45/112 (40.2)</w:t>
                  </w:r>
                </w:p>
              </w:tc>
            </w:tr>
            <w:tr>
              <w:tblPrEx>
                <w:tblCellMar>
                  <w:top w:w="0" w:type="dxa"/>
                  <w:left w:w="108" w:type="dxa"/>
                  <w:bottom w:w="0" w:type="dxa"/>
                  <w:right w:w="108" w:type="dxa"/>
                </w:tblCellMar>
              </w:tblPrEx>
              <w:trPr>
                <w:trHeight w:val="556" w:hRule="atLeast"/>
              </w:trPr>
              <w:tc>
                <w:tcPr>
                  <w:tcW w:w="1481"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IA3</w:t>
                  </w:r>
                </w:p>
              </w:tc>
              <w:tc>
                <w:tcPr>
                  <w:tcW w:w="2459"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10/86 (11.6)</w:t>
                  </w:r>
                </w:p>
              </w:tc>
              <w:tc>
                <w:tcPr>
                  <w:tcW w:w="2367"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2/40 (5.0)</w:t>
                  </w:r>
                </w:p>
              </w:tc>
              <w:tc>
                <w:tcPr>
                  <w:tcW w:w="0" w:type="auto"/>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12/126 (9.5)</w:t>
                  </w:r>
                </w:p>
              </w:tc>
              <w:tc>
                <w:tcPr>
                  <w:tcW w:w="0" w:type="auto"/>
                  <w:tcBorders>
                    <w:top w:val="nil"/>
                    <w:left w:val="nil"/>
                    <w:bottom w:val="nil"/>
                    <w:right w:val="nil"/>
                  </w:tcBorders>
                  <w:noWrap/>
                  <w:vAlign w:val="center"/>
                </w:tcPr>
                <w:p>
                  <w:pPr>
                    <w:keepNext w:val="0"/>
                    <w:keepLines w:val="0"/>
                    <w:pageBreakBefore w:val="0"/>
                    <w:kinsoku/>
                    <w:wordWrap/>
                    <w:overflowPunct/>
                    <w:topLinePunct w:val="0"/>
                    <w:autoSpaceDN/>
                    <w:bidi w:val="0"/>
                    <w:spacing w:line="360" w:lineRule="auto"/>
                    <w:jc w:val="center"/>
                    <w:rPr>
                      <w:rFonts w:hint="default" w:ascii="Times New Roman" w:hAnsi="Times New Roman" w:cs="Times New Roman"/>
                      <w:color w:val="000000"/>
                      <w:sz w:val="20"/>
                      <w:szCs w:val="20"/>
                    </w:rPr>
                  </w:pPr>
                </w:p>
              </w:tc>
              <w:tc>
                <w:tcPr>
                  <w:tcW w:w="0" w:type="auto"/>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5/61 (8.2)</w:t>
                  </w:r>
                </w:p>
              </w:tc>
              <w:tc>
                <w:tcPr>
                  <w:tcW w:w="0" w:type="auto"/>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6/51 (11.8)</w:t>
                  </w:r>
                </w:p>
              </w:tc>
              <w:tc>
                <w:tcPr>
                  <w:tcW w:w="0" w:type="auto"/>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11/112 (9.8)</w:t>
                  </w:r>
                </w:p>
              </w:tc>
            </w:tr>
            <w:tr>
              <w:tblPrEx>
                <w:tblCellMar>
                  <w:top w:w="0" w:type="dxa"/>
                  <w:left w:w="108" w:type="dxa"/>
                  <w:bottom w:w="0" w:type="dxa"/>
                  <w:right w:w="108" w:type="dxa"/>
                </w:tblCellMar>
              </w:tblPrEx>
              <w:trPr>
                <w:trHeight w:val="556" w:hRule="atLeast"/>
              </w:trPr>
              <w:tc>
                <w:tcPr>
                  <w:tcW w:w="1481"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IB</w:t>
                  </w:r>
                </w:p>
              </w:tc>
              <w:tc>
                <w:tcPr>
                  <w:tcW w:w="2459"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6/86 (7.0)</w:t>
                  </w:r>
                </w:p>
              </w:tc>
              <w:tc>
                <w:tcPr>
                  <w:tcW w:w="2367"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0/40 (0.0)</w:t>
                  </w:r>
                </w:p>
              </w:tc>
              <w:tc>
                <w:tcPr>
                  <w:tcW w:w="0" w:type="auto"/>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6/126 (4.8)</w:t>
                  </w:r>
                </w:p>
              </w:tc>
              <w:tc>
                <w:tcPr>
                  <w:tcW w:w="0" w:type="auto"/>
                  <w:tcBorders>
                    <w:top w:val="nil"/>
                    <w:left w:val="nil"/>
                    <w:bottom w:val="nil"/>
                    <w:right w:val="nil"/>
                  </w:tcBorders>
                  <w:noWrap/>
                  <w:vAlign w:val="center"/>
                </w:tcPr>
                <w:p>
                  <w:pPr>
                    <w:keepNext w:val="0"/>
                    <w:keepLines w:val="0"/>
                    <w:pageBreakBefore w:val="0"/>
                    <w:kinsoku/>
                    <w:wordWrap/>
                    <w:overflowPunct/>
                    <w:topLinePunct w:val="0"/>
                    <w:autoSpaceDN/>
                    <w:bidi w:val="0"/>
                    <w:spacing w:line="360" w:lineRule="auto"/>
                    <w:jc w:val="center"/>
                    <w:rPr>
                      <w:rFonts w:hint="default" w:ascii="Times New Roman" w:hAnsi="Times New Roman" w:cs="Times New Roman"/>
                      <w:color w:val="000000"/>
                      <w:sz w:val="20"/>
                      <w:szCs w:val="20"/>
                    </w:rPr>
                  </w:pPr>
                </w:p>
              </w:tc>
              <w:tc>
                <w:tcPr>
                  <w:tcW w:w="0" w:type="auto"/>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1/61 (1.6)</w:t>
                  </w:r>
                </w:p>
              </w:tc>
              <w:tc>
                <w:tcPr>
                  <w:tcW w:w="0" w:type="auto"/>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2/51 (3.9)</w:t>
                  </w:r>
                </w:p>
              </w:tc>
              <w:tc>
                <w:tcPr>
                  <w:tcW w:w="0" w:type="auto"/>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3/112 (2.7)</w:t>
                  </w:r>
                </w:p>
              </w:tc>
            </w:tr>
            <w:tr>
              <w:tblPrEx>
                <w:tblCellMar>
                  <w:top w:w="0" w:type="dxa"/>
                  <w:left w:w="108" w:type="dxa"/>
                  <w:bottom w:w="0" w:type="dxa"/>
                  <w:right w:w="108" w:type="dxa"/>
                </w:tblCellMar>
              </w:tblPrEx>
              <w:trPr>
                <w:trHeight w:val="556" w:hRule="atLeast"/>
              </w:trPr>
              <w:tc>
                <w:tcPr>
                  <w:tcW w:w="1481"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II</w:t>
                  </w:r>
                </w:p>
              </w:tc>
              <w:tc>
                <w:tcPr>
                  <w:tcW w:w="2459"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1/86 (1.2)</w:t>
                  </w:r>
                </w:p>
              </w:tc>
              <w:tc>
                <w:tcPr>
                  <w:tcW w:w="2367"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0/40 (0.0)</w:t>
                  </w:r>
                </w:p>
              </w:tc>
              <w:tc>
                <w:tcPr>
                  <w:tcW w:w="0" w:type="auto"/>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1/126 (0.8)</w:t>
                  </w:r>
                </w:p>
              </w:tc>
              <w:tc>
                <w:tcPr>
                  <w:tcW w:w="0" w:type="auto"/>
                  <w:tcBorders>
                    <w:top w:val="nil"/>
                    <w:left w:val="nil"/>
                    <w:bottom w:val="nil"/>
                    <w:right w:val="nil"/>
                  </w:tcBorders>
                  <w:noWrap/>
                  <w:vAlign w:val="center"/>
                </w:tcPr>
                <w:p>
                  <w:pPr>
                    <w:keepNext w:val="0"/>
                    <w:keepLines w:val="0"/>
                    <w:pageBreakBefore w:val="0"/>
                    <w:kinsoku/>
                    <w:wordWrap/>
                    <w:overflowPunct/>
                    <w:topLinePunct w:val="0"/>
                    <w:autoSpaceDN/>
                    <w:bidi w:val="0"/>
                    <w:spacing w:line="360" w:lineRule="auto"/>
                    <w:jc w:val="center"/>
                    <w:rPr>
                      <w:rFonts w:hint="default" w:ascii="Times New Roman" w:hAnsi="Times New Roman" w:cs="Times New Roman"/>
                      <w:color w:val="000000"/>
                      <w:sz w:val="20"/>
                      <w:szCs w:val="20"/>
                    </w:rPr>
                  </w:pPr>
                </w:p>
              </w:tc>
              <w:tc>
                <w:tcPr>
                  <w:tcW w:w="0" w:type="auto"/>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0/61 (0.0)</w:t>
                  </w:r>
                </w:p>
              </w:tc>
              <w:tc>
                <w:tcPr>
                  <w:tcW w:w="0" w:type="auto"/>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1/51 (2.0)</w:t>
                  </w:r>
                </w:p>
              </w:tc>
              <w:tc>
                <w:tcPr>
                  <w:tcW w:w="0" w:type="auto"/>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1/112 (0.9)</w:t>
                  </w:r>
                </w:p>
              </w:tc>
            </w:tr>
            <w:tr>
              <w:tblPrEx>
                <w:tblCellMar>
                  <w:top w:w="0" w:type="dxa"/>
                  <w:left w:w="108" w:type="dxa"/>
                  <w:bottom w:w="0" w:type="dxa"/>
                  <w:right w:w="108" w:type="dxa"/>
                </w:tblCellMar>
              </w:tblPrEx>
              <w:trPr>
                <w:trHeight w:val="556" w:hRule="atLeast"/>
              </w:trPr>
              <w:tc>
                <w:tcPr>
                  <w:tcW w:w="1481"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III</w:t>
                  </w:r>
                </w:p>
              </w:tc>
              <w:tc>
                <w:tcPr>
                  <w:tcW w:w="2459"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0/86 (0.0)</w:t>
                  </w:r>
                </w:p>
              </w:tc>
              <w:tc>
                <w:tcPr>
                  <w:tcW w:w="2367"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1/40 (2.5)</w:t>
                  </w:r>
                </w:p>
              </w:tc>
              <w:tc>
                <w:tcPr>
                  <w:tcW w:w="0" w:type="auto"/>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1/126 (0.8)</w:t>
                  </w:r>
                </w:p>
              </w:tc>
              <w:tc>
                <w:tcPr>
                  <w:tcW w:w="0" w:type="auto"/>
                  <w:tcBorders>
                    <w:top w:val="nil"/>
                    <w:left w:val="nil"/>
                    <w:bottom w:val="nil"/>
                    <w:right w:val="nil"/>
                  </w:tcBorders>
                  <w:noWrap/>
                  <w:vAlign w:val="center"/>
                </w:tcPr>
                <w:p>
                  <w:pPr>
                    <w:keepNext w:val="0"/>
                    <w:keepLines w:val="0"/>
                    <w:pageBreakBefore w:val="0"/>
                    <w:kinsoku/>
                    <w:wordWrap/>
                    <w:overflowPunct/>
                    <w:topLinePunct w:val="0"/>
                    <w:autoSpaceDN/>
                    <w:bidi w:val="0"/>
                    <w:spacing w:line="360" w:lineRule="auto"/>
                    <w:jc w:val="center"/>
                    <w:rPr>
                      <w:rFonts w:hint="default" w:ascii="Times New Roman" w:hAnsi="Times New Roman" w:cs="Times New Roman"/>
                      <w:color w:val="000000"/>
                      <w:sz w:val="20"/>
                      <w:szCs w:val="20"/>
                    </w:rPr>
                  </w:pPr>
                </w:p>
              </w:tc>
              <w:tc>
                <w:tcPr>
                  <w:tcW w:w="0" w:type="auto"/>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2/61 (3.3)</w:t>
                  </w:r>
                </w:p>
              </w:tc>
              <w:tc>
                <w:tcPr>
                  <w:tcW w:w="0" w:type="auto"/>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1/51 (2.0)</w:t>
                  </w:r>
                </w:p>
              </w:tc>
              <w:tc>
                <w:tcPr>
                  <w:tcW w:w="0" w:type="auto"/>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3/112 (2.7)</w:t>
                  </w:r>
                </w:p>
              </w:tc>
            </w:tr>
            <w:tr>
              <w:tblPrEx>
                <w:tblCellMar>
                  <w:top w:w="0" w:type="dxa"/>
                  <w:left w:w="108" w:type="dxa"/>
                  <w:bottom w:w="0" w:type="dxa"/>
                  <w:right w:w="108" w:type="dxa"/>
                </w:tblCellMar>
              </w:tblPrEx>
              <w:trPr>
                <w:trHeight w:val="580" w:hRule="atLeast"/>
              </w:trPr>
              <w:tc>
                <w:tcPr>
                  <w:tcW w:w="1481" w:type="dxa"/>
                  <w:tcBorders>
                    <w:top w:val="nil"/>
                    <w:left w:val="nil"/>
                    <w:bottom w:val="single" w:color="000000" w:sz="4" w:space="0"/>
                    <w:right w:val="nil"/>
                  </w:tcBorders>
                  <w:noWrap/>
                  <w:vAlign w:val="center"/>
                </w:tcPr>
                <w:p>
                  <w:pPr>
                    <w:keepNext w:val="0"/>
                    <w:keepLines w:val="0"/>
                    <w:pageBreakBefore w:val="0"/>
                    <w:widowControl/>
                    <w:kinsoku/>
                    <w:wordWrap/>
                    <w:overflowPunct/>
                    <w:topLinePunct w:val="0"/>
                    <w:autoSpaceDN/>
                    <w:bidi w:val="0"/>
                    <w:spacing w:line="360" w:lineRule="auto"/>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IV</w:t>
                  </w:r>
                </w:p>
              </w:tc>
              <w:tc>
                <w:tcPr>
                  <w:tcW w:w="2459" w:type="dxa"/>
                  <w:tcBorders>
                    <w:top w:val="nil"/>
                    <w:left w:val="nil"/>
                    <w:bottom w:val="single" w:color="000000" w:sz="4" w:space="0"/>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0/86 (0.0)</w:t>
                  </w:r>
                </w:p>
              </w:tc>
              <w:tc>
                <w:tcPr>
                  <w:tcW w:w="2367" w:type="dxa"/>
                  <w:tcBorders>
                    <w:top w:val="nil"/>
                    <w:left w:val="nil"/>
                    <w:bottom w:val="single" w:color="000000" w:sz="4" w:space="0"/>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0/40 (0.0)</w:t>
                  </w:r>
                </w:p>
              </w:tc>
              <w:tc>
                <w:tcPr>
                  <w:tcW w:w="0" w:type="auto"/>
                  <w:tcBorders>
                    <w:top w:val="nil"/>
                    <w:left w:val="nil"/>
                    <w:bottom w:val="single" w:color="000000" w:sz="4" w:space="0"/>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0/126 (0.0)</w:t>
                  </w:r>
                </w:p>
              </w:tc>
              <w:tc>
                <w:tcPr>
                  <w:tcW w:w="0" w:type="auto"/>
                  <w:tcBorders>
                    <w:top w:val="nil"/>
                    <w:left w:val="nil"/>
                    <w:bottom w:val="single" w:color="000000" w:sz="4" w:space="0"/>
                    <w:right w:val="nil"/>
                  </w:tcBorders>
                  <w:noWrap/>
                  <w:vAlign w:val="center"/>
                </w:tcPr>
                <w:p>
                  <w:pPr>
                    <w:keepNext w:val="0"/>
                    <w:keepLines w:val="0"/>
                    <w:pageBreakBefore w:val="0"/>
                    <w:kinsoku/>
                    <w:wordWrap/>
                    <w:overflowPunct/>
                    <w:topLinePunct w:val="0"/>
                    <w:autoSpaceDN/>
                    <w:bidi w:val="0"/>
                    <w:spacing w:line="360" w:lineRule="auto"/>
                    <w:jc w:val="center"/>
                    <w:rPr>
                      <w:rFonts w:hint="default" w:ascii="Times New Roman" w:hAnsi="Times New Roman" w:cs="Times New Roman"/>
                      <w:color w:val="000000"/>
                      <w:sz w:val="20"/>
                      <w:szCs w:val="20"/>
                    </w:rPr>
                  </w:pPr>
                </w:p>
              </w:tc>
              <w:tc>
                <w:tcPr>
                  <w:tcW w:w="0" w:type="auto"/>
                  <w:tcBorders>
                    <w:top w:val="nil"/>
                    <w:left w:val="nil"/>
                    <w:bottom w:val="single" w:color="000000" w:sz="4" w:space="0"/>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1/61 (1.6)</w:t>
                  </w:r>
                </w:p>
              </w:tc>
              <w:tc>
                <w:tcPr>
                  <w:tcW w:w="0" w:type="auto"/>
                  <w:tcBorders>
                    <w:top w:val="nil"/>
                    <w:left w:val="nil"/>
                    <w:bottom w:val="single" w:color="000000" w:sz="4" w:space="0"/>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0/51 (0.0)</w:t>
                  </w:r>
                </w:p>
              </w:tc>
              <w:tc>
                <w:tcPr>
                  <w:tcW w:w="0" w:type="auto"/>
                  <w:tcBorders>
                    <w:top w:val="nil"/>
                    <w:left w:val="nil"/>
                    <w:bottom w:val="single" w:color="000000" w:sz="4" w:space="0"/>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1/112 (0.9)</w:t>
                  </w:r>
                </w:p>
              </w:tc>
            </w:tr>
          </w:tbl>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cs="Times New Roman" w:eastAsiaTheme="minorEastAsia"/>
                <w:b/>
                <w:bCs/>
                <w:color w:val="000000"/>
                <w:sz w:val="20"/>
                <w:szCs w:val="20"/>
                <w:lang w:val="en-US" w:eastAsia="zh-CN"/>
              </w:rPr>
            </w:pPr>
          </w:p>
        </w:tc>
      </w:tr>
    </w:tbl>
    <w:p>
      <w:pPr>
        <w:bidi w:val="0"/>
        <w:ind w:firstLine="390" w:firstLineChars="0"/>
        <w:jc w:val="left"/>
        <w:rPr>
          <w:rFonts w:hint="default" w:ascii="Times New Roman" w:hAnsi="Times New Roman" w:cs="Times New Roman"/>
          <w:sz w:val="20"/>
          <w:szCs w:val="20"/>
          <w:lang w:val="en-US" w:eastAsia="zh-CN"/>
        </w:rPr>
        <w:sectPr>
          <w:pgSz w:w="16838" w:h="11906" w:orient="landscape"/>
          <w:pgMar w:top="1800" w:right="1440" w:bottom="1800" w:left="1440" w:header="851" w:footer="992" w:gutter="0"/>
          <w:pgNumType w:fmt="decimal"/>
          <w:cols w:space="425" w:num="1"/>
          <w:docGrid w:type="lines" w:linePitch="312" w:charSpace="0"/>
        </w:sectPr>
      </w:pPr>
    </w:p>
    <w:p>
      <w:pPr>
        <w:bidi w:val="0"/>
        <w:ind w:firstLine="390" w:firstLineChars="0"/>
        <w:jc w:val="left"/>
        <w:rPr>
          <w:rFonts w:hint="default" w:ascii="Times New Roman" w:hAnsi="Times New Roman" w:cs="Times New Roman"/>
          <w:sz w:val="20"/>
          <w:szCs w:val="20"/>
          <w:lang w:val="en-US" w:eastAsia="zh-CN"/>
        </w:rPr>
      </w:pPr>
    </w:p>
    <w:p>
      <w:pPr>
        <w:bidi w:val="0"/>
        <w:ind w:firstLine="390" w:firstLineChars="0"/>
        <w:jc w:val="left"/>
        <w:rPr>
          <w:rFonts w:hint="default" w:ascii="Times New Roman" w:hAnsi="Times New Roman" w:cs="Times New Roman"/>
          <w:sz w:val="20"/>
          <w:szCs w:val="20"/>
          <w:lang w:val="en-US" w:eastAsia="zh-CN"/>
        </w:rPr>
      </w:pPr>
    </w:p>
    <w:tbl>
      <w:tblPr>
        <w:tblStyle w:val="5"/>
        <w:tblpPr w:leftFromText="180" w:rightFromText="180" w:vertAnchor="text" w:horzAnchor="page" w:tblpX="1191" w:tblpY="33"/>
        <w:tblOverlap w:val="never"/>
        <w:tblW w:w="10362" w:type="dxa"/>
        <w:tblInd w:w="0" w:type="dxa"/>
        <w:tblLayout w:type="autofit"/>
        <w:tblCellMar>
          <w:top w:w="0" w:type="dxa"/>
          <w:left w:w="108" w:type="dxa"/>
          <w:bottom w:w="0" w:type="dxa"/>
          <w:right w:w="108" w:type="dxa"/>
        </w:tblCellMar>
      </w:tblPr>
      <w:tblGrid>
        <w:gridCol w:w="4932"/>
        <w:gridCol w:w="2208"/>
        <w:gridCol w:w="2041"/>
        <w:gridCol w:w="1181"/>
      </w:tblGrid>
      <w:tr>
        <w:tblPrEx>
          <w:tblCellMar>
            <w:top w:w="0" w:type="dxa"/>
            <w:left w:w="108" w:type="dxa"/>
            <w:bottom w:w="0" w:type="dxa"/>
            <w:right w:w="108" w:type="dxa"/>
          </w:tblCellMar>
        </w:tblPrEx>
        <w:trPr>
          <w:trHeight w:val="452" w:hRule="atLeast"/>
        </w:trPr>
        <w:tc>
          <w:tcPr>
            <w:tcW w:w="10362" w:type="dxa"/>
            <w:gridSpan w:val="4"/>
            <w:tcBorders>
              <w:top w:val="single" w:color="000000" w:sz="4" w:space="0"/>
              <w:left w:val="nil"/>
              <w:bottom w:val="single" w:color="000000" w:sz="4" w:space="0"/>
              <w:right w:val="nil"/>
            </w:tcBorders>
            <w:noWrap/>
            <w:vAlign w:val="center"/>
          </w:tcPr>
          <w:p>
            <w:pPr>
              <w:keepNext w:val="0"/>
              <w:keepLines w:val="0"/>
              <w:widowControl/>
              <w:suppressLineNumbers w:val="0"/>
              <w:spacing w:before="0" w:beforeAutospacing="0" w:after="0" w:afterAutospacing="0" w:line="360" w:lineRule="auto"/>
              <w:ind w:left="0" w:right="0"/>
              <w:jc w:val="left"/>
              <w:textAlignment w:val="center"/>
              <w:rPr>
                <w:rFonts w:hint="default" w:ascii="Times New Roman" w:hAnsi="Times New Roman" w:cs="Times New Roman"/>
                <w:b/>
                <w:bCs/>
                <w:i/>
                <w:iCs/>
                <w:color w:val="000000"/>
                <w:kern w:val="0"/>
                <w:sz w:val="20"/>
                <w:szCs w:val="20"/>
              </w:rPr>
            </w:pPr>
            <w:r>
              <w:rPr>
                <w:rFonts w:hint="default" w:ascii="Times New Roman" w:hAnsi="Times New Roman" w:cs="Times New Roman"/>
                <w:b/>
                <w:bCs/>
                <w:color w:val="000000"/>
                <w:kern w:val="0"/>
                <w:sz w:val="20"/>
                <w:szCs w:val="20"/>
              </w:rPr>
              <w:t>Supplementary table 3</w:t>
            </w:r>
            <w:r>
              <w:rPr>
                <w:rFonts w:hint="eastAsia" w:ascii="Times New Roman" w:hAnsi="Times New Roman" w:cs="Times New Roman"/>
                <w:b/>
                <w:bCs/>
                <w:color w:val="000000"/>
                <w:kern w:val="0"/>
                <w:sz w:val="20"/>
                <w:szCs w:val="20"/>
                <w:lang w:val="en-US" w:eastAsia="zh-CN"/>
              </w:rPr>
              <w:t>.</w:t>
            </w:r>
            <w:r>
              <w:rPr>
                <w:rFonts w:hint="default" w:ascii="Times New Roman" w:hAnsi="Times New Roman" w:cs="Times New Roman"/>
                <w:b/>
                <w:bCs/>
                <w:color w:val="000000"/>
                <w:kern w:val="0"/>
                <w:sz w:val="20"/>
                <w:szCs w:val="20"/>
              </w:rPr>
              <w:t xml:space="preserve"> Lung cancer screening results of chest LDCT during baseline and follow-up in healthy physical examination population.</w:t>
            </w:r>
          </w:p>
        </w:tc>
      </w:tr>
      <w:tr>
        <w:tblPrEx>
          <w:tblCellMar>
            <w:top w:w="0" w:type="dxa"/>
            <w:left w:w="108" w:type="dxa"/>
            <w:bottom w:w="0" w:type="dxa"/>
            <w:right w:w="108" w:type="dxa"/>
          </w:tblCellMar>
        </w:tblPrEx>
        <w:trPr>
          <w:trHeight w:val="452" w:hRule="atLeast"/>
        </w:trPr>
        <w:tc>
          <w:tcPr>
            <w:tcW w:w="4932" w:type="dxa"/>
            <w:vMerge w:val="restart"/>
            <w:tcBorders>
              <w:top w:val="single" w:color="000000" w:sz="4" w:space="0"/>
              <w:left w:val="nil"/>
              <w:bottom w:val="single" w:color="000000" w:sz="4" w:space="0"/>
              <w:right w:val="nil"/>
            </w:tcBorders>
            <w:noWrap/>
            <w:vAlign w:val="center"/>
          </w:tcPr>
          <w:p>
            <w:pPr>
              <w:keepNext w:val="0"/>
              <w:keepLines w:val="0"/>
              <w:widowControl/>
              <w:suppressLineNumbers w:val="0"/>
              <w:spacing w:before="0" w:beforeAutospacing="0" w:after="0" w:afterAutospacing="0" w:line="360" w:lineRule="auto"/>
              <w:ind w:left="0" w:right="0"/>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Characteristics</w:t>
            </w:r>
          </w:p>
        </w:tc>
        <w:tc>
          <w:tcPr>
            <w:tcW w:w="2208" w:type="dxa"/>
            <w:tcBorders>
              <w:top w:val="single" w:color="000000" w:sz="4" w:space="0"/>
              <w:left w:val="nil"/>
              <w:bottom w:val="nil"/>
              <w:right w:val="nil"/>
            </w:tcBorders>
            <w:noWrap/>
            <w:vAlign w:val="center"/>
          </w:tcPr>
          <w:p>
            <w:pPr>
              <w:keepNext w:val="0"/>
              <w:keepLines w:val="0"/>
              <w:widowControl/>
              <w:suppressLineNumbers w:val="0"/>
              <w:spacing w:before="0" w:beforeAutospacing="0" w:after="0" w:afterAutospacing="0" w:line="360" w:lineRule="auto"/>
              <w:ind w:left="0" w:right="0"/>
              <w:jc w:val="center"/>
              <w:textAlignment w:val="center"/>
              <w:rPr>
                <w:rFonts w:hint="default" w:ascii="Times New Roman" w:hAnsi="Times New Roman" w:cs="Times New Roman"/>
                <w:color w:val="000000"/>
                <w:sz w:val="20"/>
                <w:szCs w:val="20"/>
              </w:rPr>
            </w:pPr>
            <w:r>
              <w:rPr>
                <w:rFonts w:hint="default" w:ascii="Times New Roman" w:hAnsi="Times New Roman" w:cs="Times New Roman"/>
                <w:bCs/>
                <w:kern w:val="44"/>
                <w:sz w:val="20"/>
                <w:szCs w:val="20"/>
              </w:rPr>
              <w:t>thin-slice</w:t>
            </w:r>
            <w:r>
              <w:rPr>
                <w:rFonts w:hint="default" w:ascii="Times New Roman" w:hAnsi="Times New Roman" w:cs="Times New Roman"/>
                <w:color w:val="000000"/>
                <w:kern w:val="0"/>
                <w:sz w:val="20"/>
                <w:szCs w:val="20"/>
              </w:rPr>
              <w:t xml:space="preserve"> (%)</w:t>
            </w:r>
          </w:p>
        </w:tc>
        <w:tc>
          <w:tcPr>
            <w:tcW w:w="2041" w:type="dxa"/>
            <w:tcBorders>
              <w:top w:val="single" w:color="000000" w:sz="4" w:space="0"/>
              <w:left w:val="nil"/>
              <w:bottom w:val="nil"/>
              <w:right w:val="nil"/>
            </w:tcBorders>
            <w:noWrap/>
            <w:vAlign w:val="center"/>
          </w:tcPr>
          <w:p>
            <w:pPr>
              <w:keepNext w:val="0"/>
              <w:keepLines w:val="0"/>
              <w:widowControl/>
              <w:suppressLineNumbers w:val="0"/>
              <w:spacing w:before="0" w:beforeAutospacing="0" w:after="0" w:afterAutospacing="0" w:line="360" w:lineRule="auto"/>
              <w:ind w:left="0" w:right="0"/>
              <w:jc w:val="center"/>
              <w:textAlignment w:val="center"/>
              <w:rPr>
                <w:rFonts w:hint="default" w:ascii="Times New Roman" w:hAnsi="Times New Roman" w:cs="Times New Roman"/>
                <w:color w:val="000000"/>
                <w:sz w:val="20"/>
                <w:szCs w:val="20"/>
              </w:rPr>
            </w:pPr>
            <w:r>
              <w:rPr>
                <w:rFonts w:hint="default" w:ascii="Times New Roman" w:hAnsi="Times New Roman" w:cs="Times New Roman"/>
                <w:bCs/>
                <w:kern w:val="44"/>
                <w:sz w:val="20"/>
                <w:szCs w:val="20"/>
              </w:rPr>
              <w:t>thick-slice</w:t>
            </w:r>
            <w:r>
              <w:rPr>
                <w:rFonts w:hint="default" w:ascii="Times New Roman" w:hAnsi="Times New Roman" w:cs="Times New Roman"/>
                <w:color w:val="000000"/>
                <w:kern w:val="0"/>
                <w:sz w:val="20"/>
                <w:szCs w:val="20"/>
              </w:rPr>
              <w:t xml:space="preserve"> (%)</w:t>
            </w:r>
          </w:p>
        </w:tc>
        <w:tc>
          <w:tcPr>
            <w:tcW w:w="1181" w:type="dxa"/>
            <w:vMerge w:val="restart"/>
            <w:tcBorders>
              <w:top w:val="single" w:color="000000" w:sz="4" w:space="0"/>
              <w:left w:val="nil"/>
              <w:bottom w:val="single" w:color="000000" w:sz="4" w:space="0"/>
              <w:right w:val="nil"/>
            </w:tcBorders>
            <w:noWrap/>
            <w:vAlign w:val="center"/>
          </w:tcPr>
          <w:p>
            <w:pPr>
              <w:keepNext w:val="0"/>
              <w:keepLines w:val="0"/>
              <w:widowControl/>
              <w:suppressLineNumbers w:val="0"/>
              <w:spacing w:before="0" w:beforeAutospacing="0" w:after="0" w:afterAutospacing="0" w:line="360" w:lineRule="auto"/>
              <w:ind w:left="0" w:right="0"/>
              <w:jc w:val="center"/>
              <w:textAlignment w:val="center"/>
              <w:rPr>
                <w:rFonts w:hint="default" w:ascii="Times New Roman" w:hAnsi="Times New Roman" w:cs="Times New Roman"/>
                <w:i/>
                <w:iCs/>
                <w:color w:val="000000"/>
                <w:sz w:val="20"/>
                <w:szCs w:val="20"/>
              </w:rPr>
            </w:pPr>
            <w:r>
              <w:rPr>
                <w:rFonts w:hint="default" w:ascii="Times New Roman" w:hAnsi="Times New Roman" w:cs="Times New Roman"/>
                <w:b/>
                <w:bCs/>
                <w:i/>
                <w:iCs/>
                <w:color w:val="000000"/>
                <w:kern w:val="0"/>
                <w:sz w:val="20"/>
                <w:szCs w:val="20"/>
              </w:rPr>
              <w:t>P</w:t>
            </w:r>
            <w:r>
              <w:rPr>
                <w:rFonts w:hint="default" w:ascii="Times New Roman" w:hAnsi="Times New Roman" w:cs="Times New Roman"/>
                <w:b/>
                <w:bCs/>
                <w:i/>
                <w:iCs/>
                <w:color w:val="000000"/>
                <w:kern w:val="0"/>
                <w:sz w:val="20"/>
                <w:szCs w:val="20"/>
                <w:lang w:val="en-US" w:eastAsia="zh-CN"/>
              </w:rPr>
              <w:t>-value</w:t>
            </w:r>
          </w:p>
        </w:tc>
      </w:tr>
      <w:tr>
        <w:tblPrEx>
          <w:tblCellMar>
            <w:top w:w="0" w:type="dxa"/>
            <w:left w:w="108" w:type="dxa"/>
            <w:bottom w:w="0" w:type="dxa"/>
            <w:right w:w="108" w:type="dxa"/>
          </w:tblCellMar>
        </w:tblPrEx>
        <w:trPr>
          <w:trHeight w:val="452" w:hRule="atLeast"/>
        </w:trPr>
        <w:tc>
          <w:tcPr>
            <w:tcW w:w="4932" w:type="dxa"/>
            <w:vMerge w:val="continue"/>
            <w:tcBorders>
              <w:top w:val="single" w:color="000000" w:sz="4" w:space="0"/>
              <w:left w:val="nil"/>
              <w:bottom w:val="single" w:color="000000" w:sz="4" w:space="0"/>
              <w:right w:val="nil"/>
            </w:tcBorders>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color w:val="000000"/>
                <w:sz w:val="20"/>
                <w:szCs w:val="20"/>
              </w:rPr>
            </w:pPr>
          </w:p>
        </w:tc>
        <w:tc>
          <w:tcPr>
            <w:tcW w:w="2208" w:type="dxa"/>
            <w:tcBorders>
              <w:top w:val="nil"/>
              <w:left w:val="nil"/>
              <w:bottom w:val="single" w:color="000000" w:sz="4" w:space="0"/>
              <w:right w:val="nil"/>
            </w:tcBorders>
            <w:noWrap/>
            <w:vAlign w:val="center"/>
          </w:tcPr>
          <w:p>
            <w:pPr>
              <w:keepNext w:val="0"/>
              <w:keepLines w:val="0"/>
              <w:widowControl/>
              <w:suppressLineNumbers w:val="0"/>
              <w:spacing w:before="0" w:beforeAutospacing="0" w:after="0" w:afterAutospacing="0" w:line="360" w:lineRule="auto"/>
              <w:ind w:left="0" w:right="0"/>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(N=132)</w:t>
            </w:r>
          </w:p>
        </w:tc>
        <w:tc>
          <w:tcPr>
            <w:tcW w:w="2041" w:type="dxa"/>
            <w:tcBorders>
              <w:top w:val="nil"/>
              <w:left w:val="nil"/>
              <w:bottom w:val="single" w:color="000000" w:sz="4" w:space="0"/>
              <w:right w:val="nil"/>
            </w:tcBorders>
            <w:noWrap/>
            <w:vAlign w:val="center"/>
          </w:tcPr>
          <w:p>
            <w:pPr>
              <w:keepNext w:val="0"/>
              <w:keepLines w:val="0"/>
              <w:widowControl/>
              <w:suppressLineNumbers w:val="0"/>
              <w:spacing w:before="0" w:beforeAutospacing="0" w:after="0" w:afterAutospacing="0" w:line="360" w:lineRule="auto"/>
              <w:ind w:left="0" w:right="0"/>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(N=121)</w:t>
            </w:r>
          </w:p>
        </w:tc>
        <w:tc>
          <w:tcPr>
            <w:tcW w:w="1181" w:type="dxa"/>
            <w:vMerge w:val="continue"/>
            <w:tcBorders>
              <w:top w:val="single" w:color="000000" w:sz="4" w:space="0"/>
              <w:left w:val="nil"/>
              <w:bottom w:val="single" w:color="000000" w:sz="4" w:space="0"/>
              <w:right w:val="nil"/>
            </w:tcBorders>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i/>
                <w:iCs/>
                <w:color w:val="000000"/>
                <w:sz w:val="20"/>
                <w:szCs w:val="20"/>
              </w:rPr>
            </w:pPr>
          </w:p>
        </w:tc>
      </w:tr>
      <w:tr>
        <w:tblPrEx>
          <w:tblCellMar>
            <w:top w:w="0" w:type="dxa"/>
            <w:left w:w="108" w:type="dxa"/>
            <w:bottom w:w="0" w:type="dxa"/>
            <w:right w:w="108" w:type="dxa"/>
          </w:tblCellMar>
        </w:tblPrEx>
        <w:trPr>
          <w:trHeight w:val="539" w:hRule="atLeast"/>
        </w:trPr>
        <w:tc>
          <w:tcPr>
            <w:tcW w:w="4932" w:type="dxa"/>
            <w:tcBorders>
              <w:top w:val="nil"/>
              <w:left w:val="nil"/>
              <w:bottom w:val="nil"/>
              <w:right w:val="nil"/>
            </w:tcBorders>
            <w:noWrap/>
            <w:vAlign w:val="center"/>
          </w:tcPr>
          <w:p>
            <w:pPr>
              <w:keepNext w:val="0"/>
              <w:keepLines w:val="0"/>
              <w:widowControl/>
              <w:suppressLineNumbers w:val="0"/>
              <w:spacing w:before="0" w:beforeAutospacing="0" w:after="0" w:afterAutospacing="0" w:line="360" w:lineRule="auto"/>
              <w:ind w:left="0" w:right="0"/>
              <w:jc w:val="center"/>
              <w:textAlignment w:val="center"/>
              <w:rPr>
                <w:rFonts w:hint="default" w:ascii="Times New Roman" w:hAnsi="Times New Roman" w:cs="Times New Roman"/>
                <w:b/>
                <w:bCs/>
                <w:color w:val="000000"/>
                <w:sz w:val="20"/>
                <w:szCs w:val="20"/>
              </w:rPr>
            </w:pPr>
            <w:r>
              <w:rPr>
                <w:rFonts w:hint="default" w:ascii="Times New Roman" w:hAnsi="Times New Roman" w:cs="Times New Roman"/>
                <w:b/>
                <w:bCs/>
                <w:color w:val="000000"/>
                <w:kern w:val="0"/>
                <w:sz w:val="20"/>
                <w:szCs w:val="20"/>
              </w:rPr>
              <w:t>Number of lung cancers detected</w:t>
            </w:r>
          </w:p>
        </w:tc>
        <w:tc>
          <w:tcPr>
            <w:tcW w:w="2208" w:type="dxa"/>
            <w:tcBorders>
              <w:top w:val="nil"/>
              <w:left w:val="nil"/>
              <w:bottom w:val="nil"/>
              <w:right w:val="nil"/>
            </w:tcBorders>
            <w:noWrap/>
            <w:vAlign w:val="center"/>
          </w:tcPr>
          <w:p>
            <w:pPr>
              <w:keepNext w:val="0"/>
              <w:keepLines w:val="0"/>
              <w:suppressLineNumbers w:val="0"/>
              <w:spacing w:before="0" w:beforeAutospacing="0" w:after="0" w:afterAutospacing="0" w:line="360" w:lineRule="auto"/>
              <w:ind w:left="0" w:right="0"/>
              <w:jc w:val="center"/>
              <w:rPr>
                <w:rFonts w:hint="default" w:ascii="Times New Roman" w:hAnsi="Times New Roman" w:cs="Times New Roman"/>
                <w:color w:val="000000"/>
                <w:sz w:val="20"/>
                <w:szCs w:val="20"/>
              </w:rPr>
            </w:pPr>
          </w:p>
        </w:tc>
        <w:tc>
          <w:tcPr>
            <w:tcW w:w="2041" w:type="dxa"/>
            <w:tcBorders>
              <w:top w:val="nil"/>
              <w:left w:val="nil"/>
              <w:bottom w:val="nil"/>
              <w:right w:val="nil"/>
            </w:tcBorders>
            <w:noWrap/>
            <w:vAlign w:val="center"/>
          </w:tcPr>
          <w:p>
            <w:pPr>
              <w:keepNext w:val="0"/>
              <w:keepLines w:val="0"/>
              <w:suppressLineNumbers w:val="0"/>
              <w:spacing w:before="0" w:beforeAutospacing="0" w:after="0" w:afterAutospacing="0" w:line="360" w:lineRule="auto"/>
              <w:ind w:left="0" w:right="0"/>
              <w:jc w:val="center"/>
              <w:rPr>
                <w:rFonts w:hint="default" w:ascii="Times New Roman" w:hAnsi="Times New Roman" w:cs="Times New Roman"/>
                <w:color w:val="000000"/>
                <w:sz w:val="20"/>
                <w:szCs w:val="20"/>
              </w:rPr>
            </w:pPr>
          </w:p>
        </w:tc>
        <w:tc>
          <w:tcPr>
            <w:tcW w:w="1181" w:type="dxa"/>
            <w:tcBorders>
              <w:top w:val="nil"/>
              <w:left w:val="nil"/>
              <w:bottom w:val="nil"/>
              <w:right w:val="nil"/>
            </w:tcBorders>
            <w:noWrap/>
            <w:vAlign w:val="center"/>
          </w:tcPr>
          <w:p>
            <w:pPr>
              <w:keepNext w:val="0"/>
              <w:keepLines w:val="0"/>
              <w:widowControl/>
              <w:suppressLineNumbers w:val="0"/>
              <w:spacing w:before="0" w:beforeAutospacing="0" w:after="0" w:afterAutospacing="0" w:line="360" w:lineRule="auto"/>
              <w:ind w:left="0" w:right="0"/>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0.048</w:t>
            </w:r>
          </w:p>
        </w:tc>
      </w:tr>
      <w:tr>
        <w:tblPrEx>
          <w:tblCellMar>
            <w:top w:w="0" w:type="dxa"/>
            <w:left w:w="108" w:type="dxa"/>
            <w:bottom w:w="0" w:type="dxa"/>
            <w:right w:w="108" w:type="dxa"/>
          </w:tblCellMar>
        </w:tblPrEx>
        <w:trPr>
          <w:trHeight w:val="518" w:hRule="atLeast"/>
        </w:trPr>
        <w:tc>
          <w:tcPr>
            <w:tcW w:w="4932" w:type="dxa"/>
            <w:tcBorders>
              <w:top w:val="nil"/>
              <w:left w:val="nil"/>
              <w:bottom w:val="nil"/>
              <w:right w:val="nil"/>
            </w:tcBorders>
            <w:noWrap/>
            <w:vAlign w:val="center"/>
          </w:tcPr>
          <w:p>
            <w:pPr>
              <w:keepNext w:val="0"/>
              <w:keepLines w:val="0"/>
              <w:widowControl/>
              <w:suppressLineNumbers w:val="0"/>
              <w:spacing w:before="0" w:beforeAutospacing="0" w:after="0" w:afterAutospacing="0" w:line="360" w:lineRule="auto"/>
              <w:ind w:left="0" w:right="0"/>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Number of lung cancers detected at baseline</w:t>
            </w:r>
          </w:p>
        </w:tc>
        <w:tc>
          <w:tcPr>
            <w:tcW w:w="2208" w:type="dxa"/>
            <w:tcBorders>
              <w:top w:val="nil"/>
              <w:left w:val="nil"/>
              <w:bottom w:val="nil"/>
              <w:right w:val="nil"/>
            </w:tcBorders>
            <w:noWrap/>
            <w:vAlign w:val="center"/>
          </w:tcPr>
          <w:p>
            <w:pPr>
              <w:keepNext w:val="0"/>
              <w:keepLines w:val="0"/>
              <w:widowControl/>
              <w:suppressLineNumbers w:val="0"/>
              <w:spacing w:before="0" w:beforeAutospacing="0" w:after="0" w:afterAutospacing="0" w:line="360" w:lineRule="auto"/>
              <w:ind w:left="0" w:right="0"/>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87 (65.9)</w:t>
            </w:r>
          </w:p>
        </w:tc>
        <w:tc>
          <w:tcPr>
            <w:tcW w:w="2041" w:type="dxa"/>
            <w:tcBorders>
              <w:top w:val="nil"/>
              <w:left w:val="nil"/>
              <w:bottom w:val="nil"/>
              <w:right w:val="nil"/>
            </w:tcBorders>
            <w:noWrap/>
            <w:vAlign w:val="center"/>
          </w:tcPr>
          <w:p>
            <w:pPr>
              <w:keepNext w:val="0"/>
              <w:keepLines w:val="0"/>
              <w:widowControl/>
              <w:suppressLineNumbers w:val="0"/>
              <w:spacing w:before="0" w:beforeAutospacing="0" w:after="0" w:afterAutospacing="0" w:line="360" w:lineRule="auto"/>
              <w:ind w:left="0" w:right="0"/>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65 (53.7)</w:t>
            </w:r>
          </w:p>
        </w:tc>
        <w:tc>
          <w:tcPr>
            <w:tcW w:w="1181" w:type="dxa"/>
            <w:tcBorders>
              <w:top w:val="nil"/>
              <w:left w:val="nil"/>
              <w:bottom w:val="nil"/>
              <w:right w:val="nil"/>
            </w:tcBorders>
            <w:noWrap/>
            <w:vAlign w:val="center"/>
          </w:tcPr>
          <w:p>
            <w:pPr>
              <w:keepNext w:val="0"/>
              <w:keepLines w:val="0"/>
              <w:suppressLineNumbers w:val="0"/>
              <w:spacing w:before="0" w:beforeAutospacing="0" w:after="0" w:afterAutospacing="0" w:line="360" w:lineRule="auto"/>
              <w:ind w:left="0" w:right="0"/>
              <w:jc w:val="center"/>
              <w:rPr>
                <w:rFonts w:hint="default" w:ascii="Times New Roman" w:hAnsi="Times New Roman" w:cs="Times New Roman"/>
                <w:color w:val="000000"/>
                <w:sz w:val="20"/>
                <w:szCs w:val="20"/>
              </w:rPr>
            </w:pPr>
          </w:p>
        </w:tc>
      </w:tr>
      <w:tr>
        <w:tblPrEx>
          <w:tblCellMar>
            <w:top w:w="0" w:type="dxa"/>
            <w:left w:w="108" w:type="dxa"/>
            <w:bottom w:w="0" w:type="dxa"/>
            <w:right w:w="108" w:type="dxa"/>
          </w:tblCellMar>
        </w:tblPrEx>
        <w:trPr>
          <w:trHeight w:val="539" w:hRule="atLeast"/>
        </w:trPr>
        <w:tc>
          <w:tcPr>
            <w:tcW w:w="4932" w:type="dxa"/>
            <w:tcBorders>
              <w:top w:val="nil"/>
              <w:left w:val="nil"/>
              <w:bottom w:val="single" w:color="000000" w:sz="4" w:space="0"/>
              <w:right w:val="nil"/>
            </w:tcBorders>
            <w:noWrap/>
            <w:vAlign w:val="center"/>
          </w:tcPr>
          <w:p>
            <w:pPr>
              <w:keepNext w:val="0"/>
              <w:keepLines w:val="0"/>
              <w:widowControl/>
              <w:suppressLineNumbers w:val="0"/>
              <w:spacing w:before="0" w:beforeAutospacing="0" w:after="0" w:afterAutospacing="0" w:line="360" w:lineRule="auto"/>
              <w:ind w:left="0" w:right="0"/>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Number of lung cancers detected at follow-up</w:t>
            </w:r>
          </w:p>
        </w:tc>
        <w:tc>
          <w:tcPr>
            <w:tcW w:w="2208" w:type="dxa"/>
            <w:tcBorders>
              <w:top w:val="nil"/>
              <w:left w:val="nil"/>
              <w:bottom w:val="single" w:color="000000" w:sz="4" w:space="0"/>
              <w:right w:val="nil"/>
            </w:tcBorders>
            <w:noWrap/>
            <w:vAlign w:val="center"/>
          </w:tcPr>
          <w:p>
            <w:pPr>
              <w:keepNext w:val="0"/>
              <w:keepLines w:val="0"/>
              <w:widowControl/>
              <w:suppressLineNumbers w:val="0"/>
              <w:spacing w:before="0" w:beforeAutospacing="0" w:after="0" w:afterAutospacing="0" w:line="360" w:lineRule="auto"/>
              <w:ind w:left="0" w:right="0"/>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45 (34.1)</w:t>
            </w:r>
          </w:p>
        </w:tc>
        <w:tc>
          <w:tcPr>
            <w:tcW w:w="2041" w:type="dxa"/>
            <w:tcBorders>
              <w:top w:val="nil"/>
              <w:left w:val="nil"/>
              <w:bottom w:val="single" w:color="000000" w:sz="4" w:space="0"/>
              <w:right w:val="nil"/>
            </w:tcBorders>
            <w:noWrap/>
            <w:vAlign w:val="center"/>
          </w:tcPr>
          <w:p>
            <w:pPr>
              <w:keepNext w:val="0"/>
              <w:keepLines w:val="0"/>
              <w:widowControl/>
              <w:suppressLineNumbers w:val="0"/>
              <w:spacing w:before="0" w:beforeAutospacing="0" w:after="0" w:afterAutospacing="0" w:line="360" w:lineRule="auto"/>
              <w:ind w:left="0" w:right="0"/>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56 (46.3)</w:t>
            </w:r>
          </w:p>
        </w:tc>
        <w:tc>
          <w:tcPr>
            <w:tcW w:w="1181" w:type="dxa"/>
            <w:tcBorders>
              <w:top w:val="nil"/>
              <w:left w:val="nil"/>
              <w:bottom w:val="single" w:color="000000" w:sz="4" w:space="0"/>
              <w:right w:val="nil"/>
            </w:tcBorders>
            <w:noWrap/>
            <w:vAlign w:val="center"/>
          </w:tcPr>
          <w:p>
            <w:pPr>
              <w:keepNext w:val="0"/>
              <w:keepLines w:val="0"/>
              <w:suppressLineNumbers w:val="0"/>
              <w:spacing w:before="0" w:beforeAutospacing="0" w:after="0" w:afterAutospacing="0" w:line="360" w:lineRule="auto"/>
              <w:ind w:left="0" w:right="0"/>
              <w:jc w:val="center"/>
              <w:rPr>
                <w:rFonts w:hint="default" w:ascii="Times New Roman" w:hAnsi="Times New Roman" w:cs="Times New Roman"/>
                <w:color w:val="000000"/>
                <w:sz w:val="20"/>
                <w:szCs w:val="20"/>
              </w:rPr>
            </w:pPr>
          </w:p>
        </w:tc>
      </w:tr>
    </w:tbl>
    <w:p>
      <w:pPr>
        <w:bidi w:val="0"/>
        <w:ind w:firstLine="390" w:firstLineChars="0"/>
        <w:jc w:val="center"/>
        <w:rPr>
          <w:rFonts w:hint="default" w:ascii="Times New Roman" w:hAnsi="Times New Roman" w:cs="Times New Roman"/>
          <w:b/>
          <w:bCs/>
          <w:sz w:val="20"/>
          <w:szCs w:val="20"/>
          <w:lang w:val="en-US" w:eastAsia="zh-CN"/>
        </w:rPr>
      </w:pPr>
    </w:p>
    <w:p>
      <w:pPr>
        <w:bidi w:val="0"/>
        <w:ind w:firstLine="390" w:firstLineChars="0"/>
        <w:jc w:val="left"/>
        <w:rPr>
          <w:rFonts w:hint="default" w:ascii="Times New Roman" w:hAnsi="Times New Roman" w:cs="Times New Roman"/>
          <w:sz w:val="20"/>
          <w:szCs w:val="20"/>
          <w:lang w:val="en-US" w:eastAsia="zh-CN"/>
        </w:rPr>
      </w:pPr>
    </w:p>
    <w:tbl>
      <w:tblPr>
        <w:tblStyle w:val="5"/>
        <w:tblW w:w="10366" w:type="dxa"/>
        <w:tblInd w:w="-601" w:type="dxa"/>
        <w:tblLayout w:type="fixed"/>
        <w:tblCellMar>
          <w:top w:w="0" w:type="dxa"/>
          <w:left w:w="108" w:type="dxa"/>
          <w:bottom w:w="0" w:type="dxa"/>
          <w:right w:w="108" w:type="dxa"/>
        </w:tblCellMar>
      </w:tblPr>
      <w:tblGrid>
        <w:gridCol w:w="5245"/>
        <w:gridCol w:w="2098"/>
        <w:gridCol w:w="2040"/>
        <w:gridCol w:w="983"/>
      </w:tblGrid>
      <w:tr>
        <w:tblPrEx>
          <w:tblCellMar>
            <w:top w:w="0" w:type="dxa"/>
            <w:left w:w="108" w:type="dxa"/>
            <w:bottom w:w="0" w:type="dxa"/>
            <w:right w:w="108" w:type="dxa"/>
          </w:tblCellMar>
        </w:tblPrEx>
        <w:trPr>
          <w:trHeight w:val="480" w:hRule="atLeast"/>
        </w:trPr>
        <w:tc>
          <w:tcPr>
            <w:tcW w:w="10366" w:type="dxa"/>
            <w:gridSpan w:val="4"/>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left"/>
              <w:textAlignment w:val="center"/>
              <w:rPr>
                <w:rFonts w:hint="default" w:ascii="Times New Roman" w:hAnsi="Times New Roman" w:cs="Times New Roman"/>
                <w:b/>
                <w:bCs/>
                <w:color w:val="000000"/>
                <w:sz w:val="20"/>
                <w:szCs w:val="20"/>
              </w:rPr>
            </w:pPr>
            <w:r>
              <w:rPr>
                <w:rFonts w:hint="default" w:ascii="Times New Roman" w:hAnsi="Times New Roman" w:cs="Times New Roman"/>
                <w:b/>
                <w:bCs/>
                <w:color w:val="000000"/>
                <w:kern w:val="0"/>
                <w:sz w:val="20"/>
                <w:szCs w:val="20"/>
              </w:rPr>
              <w:t>Supplementary table</w:t>
            </w:r>
            <w:r>
              <w:rPr>
                <w:rFonts w:hint="default" w:ascii="Times New Roman" w:hAnsi="Times New Roman" w:cs="Times New Roman"/>
                <w:b/>
                <w:bCs/>
                <w:color w:val="000000"/>
                <w:kern w:val="0"/>
                <w:sz w:val="20"/>
                <w:szCs w:val="20"/>
                <w:lang w:val="en-US" w:eastAsia="zh-CN"/>
              </w:rPr>
              <w:t>4</w:t>
            </w:r>
            <w:r>
              <w:rPr>
                <w:rFonts w:hint="default" w:ascii="Times New Roman" w:hAnsi="Times New Roman" w:cs="Times New Roman"/>
                <w:b/>
                <w:bCs/>
                <w:color w:val="000000"/>
                <w:kern w:val="0"/>
                <w:sz w:val="20"/>
                <w:szCs w:val="20"/>
              </w:rPr>
              <w:t>. Stage IA1 Lung cancer screening results of chest LDCT in healthy physical examination population</w:t>
            </w:r>
          </w:p>
        </w:tc>
      </w:tr>
      <w:tr>
        <w:tblPrEx>
          <w:tblCellMar>
            <w:top w:w="0" w:type="dxa"/>
            <w:left w:w="108" w:type="dxa"/>
            <w:bottom w:w="0" w:type="dxa"/>
            <w:right w:w="108" w:type="dxa"/>
          </w:tblCellMar>
        </w:tblPrEx>
        <w:trPr>
          <w:trHeight w:val="513" w:hRule="atLeast"/>
        </w:trPr>
        <w:tc>
          <w:tcPr>
            <w:tcW w:w="5245" w:type="dxa"/>
            <w:vMerge w:val="restart"/>
            <w:tcBorders>
              <w:top w:val="single" w:color="000000" w:sz="4" w:space="0"/>
              <w:left w:val="nil"/>
              <w:bottom w:val="single" w:color="000000" w:sz="4" w:space="0"/>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Characteristics</w:t>
            </w:r>
          </w:p>
        </w:tc>
        <w:tc>
          <w:tcPr>
            <w:tcW w:w="2098" w:type="dxa"/>
            <w:tcBorders>
              <w:top w:val="single" w:color="000000" w:sz="4" w:space="0"/>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bCs/>
                <w:kern w:val="44"/>
                <w:sz w:val="20"/>
                <w:szCs w:val="20"/>
              </w:rPr>
              <w:t>thin-slice</w:t>
            </w:r>
            <w:r>
              <w:rPr>
                <w:rFonts w:hint="default" w:ascii="Times New Roman" w:hAnsi="Times New Roman" w:cs="Times New Roman"/>
                <w:color w:val="000000"/>
                <w:kern w:val="0"/>
                <w:sz w:val="20"/>
                <w:szCs w:val="20"/>
              </w:rPr>
              <w:t xml:space="preserve"> (%)</w:t>
            </w:r>
          </w:p>
        </w:tc>
        <w:tc>
          <w:tcPr>
            <w:tcW w:w="2040" w:type="dxa"/>
            <w:tcBorders>
              <w:top w:val="single" w:color="000000" w:sz="4" w:space="0"/>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bCs/>
                <w:kern w:val="44"/>
                <w:sz w:val="20"/>
                <w:szCs w:val="20"/>
              </w:rPr>
              <w:t>thick-slice</w:t>
            </w:r>
            <w:r>
              <w:rPr>
                <w:rFonts w:hint="default" w:ascii="Times New Roman" w:hAnsi="Times New Roman" w:cs="Times New Roman"/>
                <w:color w:val="000000"/>
                <w:kern w:val="0"/>
                <w:sz w:val="20"/>
                <w:szCs w:val="20"/>
              </w:rPr>
              <w:t xml:space="preserve"> (%)</w:t>
            </w:r>
          </w:p>
        </w:tc>
        <w:tc>
          <w:tcPr>
            <w:tcW w:w="983" w:type="dxa"/>
            <w:vMerge w:val="restart"/>
            <w:tcBorders>
              <w:top w:val="single" w:color="000000" w:sz="4" w:space="0"/>
              <w:left w:val="nil"/>
              <w:bottom w:val="single" w:color="000000" w:sz="4" w:space="0"/>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i/>
                <w:iCs/>
                <w:color w:val="000000"/>
                <w:sz w:val="20"/>
                <w:szCs w:val="20"/>
              </w:rPr>
            </w:pPr>
            <w:r>
              <w:rPr>
                <w:rFonts w:hint="default" w:ascii="Times New Roman" w:hAnsi="Times New Roman" w:cs="Times New Roman"/>
                <w:b/>
                <w:bCs/>
                <w:i/>
                <w:iCs/>
                <w:color w:val="000000"/>
                <w:kern w:val="0"/>
                <w:sz w:val="20"/>
                <w:szCs w:val="20"/>
              </w:rPr>
              <w:t>P-value</w:t>
            </w:r>
          </w:p>
        </w:tc>
      </w:tr>
      <w:tr>
        <w:tblPrEx>
          <w:tblCellMar>
            <w:top w:w="0" w:type="dxa"/>
            <w:left w:w="108" w:type="dxa"/>
            <w:bottom w:w="0" w:type="dxa"/>
            <w:right w:w="108" w:type="dxa"/>
          </w:tblCellMar>
        </w:tblPrEx>
        <w:trPr>
          <w:trHeight w:val="513" w:hRule="atLeast"/>
        </w:trPr>
        <w:tc>
          <w:tcPr>
            <w:tcW w:w="10366" w:type="dxa"/>
            <w:vMerge w:val="continue"/>
            <w:tcBorders>
              <w:top w:val="single" w:color="000000" w:sz="4" w:space="0"/>
              <w:left w:val="nil"/>
              <w:bottom w:val="single" w:color="000000" w:sz="4" w:space="0"/>
              <w:right w:val="nil"/>
            </w:tcBorders>
            <w:vAlign w:val="center"/>
          </w:tcPr>
          <w:p>
            <w:pPr>
              <w:keepNext w:val="0"/>
              <w:keepLines w:val="0"/>
              <w:pageBreakBefore w:val="0"/>
              <w:widowControl/>
              <w:kinsoku/>
              <w:wordWrap/>
              <w:overflowPunct/>
              <w:topLinePunct w:val="0"/>
              <w:autoSpaceDN/>
              <w:bidi w:val="0"/>
              <w:spacing w:line="360" w:lineRule="auto"/>
              <w:jc w:val="left"/>
              <w:rPr>
                <w:rFonts w:hint="default" w:ascii="Times New Roman" w:hAnsi="Times New Roman" w:cs="Times New Roman"/>
                <w:color w:val="000000"/>
                <w:sz w:val="20"/>
                <w:szCs w:val="20"/>
              </w:rPr>
            </w:pPr>
          </w:p>
        </w:tc>
        <w:tc>
          <w:tcPr>
            <w:tcW w:w="2098" w:type="dxa"/>
            <w:tcBorders>
              <w:top w:val="nil"/>
              <w:left w:val="nil"/>
              <w:bottom w:val="single" w:color="000000" w:sz="4" w:space="0"/>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(N=65)</w:t>
            </w:r>
          </w:p>
        </w:tc>
        <w:tc>
          <w:tcPr>
            <w:tcW w:w="2040" w:type="dxa"/>
            <w:tcBorders>
              <w:top w:val="nil"/>
              <w:left w:val="nil"/>
              <w:bottom w:val="single" w:color="000000" w:sz="4" w:space="0"/>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(N=48)</w:t>
            </w:r>
          </w:p>
        </w:tc>
        <w:tc>
          <w:tcPr>
            <w:tcW w:w="983" w:type="dxa"/>
            <w:vMerge w:val="continue"/>
            <w:tcBorders>
              <w:top w:val="single" w:color="000000" w:sz="4" w:space="0"/>
              <w:left w:val="nil"/>
              <w:bottom w:val="single" w:color="000000" w:sz="4" w:space="0"/>
              <w:right w:val="nil"/>
            </w:tcBorders>
            <w:vAlign w:val="center"/>
          </w:tcPr>
          <w:p>
            <w:pPr>
              <w:keepNext w:val="0"/>
              <w:keepLines w:val="0"/>
              <w:pageBreakBefore w:val="0"/>
              <w:widowControl/>
              <w:kinsoku/>
              <w:wordWrap/>
              <w:overflowPunct/>
              <w:topLinePunct w:val="0"/>
              <w:autoSpaceDN/>
              <w:bidi w:val="0"/>
              <w:spacing w:line="360" w:lineRule="auto"/>
              <w:jc w:val="left"/>
              <w:rPr>
                <w:rFonts w:hint="default" w:ascii="Times New Roman" w:hAnsi="Times New Roman" w:cs="Times New Roman"/>
                <w:i/>
                <w:iCs/>
                <w:color w:val="000000"/>
                <w:sz w:val="20"/>
                <w:szCs w:val="20"/>
              </w:rPr>
            </w:pPr>
          </w:p>
        </w:tc>
      </w:tr>
      <w:tr>
        <w:tblPrEx>
          <w:tblCellMar>
            <w:top w:w="0" w:type="dxa"/>
            <w:left w:w="108" w:type="dxa"/>
            <w:bottom w:w="0" w:type="dxa"/>
            <w:right w:w="108" w:type="dxa"/>
          </w:tblCellMar>
        </w:tblPrEx>
        <w:trPr>
          <w:trHeight w:val="581" w:hRule="atLeast"/>
        </w:trPr>
        <w:tc>
          <w:tcPr>
            <w:tcW w:w="5245"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left"/>
              <w:textAlignment w:val="center"/>
              <w:rPr>
                <w:rFonts w:hint="default" w:ascii="Times New Roman" w:hAnsi="Times New Roman" w:cs="Times New Roman"/>
                <w:b/>
                <w:bCs/>
                <w:color w:val="000000"/>
                <w:sz w:val="20"/>
                <w:szCs w:val="20"/>
              </w:rPr>
            </w:pPr>
            <w:r>
              <w:rPr>
                <w:rFonts w:hint="default" w:ascii="Times New Roman" w:hAnsi="Times New Roman" w:cs="Times New Roman"/>
                <w:b/>
                <w:bCs/>
                <w:color w:val="000000"/>
                <w:kern w:val="0"/>
                <w:sz w:val="20"/>
                <w:szCs w:val="20"/>
              </w:rPr>
              <w:t>Number of stage IA1 lung cancers detected</w:t>
            </w:r>
          </w:p>
        </w:tc>
        <w:tc>
          <w:tcPr>
            <w:tcW w:w="2098" w:type="dxa"/>
            <w:tcBorders>
              <w:top w:val="nil"/>
              <w:left w:val="nil"/>
              <w:bottom w:val="nil"/>
              <w:right w:val="nil"/>
            </w:tcBorders>
            <w:noWrap/>
            <w:vAlign w:val="center"/>
          </w:tcPr>
          <w:p>
            <w:pPr>
              <w:keepNext w:val="0"/>
              <w:keepLines w:val="0"/>
              <w:pageBreakBefore w:val="0"/>
              <w:kinsoku/>
              <w:wordWrap/>
              <w:overflowPunct/>
              <w:topLinePunct w:val="0"/>
              <w:autoSpaceDN/>
              <w:bidi w:val="0"/>
              <w:spacing w:line="360" w:lineRule="auto"/>
              <w:jc w:val="center"/>
              <w:rPr>
                <w:rFonts w:hint="default" w:ascii="Times New Roman" w:hAnsi="Times New Roman" w:cs="Times New Roman"/>
                <w:color w:val="000000"/>
                <w:sz w:val="20"/>
                <w:szCs w:val="20"/>
              </w:rPr>
            </w:pPr>
          </w:p>
        </w:tc>
        <w:tc>
          <w:tcPr>
            <w:tcW w:w="2040" w:type="dxa"/>
            <w:tcBorders>
              <w:top w:val="nil"/>
              <w:left w:val="nil"/>
              <w:bottom w:val="nil"/>
              <w:right w:val="nil"/>
            </w:tcBorders>
            <w:noWrap/>
            <w:vAlign w:val="center"/>
          </w:tcPr>
          <w:p>
            <w:pPr>
              <w:keepNext w:val="0"/>
              <w:keepLines w:val="0"/>
              <w:pageBreakBefore w:val="0"/>
              <w:kinsoku/>
              <w:wordWrap/>
              <w:overflowPunct/>
              <w:topLinePunct w:val="0"/>
              <w:autoSpaceDN/>
              <w:bidi w:val="0"/>
              <w:spacing w:line="360" w:lineRule="auto"/>
              <w:jc w:val="center"/>
              <w:rPr>
                <w:rFonts w:hint="default" w:ascii="Times New Roman" w:hAnsi="Times New Roman" w:cs="Times New Roman"/>
                <w:color w:val="000000"/>
                <w:sz w:val="20"/>
                <w:szCs w:val="20"/>
              </w:rPr>
            </w:pPr>
          </w:p>
        </w:tc>
        <w:tc>
          <w:tcPr>
            <w:tcW w:w="983"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0.290</w:t>
            </w:r>
          </w:p>
        </w:tc>
      </w:tr>
      <w:tr>
        <w:tblPrEx>
          <w:tblCellMar>
            <w:top w:w="0" w:type="dxa"/>
            <w:left w:w="108" w:type="dxa"/>
            <w:bottom w:w="0" w:type="dxa"/>
            <w:right w:w="108" w:type="dxa"/>
          </w:tblCellMar>
        </w:tblPrEx>
        <w:trPr>
          <w:trHeight w:val="549" w:hRule="atLeast"/>
        </w:trPr>
        <w:tc>
          <w:tcPr>
            <w:tcW w:w="5245"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Number of stage IA1 lung cancers detected at baseline</w:t>
            </w:r>
          </w:p>
        </w:tc>
        <w:tc>
          <w:tcPr>
            <w:tcW w:w="2098"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39 (60.0)</w:t>
            </w:r>
          </w:p>
        </w:tc>
        <w:tc>
          <w:tcPr>
            <w:tcW w:w="2040"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24 (50.0)</w:t>
            </w:r>
          </w:p>
        </w:tc>
        <w:tc>
          <w:tcPr>
            <w:tcW w:w="983" w:type="dxa"/>
            <w:tcBorders>
              <w:top w:val="nil"/>
              <w:left w:val="nil"/>
              <w:bottom w:val="nil"/>
              <w:right w:val="nil"/>
            </w:tcBorders>
            <w:noWrap/>
            <w:vAlign w:val="center"/>
          </w:tcPr>
          <w:p>
            <w:pPr>
              <w:keepNext w:val="0"/>
              <w:keepLines w:val="0"/>
              <w:pageBreakBefore w:val="0"/>
              <w:kinsoku/>
              <w:wordWrap/>
              <w:overflowPunct/>
              <w:topLinePunct w:val="0"/>
              <w:autoSpaceDN/>
              <w:bidi w:val="0"/>
              <w:spacing w:line="360" w:lineRule="auto"/>
              <w:jc w:val="center"/>
              <w:rPr>
                <w:rFonts w:hint="default" w:ascii="Times New Roman" w:hAnsi="Times New Roman" w:cs="Times New Roman"/>
                <w:color w:val="000000"/>
                <w:sz w:val="20"/>
                <w:szCs w:val="20"/>
              </w:rPr>
            </w:pPr>
          </w:p>
        </w:tc>
      </w:tr>
      <w:tr>
        <w:tblPrEx>
          <w:tblCellMar>
            <w:top w:w="0" w:type="dxa"/>
            <w:left w:w="108" w:type="dxa"/>
            <w:bottom w:w="0" w:type="dxa"/>
            <w:right w:w="108" w:type="dxa"/>
          </w:tblCellMar>
        </w:tblPrEx>
        <w:trPr>
          <w:trHeight w:val="581" w:hRule="atLeast"/>
        </w:trPr>
        <w:tc>
          <w:tcPr>
            <w:tcW w:w="5245" w:type="dxa"/>
            <w:tcBorders>
              <w:top w:val="nil"/>
              <w:left w:val="nil"/>
              <w:bottom w:val="single" w:color="000000" w:sz="4" w:space="0"/>
              <w:right w:val="nil"/>
            </w:tcBorders>
            <w:noWrap/>
            <w:vAlign w:val="center"/>
          </w:tcPr>
          <w:p>
            <w:pPr>
              <w:keepNext w:val="0"/>
              <w:keepLines w:val="0"/>
              <w:pageBreakBefore w:val="0"/>
              <w:widowControl/>
              <w:kinsoku/>
              <w:wordWrap/>
              <w:overflowPunct/>
              <w:topLinePunct w:val="0"/>
              <w:autoSpaceDN/>
              <w:bidi w:val="0"/>
              <w:spacing w:line="360" w:lineRule="auto"/>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Number of stage IA1 lung cancers detected at follow-up</w:t>
            </w:r>
          </w:p>
        </w:tc>
        <w:tc>
          <w:tcPr>
            <w:tcW w:w="2098" w:type="dxa"/>
            <w:tcBorders>
              <w:top w:val="nil"/>
              <w:left w:val="nil"/>
              <w:bottom w:val="single" w:color="000000" w:sz="4" w:space="0"/>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26 (40.0)</w:t>
            </w:r>
          </w:p>
        </w:tc>
        <w:tc>
          <w:tcPr>
            <w:tcW w:w="2040" w:type="dxa"/>
            <w:tcBorders>
              <w:top w:val="nil"/>
              <w:left w:val="nil"/>
              <w:bottom w:val="single" w:color="000000" w:sz="4" w:space="0"/>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24 (50.0)</w:t>
            </w:r>
          </w:p>
        </w:tc>
        <w:tc>
          <w:tcPr>
            <w:tcW w:w="983" w:type="dxa"/>
            <w:tcBorders>
              <w:top w:val="nil"/>
              <w:left w:val="nil"/>
              <w:bottom w:val="single" w:color="000000" w:sz="4" w:space="0"/>
              <w:right w:val="nil"/>
            </w:tcBorders>
            <w:noWrap/>
            <w:vAlign w:val="center"/>
          </w:tcPr>
          <w:p>
            <w:pPr>
              <w:keepNext w:val="0"/>
              <w:keepLines w:val="0"/>
              <w:pageBreakBefore w:val="0"/>
              <w:kinsoku/>
              <w:wordWrap/>
              <w:overflowPunct/>
              <w:topLinePunct w:val="0"/>
              <w:autoSpaceDN/>
              <w:bidi w:val="0"/>
              <w:spacing w:line="360" w:lineRule="auto"/>
              <w:jc w:val="center"/>
              <w:rPr>
                <w:rFonts w:hint="default" w:ascii="Times New Roman" w:hAnsi="Times New Roman" w:cs="Times New Roman"/>
                <w:color w:val="000000"/>
                <w:sz w:val="20"/>
                <w:szCs w:val="20"/>
              </w:rPr>
            </w:pPr>
          </w:p>
        </w:tc>
      </w:tr>
    </w:tbl>
    <w:p>
      <w:pPr>
        <w:bidi w:val="0"/>
        <w:jc w:val="left"/>
        <w:rPr>
          <w:rFonts w:hint="default" w:ascii="Times New Roman" w:hAnsi="Times New Roman" w:cs="Times New Roman"/>
          <w:sz w:val="20"/>
          <w:szCs w:val="20"/>
          <w:lang w:val="en-US" w:eastAsia="zh-CN"/>
        </w:rPr>
      </w:pPr>
    </w:p>
    <w:p>
      <w:pPr>
        <w:bidi w:val="0"/>
        <w:jc w:val="left"/>
        <w:rPr>
          <w:rFonts w:hint="default" w:ascii="Times New Roman" w:hAnsi="Times New Roman" w:cs="Times New Roman"/>
          <w:sz w:val="20"/>
          <w:szCs w:val="20"/>
          <w:lang w:val="en-US" w:eastAsia="zh-CN"/>
        </w:rPr>
      </w:pPr>
    </w:p>
    <w:p>
      <w:pPr>
        <w:bidi w:val="0"/>
        <w:jc w:val="left"/>
        <w:rPr>
          <w:rFonts w:hint="default" w:ascii="Times New Roman" w:hAnsi="Times New Roman" w:cs="Times New Roman"/>
          <w:sz w:val="20"/>
          <w:szCs w:val="20"/>
          <w:lang w:val="en-US" w:eastAsia="zh-CN"/>
        </w:rPr>
      </w:pPr>
    </w:p>
    <w:p>
      <w:pPr>
        <w:bidi w:val="0"/>
        <w:jc w:val="left"/>
        <w:rPr>
          <w:rFonts w:hint="default" w:ascii="Times New Roman" w:hAnsi="Times New Roman" w:cs="Times New Roman"/>
          <w:sz w:val="20"/>
          <w:szCs w:val="20"/>
          <w:lang w:val="en-US" w:eastAsia="zh-CN"/>
        </w:rPr>
      </w:pPr>
    </w:p>
    <w:p>
      <w:pPr>
        <w:bidi w:val="0"/>
        <w:jc w:val="left"/>
        <w:rPr>
          <w:rFonts w:hint="default" w:ascii="Times New Roman" w:hAnsi="Times New Roman" w:cs="Times New Roman"/>
          <w:sz w:val="20"/>
          <w:szCs w:val="20"/>
          <w:lang w:val="en-US" w:eastAsia="zh-CN"/>
        </w:rPr>
      </w:pPr>
    </w:p>
    <w:p>
      <w:pPr>
        <w:bidi w:val="0"/>
        <w:jc w:val="left"/>
        <w:rPr>
          <w:rFonts w:hint="default" w:ascii="Times New Roman" w:hAnsi="Times New Roman" w:cs="Times New Roman"/>
          <w:sz w:val="20"/>
          <w:szCs w:val="20"/>
          <w:lang w:val="en-US" w:eastAsia="zh-CN"/>
        </w:rPr>
      </w:pPr>
    </w:p>
    <w:p>
      <w:pPr>
        <w:bidi w:val="0"/>
        <w:jc w:val="left"/>
        <w:rPr>
          <w:rFonts w:hint="default" w:ascii="Times New Roman" w:hAnsi="Times New Roman" w:cs="Times New Roman"/>
          <w:sz w:val="20"/>
          <w:szCs w:val="20"/>
          <w:lang w:val="en-US" w:eastAsia="zh-CN"/>
        </w:rPr>
      </w:pPr>
    </w:p>
    <w:p>
      <w:pPr>
        <w:bidi w:val="0"/>
        <w:jc w:val="left"/>
        <w:rPr>
          <w:rFonts w:hint="default" w:ascii="Times New Roman" w:hAnsi="Times New Roman" w:cs="Times New Roman"/>
          <w:sz w:val="20"/>
          <w:szCs w:val="20"/>
          <w:lang w:val="en-US" w:eastAsia="zh-CN"/>
        </w:rPr>
      </w:pPr>
    </w:p>
    <w:p>
      <w:pPr>
        <w:bidi w:val="0"/>
        <w:jc w:val="left"/>
        <w:rPr>
          <w:rFonts w:hint="default" w:ascii="Times New Roman" w:hAnsi="Times New Roman" w:cs="Times New Roman"/>
          <w:sz w:val="20"/>
          <w:szCs w:val="20"/>
          <w:lang w:val="en-US" w:eastAsia="zh-CN"/>
        </w:rPr>
      </w:pPr>
    </w:p>
    <w:p>
      <w:pPr>
        <w:bidi w:val="0"/>
        <w:jc w:val="left"/>
        <w:rPr>
          <w:rFonts w:hint="default" w:ascii="Times New Roman" w:hAnsi="Times New Roman" w:cs="Times New Roman"/>
          <w:sz w:val="20"/>
          <w:szCs w:val="20"/>
          <w:lang w:val="en-US" w:eastAsia="zh-CN"/>
        </w:rPr>
      </w:pPr>
    </w:p>
    <w:p>
      <w:pPr>
        <w:bidi w:val="0"/>
        <w:jc w:val="left"/>
        <w:rPr>
          <w:rFonts w:hint="default" w:ascii="Times New Roman" w:hAnsi="Times New Roman" w:cs="Times New Roman"/>
          <w:sz w:val="20"/>
          <w:szCs w:val="20"/>
          <w:lang w:val="en-US" w:eastAsia="zh-CN"/>
        </w:rPr>
      </w:pPr>
    </w:p>
    <w:p>
      <w:pPr>
        <w:bidi w:val="0"/>
        <w:jc w:val="left"/>
        <w:rPr>
          <w:rFonts w:hint="default" w:ascii="Times New Roman" w:hAnsi="Times New Roman" w:cs="Times New Roman"/>
          <w:sz w:val="20"/>
          <w:szCs w:val="20"/>
          <w:lang w:val="en-US" w:eastAsia="zh-CN"/>
        </w:rPr>
      </w:pPr>
    </w:p>
    <w:p>
      <w:pPr>
        <w:bidi w:val="0"/>
        <w:jc w:val="left"/>
        <w:rPr>
          <w:rFonts w:hint="default" w:ascii="Times New Roman" w:hAnsi="Times New Roman" w:cs="Times New Roman"/>
          <w:sz w:val="20"/>
          <w:szCs w:val="20"/>
          <w:lang w:val="en-US" w:eastAsia="zh-CN"/>
        </w:rPr>
        <w:sectPr>
          <w:pgSz w:w="11906" w:h="16838"/>
          <w:pgMar w:top="1440" w:right="1800" w:bottom="1440" w:left="1800" w:header="851" w:footer="992" w:gutter="0"/>
          <w:pgNumType w:fmt="decimal"/>
          <w:cols w:space="425" w:num="1"/>
          <w:docGrid w:type="lines" w:linePitch="312" w:charSpace="0"/>
        </w:sectPr>
      </w:pPr>
    </w:p>
    <w:tbl>
      <w:tblPr>
        <w:tblStyle w:val="5"/>
        <w:tblW w:w="12859" w:type="dxa"/>
        <w:tblInd w:w="135" w:type="dxa"/>
        <w:tblLayout w:type="autofit"/>
        <w:tblCellMar>
          <w:top w:w="0" w:type="dxa"/>
          <w:left w:w="108" w:type="dxa"/>
          <w:bottom w:w="0" w:type="dxa"/>
          <w:right w:w="108" w:type="dxa"/>
        </w:tblCellMar>
      </w:tblPr>
      <w:tblGrid>
        <w:gridCol w:w="2307"/>
        <w:gridCol w:w="787"/>
        <w:gridCol w:w="1550"/>
        <w:gridCol w:w="1550"/>
        <w:gridCol w:w="1430"/>
        <w:gridCol w:w="1309"/>
        <w:gridCol w:w="1309"/>
        <w:gridCol w:w="1309"/>
        <w:gridCol w:w="1308"/>
      </w:tblGrid>
      <w:tr>
        <w:tblPrEx>
          <w:tblCellMar>
            <w:top w:w="0" w:type="dxa"/>
            <w:left w:w="108" w:type="dxa"/>
            <w:bottom w:w="0" w:type="dxa"/>
            <w:right w:w="108" w:type="dxa"/>
          </w:tblCellMar>
        </w:tblPrEx>
        <w:trPr>
          <w:trHeight w:val="508" w:hRule="atLeast"/>
        </w:trPr>
        <w:tc>
          <w:tcPr>
            <w:tcW w:w="12859" w:type="dxa"/>
            <w:gridSpan w:val="9"/>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textAlignment w:val="center"/>
              <w:rPr>
                <w:rFonts w:hint="default" w:ascii="Times New Roman" w:hAnsi="Times New Roman" w:cs="Times New Roman"/>
                <w:b/>
                <w:bCs/>
                <w:color w:val="000000"/>
                <w:sz w:val="20"/>
                <w:szCs w:val="20"/>
              </w:rPr>
            </w:pPr>
            <w:r>
              <w:rPr>
                <w:rFonts w:hint="default" w:ascii="Times New Roman" w:hAnsi="Times New Roman" w:cs="Times New Roman"/>
                <w:b/>
                <w:bCs/>
                <w:color w:val="000000"/>
                <w:kern w:val="0"/>
                <w:sz w:val="20"/>
                <w:szCs w:val="20"/>
              </w:rPr>
              <w:t>Supplementary table</w:t>
            </w:r>
            <w:r>
              <w:rPr>
                <w:rFonts w:hint="default" w:ascii="Times New Roman" w:hAnsi="Times New Roman" w:cs="Times New Roman"/>
                <w:b/>
                <w:bCs/>
                <w:color w:val="000000"/>
                <w:kern w:val="0"/>
                <w:sz w:val="20"/>
                <w:szCs w:val="20"/>
                <w:lang w:val="en-US" w:eastAsia="zh-CN"/>
              </w:rPr>
              <w:t>5</w:t>
            </w:r>
            <w:r>
              <w:rPr>
                <w:rFonts w:hint="default" w:ascii="Times New Roman" w:hAnsi="Times New Roman" w:cs="Times New Roman"/>
                <w:b/>
                <w:bCs/>
                <w:color w:val="000000"/>
                <w:kern w:val="0"/>
                <w:sz w:val="20"/>
                <w:szCs w:val="20"/>
              </w:rPr>
              <w:t xml:space="preserve">. Histological types of lung cancer screened by chest LDCT in different tumor stages in </w:t>
            </w:r>
            <w:r>
              <w:rPr>
                <w:rFonts w:hint="default" w:ascii="Times New Roman" w:hAnsi="Times New Roman" w:cs="Times New Roman"/>
                <w:b/>
                <w:kern w:val="44"/>
                <w:sz w:val="20"/>
                <w:szCs w:val="20"/>
              </w:rPr>
              <w:t>healthy physical examination population</w:t>
            </w:r>
          </w:p>
        </w:tc>
      </w:tr>
      <w:tr>
        <w:tblPrEx>
          <w:tblCellMar>
            <w:top w:w="0" w:type="dxa"/>
            <w:left w:w="108" w:type="dxa"/>
            <w:bottom w:w="0" w:type="dxa"/>
            <w:right w:w="108" w:type="dxa"/>
          </w:tblCellMar>
        </w:tblPrEx>
        <w:trPr>
          <w:trHeight w:val="519" w:hRule="atLeast"/>
        </w:trPr>
        <w:tc>
          <w:tcPr>
            <w:tcW w:w="2307" w:type="dxa"/>
            <w:vMerge w:val="restart"/>
            <w:tcBorders>
              <w:top w:val="single" w:color="000000" w:sz="4" w:space="0"/>
              <w:left w:val="nil"/>
              <w:bottom w:val="single" w:color="000000" w:sz="4" w:space="0"/>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b/>
                <w:bCs/>
                <w:color w:val="000000"/>
                <w:sz w:val="20"/>
                <w:szCs w:val="20"/>
              </w:rPr>
            </w:pPr>
            <w:r>
              <w:rPr>
                <w:rFonts w:hint="default" w:ascii="Times New Roman" w:hAnsi="Times New Roman" w:cs="Times New Roman"/>
                <w:b/>
                <w:bCs/>
                <w:color w:val="000000"/>
                <w:kern w:val="0"/>
                <w:sz w:val="20"/>
                <w:szCs w:val="20"/>
              </w:rPr>
              <w:t>Histological types</w:t>
            </w:r>
          </w:p>
        </w:tc>
        <w:tc>
          <w:tcPr>
            <w:tcW w:w="787" w:type="dxa"/>
            <w:vMerge w:val="restart"/>
            <w:tcBorders>
              <w:top w:val="single" w:color="000000" w:sz="4" w:space="0"/>
              <w:left w:val="nil"/>
              <w:bottom w:val="single" w:color="000000" w:sz="4" w:space="0"/>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b/>
                <w:bCs/>
                <w:color w:val="000000"/>
                <w:sz w:val="20"/>
                <w:szCs w:val="20"/>
              </w:rPr>
            </w:pPr>
            <w:r>
              <w:rPr>
                <w:rFonts w:hint="default" w:ascii="Times New Roman" w:hAnsi="Times New Roman" w:cs="Times New Roman"/>
                <w:b/>
                <w:bCs/>
                <w:color w:val="000000"/>
                <w:kern w:val="0"/>
                <w:sz w:val="20"/>
                <w:szCs w:val="20"/>
              </w:rPr>
              <w:t>Total</w:t>
            </w:r>
          </w:p>
        </w:tc>
        <w:tc>
          <w:tcPr>
            <w:tcW w:w="9765" w:type="dxa"/>
            <w:gridSpan w:val="7"/>
            <w:tcBorders>
              <w:top w:val="single" w:color="000000" w:sz="4" w:space="0"/>
              <w:left w:val="nil"/>
              <w:bottom w:val="single" w:color="000000" w:sz="4" w:space="0"/>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b/>
                <w:bCs/>
                <w:color w:val="000000"/>
                <w:sz w:val="20"/>
                <w:szCs w:val="20"/>
              </w:rPr>
            </w:pPr>
            <w:r>
              <w:rPr>
                <w:rFonts w:hint="default" w:ascii="Times New Roman" w:hAnsi="Times New Roman" w:cs="Times New Roman"/>
                <w:b/>
                <w:bCs/>
                <w:color w:val="000000"/>
                <w:kern w:val="0"/>
                <w:sz w:val="20"/>
                <w:szCs w:val="20"/>
              </w:rPr>
              <w:t>Stage</w:t>
            </w:r>
          </w:p>
        </w:tc>
      </w:tr>
      <w:tr>
        <w:tblPrEx>
          <w:tblCellMar>
            <w:top w:w="0" w:type="dxa"/>
            <w:left w:w="108" w:type="dxa"/>
            <w:bottom w:w="0" w:type="dxa"/>
            <w:right w:w="108" w:type="dxa"/>
          </w:tblCellMar>
        </w:tblPrEx>
        <w:trPr>
          <w:trHeight w:val="519" w:hRule="atLeast"/>
        </w:trPr>
        <w:tc>
          <w:tcPr>
            <w:tcW w:w="0" w:type="auto"/>
            <w:vMerge w:val="continue"/>
            <w:tcBorders>
              <w:top w:val="single" w:color="000000" w:sz="4" w:space="0"/>
              <w:left w:val="nil"/>
              <w:bottom w:val="single" w:color="000000" w:sz="4" w:space="0"/>
              <w:right w:val="nil"/>
            </w:tcBorders>
            <w:vAlign w:val="center"/>
          </w:tcPr>
          <w:p>
            <w:pPr>
              <w:keepNext w:val="0"/>
              <w:keepLines w:val="0"/>
              <w:pageBreakBefore w:val="0"/>
              <w:widowControl/>
              <w:kinsoku/>
              <w:wordWrap/>
              <w:overflowPunct/>
              <w:topLinePunct w:val="0"/>
              <w:autoSpaceDN/>
              <w:bidi w:val="0"/>
              <w:spacing w:line="360" w:lineRule="auto"/>
              <w:jc w:val="left"/>
              <w:rPr>
                <w:rFonts w:hint="default" w:ascii="Times New Roman" w:hAnsi="Times New Roman" w:cs="Times New Roman"/>
                <w:b/>
                <w:bCs/>
                <w:color w:val="000000"/>
                <w:sz w:val="20"/>
                <w:szCs w:val="20"/>
              </w:rPr>
            </w:pPr>
          </w:p>
        </w:tc>
        <w:tc>
          <w:tcPr>
            <w:tcW w:w="0" w:type="auto"/>
            <w:vMerge w:val="continue"/>
            <w:tcBorders>
              <w:top w:val="single" w:color="000000" w:sz="4" w:space="0"/>
              <w:left w:val="nil"/>
              <w:bottom w:val="single" w:color="000000" w:sz="4" w:space="0"/>
              <w:right w:val="nil"/>
            </w:tcBorders>
            <w:vAlign w:val="center"/>
          </w:tcPr>
          <w:p>
            <w:pPr>
              <w:keepNext w:val="0"/>
              <w:keepLines w:val="0"/>
              <w:pageBreakBefore w:val="0"/>
              <w:widowControl/>
              <w:kinsoku/>
              <w:wordWrap/>
              <w:overflowPunct/>
              <w:topLinePunct w:val="0"/>
              <w:autoSpaceDN/>
              <w:bidi w:val="0"/>
              <w:spacing w:line="360" w:lineRule="auto"/>
              <w:jc w:val="left"/>
              <w:rPr>
                <w:rFonts w:hint="default" w:ascii="Times New Roman" w:hAnsi="Times New Roman" w:cs="Times New Roman"/>
                <w:b/>
                <w:bCs/>
                <w:color w:val="000000"/>
                <w:sz w:val="20"/>
                <w:szCs w:val="20"/>
              </w:rPr>
            </w:pPr>
          </w:p>
        </w:tc>
        <w:tc>
          <w:tcPr>
            <w:tcW w:w="4530" w:type="dxa"/>
            <w:gridSpan w:val="3"/>
            <w:tcBorders>
              <w:top w:val="nil"/>
              <w:left w:val="nil"/>
              <w:bottom w:val="single" w:color="000000" w:sz="4" w:space="0"/>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b/>
                <w:bCs/>
                <w:color w:val="000000"/>
                <w:sz w:val="20"/>
                <w:szCs w:val="20"/>
              </w:rPr>
            </w:pPr>
            <w:r>
              <w:rPr>
                <w:rFonts w:hint="default" w:ascii="Times New Roman" w:hAnsi="Times New Roman" w:cs="Times New Roman"/>
                <w:b/>
                <w:bCs/>
                <w:color w:val="000000"/>
                <w:kern w:val="0"/>
                <w:sz w:val="20"/>
                <w:szCs w:val="20"/>
              </w:rPr>
              <w:t>IA</w:t>
            </w:r>
          </w:p>
        </w:tc>
        <w:tc>
          <w:tcPr>
            <w:tcW w:w="1309" w:type="dxa"/>
            <w:vMerge w:val="restart"/>
            <w:tcBorders>
              <w:top w:val="nil"/>
              <w:left w:val="nil"/>
              <w:bottom w:val="single" w:color="000000" w:sz="4" w:space="0"/>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b/>
                <w:bCs/>
                <w:color w:val="000000"/>
                <w:sz w:val="20"/>
                <w:szCs w:val="20"/>
              </w:rPr>
            </w:pPr>
            <w:r>
              <w:rPr>
                <w:rFonts w:hint="default" w:ascii="Times New Roman" w:hAnsi="Times New Roman" w:cs="Times New Roman"/>
                <w:b/>
                <w:bCs/>
                <w:color w:val="000000"/>
                <w:kern w:val="0"/>
                <w:sz w:val="20"/>
                <w:szCs w:val="20"/>
              </w:rPr>
              <w:t>IB</w:t>
            </w:r>
          </w:p>
        </w:tc>
        <w:tc>
          <w:tcPr>
            <w:tcW w:w="1309" w:type="dxa"/>
            <w:vMerge w:val="restart"/>
            <w:tcBorders>
              <w:top w:val="nil"/>
              <w:left w:val="nil"/>
              <w:bottom w:val="single" w:color="000000" w:sz="4" w:space="0"/>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b/>
                <w:bCs/>
                <w:color w:val="000000"/>
                <w:sz w:val="20"/>
                <w:szCs w:val="20"/>
              </w:rPr>
            </w:pPr>
            <w:r>
              <w:rPr>
                <w:rFonts w:hint="default" w:ascii="Times New Roman" w:hAnsi="Times New Roman" w:cs="Times New Roman"/>
                <w:b/>
                <w:bCs/>
                <w:color w:val="000000"/>
                <w:kern w:val="0"/>
                <w:sz w:val="20"/>
                <w:szCs w:val="20"/>
              </w:rPr>
              <w:t xml:space="preserve">II </w:t>
            </w:r>
          </w:p>
        </w:tc>
        <w:tc>
          <w:tcPr>
            <w:tcW w:w="1309" w:type="dxa"/>
            <w:vMerge w:val="restart"/>
            <w:tcBorders>
              <w:top w:val="nil"/>
              <w:left w:val="nil"/>
              <w:bottom w:val="single" w:color="000000" w:sz="4" w:space="0"/>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b/>
                <w:bCs/>
                <w:color w:val="000000"/>
                <w:sz w:val="20"/>
                <w:szCs w:val="20"/>
              </w:rPr>
            </w:pPr>
            <w:r>
              <w:rPr>
                <w:rFonts w:hint="default" w:ascii="Times New Roman" w:hAnsi="Times New Roman" w:cs="Times New Roman"/>
                <w:b/>
                <w:bCs/>
                <w:color w:val="000000"/>
                <w:kern w:val="0"/>
                <w:sz w:val="20"/>
                <w:szCs w:val="20"/>
              </w:rPr>
              <w:t>III</w:t>
            </w:r>
          </w:p>
        </w:tc>
        <w:tc>
          <w:tcPr>
            <w:tcW w:w="1308" w:type="dxa"/>
            <w:vMerge w:val="restart"/>
            <w:tcBorders>
              <w:top w:val="nil"/>
              <w:left w:val="nil"/>
              <w:bottom w:val="single" w:color="000000" w:sz="4" w:space="0"/>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b/>
                <w:bCs/>
                <w:color w:val="000000"/>
                <w:sz w:val="20"/>
                <w:szCs w:val="20"/>
              </w:rPr>
            </w:pPr>
            <w:r>
              <w:rPr>
                <w:rFonts w:hint="default" w:ascii="Times New Roman" w:hAnsi="Times New Roman" w:cs="Times New Roman"/>
                <w:b/>
                <w:bCs/>
                <w:color w:val="000000"/>
                <w:kern w:val="0"/>
                <w:sz w:val="20"/>
                <w:szCs w:val="20"/>
              </w:rPr>
              <w:t>IV</w:t>
            </w:r>
          </w:p>
        </w:tc>
      </w:tr>
      <w:tr>
        <w:tblPrEx>
          <w:tblCellMar>
            <w:top w:w="0" w:type="dxa"/>
            <w:left w:w="108" w:type="dxa"/>
            <w:bottom w:w="0" w:type="dxa"/>
            <w:right w:w="108" w:type="dxa"/>
          </w:tblCellMar>
        </w:tblPrEx>
        <w:trPr>
          <w:trHeight w:val="519" w:hRule="atLeast"/>
        </w:trPr>
        <w:tc>
          <w:tcPr>
            <w:tcW w:w="0" w:type="auto"/>
            <w:vMerge w:val="continue"/>
            <w:tcBorders>
              <w:top w:val="single" w:color="000000" w:sz="4" w:space="0"/>
              <w:left w:val="nil"/>
              <w:bottom w:val="single" w:color="000000" w:sz="4" w:space="0"/>
              <w:right w:val="nil"/>
            </w:tcBorders>
            <w:vAlign w:val="center"/>
          </w:tcPr>
          <w:p>
            <w:pPr>
              <w:keepNext w:val="0"/>
              <w:keepLines w:val="0"/>
              <w:pageBreakBefore w:val="0"/>
              <w:widowControl/>
              <w:kinsoku/>
              <w:wordWrap/>
              <w:overflowPunct/>
              <w:topLinePunct w:val="0"/>
              <w:autoSpaceDN/>
              <w:bidi w:val="0"/>
              <w:spacing w:line="360" w:lineRule="auto"/>
              <w:jc w:val="left"/>
              <w:rPr>
                <w:rFonts w:hint="default" w:ascii="Times New Roman" w:hAnsi="Times New Roman" w:cs="Times New Roman"/>
                <w:b/>
                <w:bCs/>
                <w:color w:val="000000"/>
                <w:sz w:val="20"/>
                <w:szCs w:val="20"/>
              </w:rPr>
            </w:pPr>
          </w:p>
        </w:tc>
        <w:tc>
          <w:tcPr>
            <w:tcW w:w="0" w:type="auto"/>
            <w:vMerge w:val="continue"/>
            <w:tcBorders>
              <w:top w:val="single" w:color="000000" w:sz="4" w:space="0"/>
              <w:left w:val="nil"/>
              <w:bottom w:val="single" w:color="000000" w:sz="4" w:space="0"/>
              <w:right w:val="nil"/>
            </w:tcBorders>
            <w:vAlign w:val="center"/>
          </w:tcPr>
          <w:p>
            <w:pPr>
              <w:keepNext w:val="0"/>
              <w:keepLines w:val="0"/>
              <w:pageBreakBefore w:val="0"/>
              <w:widowControl/>
              <w:kinsoku/>
              <w:wordWrap/>
              <w:overflowPunct/>
              <w:topLinePunct w:val="0"/>
              <w:autoSpaceDN/>
              <w:bidi w:val="0"/>
              <w:spacing w:line="360" w:lineRule="auto"/>
              <w:jc w:val="left"/>
              <w:rPr>
                <w:rFonts w:hint="default" w:ascii="Times New Roman" w:hAnsi="Times New Roman" w:cs="Times New Roman"/>
                <w:b/>
                <w:bCs/>
                <w:color w:val="000000"/>
                <w:sz w:val="20"/>
                <w:szCs w:val="20"/>
              </w:rPr>
            </w:pPr>
          </w:p>
        </w:tc>
        <w:tc>
          <w:tcPr>
            <w:tcW w:w="1550" w:type="dxa"/>
            <w:tcBorders>
              <w:top w:val="nil"/>
              <w:left w:val="nil"/>
              <w:bottom w:val="single" w:color="000000" w:sz="4" w:space="0"/>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b/>
                <w:bCs/>
                <w:color w:val="000000"/>
                <w:sz w:val="20"/>
                <w:szCs w:val="20"/>
              </w:rPr>
            </w:pPr>
            <w:r>
              <w:rPr>
                <w:rFonts w:hint="default" w:ascii="Times New Roman" w:hAnsi="Times New Roman" w:cs="Times New Roman"/>
                <w:b/>
                <w:bCs/>
                <w:color w:val="000000"/>
                <w:kern w:val="0"/>
                <w:sz w:val="20"/>
                <w:szCs w:val="20"/>
              </w:rPr>
              <w:t>IA1</w:t>
            </w:r>
          </w:p>
        </w:tc>
        <w:tc>
          <w:tcPr>
            <w:tcW w:w="1550" w:type="dxa"/>
            <w:tcBorders>
              <w:top w:val="nil"/>
              <w:left w:val="nil"/>
              <w:bottom w:val="single" w:color="000000" w:sz="4" w:space="0"/>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b/>
                <w:bCs/>
                <w:color w:val="000000"/>
                <w:sz w:val="20"/>
                <w:szCs w:val="20"/>
              </w:rPr>
            </w:pPr>
            <w:r>
              <w:rPr>
                <w:rFonts w:hint="default" w:ascii="Times New Roman" w:hAnsi="Times New Roman" w:cs="Times New Roman"/>
                <w:b/>
                <w:bCs/>
                <w:color w:val="000000"/>
                <w:kern w:val="0"/>
                <w:sz w:val="20"/>
                <w:szCs w:val="20"/>
              </w:rPr>
              <w:t>IA2</w:t>
            </w:r>
          </w:p>
        </w:tc>
        <w:tc>
          <w:tcPr>
            <w:tcW w:w="1430" w:type="dxa"/>
            <w:tcBorders>
              <w:top w:val="nil"/>
              <w:left w:val="nil"/>
              <w:bottom w:val="single" w:color="000000" w:sz="4" w:space="0"/>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b/>
                <w:bCs/>
                <w:color w:val="000000"/>
                <w:sz w:val="20"/>
                <w:szCs w:val="20"/>
              </w:rPr>
            </w:pPr>
            <w:r>
              <w:rPr>
                <w:rFonts w:hint="default" w:ascii="Times New Roman" w:hAnsi="Times New Roman" w:cs="Times New Roman"/>
                <w:b/>
                <w:bCs/>
                <w:color w:val="000000"/>
                <w:kern w:val="0"/>
                <w:sz w:val="20"/>
                <w:szCs w:val="20"/>
              </w:rPr>
              <w:t>IA3</w:t>
            </w:r>
          </w:p>
        </w:tc>
        <w:tc>
          <w:tcPr>
            <w:tcW w:w="0" w:type="auto"/>
            <w:vMerge w:val="continue"/>
            <w:tcBorders>
              <w:top w:val="nil"/>
              <w:left w:val="nil"/>
              <w:bottom w:val="single" w:color="000000" w:sz="4" w:space="0"/>
              <w:right w:val="nil"/>
            </w:tcBorders>
            <w:vAlign w:val="center"/>
          </w:tcPr>
          <w:p>
            <w:pPr>
              <w:keepNext w:val="0"/>
              <w:keepLines w:val="0"/>
              <w:pageBreakBefore w:val="0"/>
              <w:widowControl/>
              <w:kinsoku/>
              <w:wordWrap/>
              <w:overflowPunct/>
              <w:topLinePunct w:val="0"/>
              <w:autoSpaceDN/>
              <w:bidi w:val="0"/>
              <w:spacing w:line="360" w:lineRule="auto"/>
              <w:jc w:val="left"/>
              <w:rPr>
                <w:rFonts w:hint="default" w:ascii="Times New Roman" w:hAnsi="Times New Roman" w:cs="Times New Roman"/>
                <w:b/>
                <w:bCs/>
                <w:color w:val="000000"/>
                <w:sz w:val="20"/>
                <w:szCs w:val="20"/>
              </w:rPr>
            </w:pPr>
          </w:p>
        </w:tc>
        <w:tc>
          <w:tcPr>
            <w:tcW w:w="0" w:type="auto"/>
            <w:vMerge w:val="continue"/>
            <w:tcBorders>
              <w:top w:val="nil"/>
              <w:left w:val="nil"/>
              <w:bottom w:val="single" w:color="000000" w:sz="4" w:space="0"/>
              <w:right w:val="nil"/>
            </w:tcBorders>
            <w:vAlign w:val="center"/>
          </w:tcPr>
          <w:p>
            <w:pPr>
              <w:keepNext w:val="0"/>
              <w:keepLines w:val="0"/>
              <w:pageBreakBefore w:val="0"/>
              <w:widowControl/>
              <w:kinsoku/>
              <w:wordWrap/>
              <w:overflowPunct/>
              <w:topLinePunct w:val="0"/>
              <w:autoSpaceDN/>
              <w:bidi w:val="0"/>
              <w:spacing w:line="360" w:lineRule="auto"/>
              <w:jc w:val="left"/>
              <w:rPr>
                <w:rFonts w:hint="default" w:ascii="Times New Roman" w:hAnsi="Times New Roman" w:cs="Times New Roman"/>
                <w:b/>
                <w:bCs/>
                <w:color w:val="000000"/>
                <w:sz w:val="20"/>
                <w:szCs w:val="20"/>
              </w:rPr>
            </w:pPr>
          </w:p>
        </w:tc>
        <w:tc>
          <w:tcPr>
            <w:tcW w:w="0" w:type="auto"/>
            <w:vMerge w:val="continue"/>
            <w:tcBorders>
              <w:top w:val="nil"/>
              <w:left w:val="nil"/>
              <w:bottom w:val="single" w:color="000000" w:sz="4" w:space="0"/>
              <w:right w:val="nil"/>
            </w:tcBorders>
            <w:vAlign w:val="center"/>
          </w:tcPr>
          <w:p>
            <w:pPr>
              <w:keepNext w:val="0"/>
              <w:keepLines w:val="0"/>
              <w:pageBreakBefore w:val="0"/>
              <w:widowControl/>
              <w:kinsoku/>
              <w:wordWrap/>
              <w:overflowPunct/>
              <w:topLinePunct w:val="0"/>
              <w:autoSpaceDN/>
              <w:bidi w:val="0"/>
              <w:spacing w:line="360" w:lineRule="auto"/>
              <w:jc w:val="left"/>
              <w:rPr>
                <w:rFonts w:hint="default" w:ascii="Times New Roman" w:hAnsi="Times New Roman" w:cs="Times New Roman"/>
                <w:b/>
                <w:bCs/>
                <w:color w:val="000000"/>
                <w:sz w:val="20"/>
                <w:szCs w:val="20"/>
              </w:rPr>
            </w:pPr>
          </w:p>
        </w:tc>
        <w:tc>
          <w:tcPr>
            <w:tcW w:w="0" w:type="auto"/>
            <w:vMerge w:val="continue"/>
            <w:tcBorders>
              <w:top w:val="nil"/>
              <w:left w:val="nil"/>
              <w:bottom w:val="single" w:color="000000" w:sz="4" w:space="0"/>
              <w:right w:val="nil"/>
            </w:tcBorders>
            <w:vAlign w:val="center"/>
          </w:tcPr>
          <w:p>
            <w:pPr>
              <w:keepNext w:val="0"/>
              <w:keepLines w:val="0"/>
              <w:pageBreakBefore w:val="0"/>
              <w:widowControl/>
              <w:kinsoku/>
              <w:wordWrap/>
              <w:overflowPunct/>
              <w:topLinePunct w:val="0"/>
              <w:autoSpaceDN/>
              <w:bidi w:val="0"/>
              <w:spacing w:line="360" w:lineRule="auto"/>
              <w:jc w:val="left"/>
              <w:rPr>
                <w:rFonts w:hint="default" w:ascii="Times New Roman" w:hAnsi="Times New Roman" w:cs="Times New Roman"/>
                <w:b/>
                <w:bCs/>
                <w:color w:val="000000"/>
                <w:sz w:val="20"/>
                <w:szCs w:val="20"/>
              </w:rPr>
            </w:pPr>
          </w:p>
        </w:tc>
      </w:tr>
      <w:tr>
        <w:tblPrEx>
          <w:tblCellMar>
            <w:top w:w="0" w:type="dxa"/>
            <w:left w:w="108" w:type="dxa"/>
            <w:bottom w:w="0" w:type="dxa"/>
            <w:right w:w="108" w:type="dxa"/>
          </w:tblCellMar>
        </w:tblPrEx>
        <w:trPr>
          <w:trHeight w:val="519" w:hRule="atLeast"/>
        </w:trPr>
        <w:tc>
          <w:tcPr>
            <w:tcW w:w="2307"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left"/>
              <w:textAlignment w:val="center"/>
              <w:rPr>
                <w:rFonts w:hint="default" w:ascii="Times New Roman" w:hAnsi="Times New Roman" w:cs="Times New Roman"/>
                <w:b/>
                <w:bCs/>
                <w:color w:val="000000"/>
                <w:sz w:val="20"/>
                <w:szCs w:val="20"/>
              </w:rPr>
            </w:pPr>
            <w:r>
              <w:rPr>
                <w:rFonts w:hint="default" w:ascii="Times New Roman" w:hAnsi="Times New Roman" w:cs="Times New Roman"/>
                <w:b/>
                <w:bCs/>
                <w:color w:val="000000"/>
                <w:kern w:val="0"/>
                <w:sz w:val="20"/>
                <w:szCs w:val="20"/>
              </w:rPr>
              <w:t>Thin-slice</w:t>
            </w:r>
          </w:p>
        </w:tc>
        <w:tc>
          <w:tcPr>
            <w:tcW w:w="787" w:type="dxa"/>
            <w:tcBorders>
              <w:top w:val="nil"/>
              <w:left w:val="nil"/>
              <w:bottom w:val="nil"/>
              <w:right w:val="nil"/>
            </w:tcBorders>
            <w:noWrap/>
            <w:vAlign w:val="center"/>
          </w:tcPr>
          <w:p>
            <w:pPr>
              <w:keepNext w:val="0"/>
              <w:keepLines w:val="0"/>
              <w:pageBreakBefore w:val="0"/>
              <w:kinsoku/>
              <w:wordWrap/>
              <w:overflowPunct/>
              <w:topLinePunct w:val="0"/>
              <w:autoSpaceDN/>
              <w:bidi w:val="0"/>
              <w:spacing w:line="360" w:lineRule="auto"/>
              <w:jc w:val="center"/>
              <w:rPr>
                <w:rFonts w:hint="default" w:ascii="Times New Roman" w:hAnsi="Times New Roman" w:cs="Times New Roman"/>
                <w:color w:val="000000"/>
                <w:sz w:val="20"/>
                <w:szCs w:val="20"/>
              </w:rPr>
            </w:pPr>
          </w:p>
        </w:tc>
        <w:tc>
          <w:tcPr>
            <w:tcW w:w="1550" w:type="dxa"/>
            <w:tcBorders>
              <w:top w:val="nil"/>
              <w:left w:val="nil"/>
              <w:bottom w:val="nil"/>
              <w:right w:val="nil"/>
            </w:tcBorders>
            <w:noWrap/>
            <w:vAlign w:val="center"/>
          </w:tcPr>
          <w:p>
            <w:pPr>
              <w:keepNext w:val="0"/>
              <w:keepLines w:val="0"/>
              <w:pageBreakBefore w:val="0"/>
              <w:kinsoku/>
              <w:wordWrap/>
              <w:overflowPunct/>
              <w:topLinePunct w:val="0"/>
              <w:autoSpaceDN/>
              <w:bidi w:val="0"/>
              <w:spacing w:line="360" w:lineRule="auto"/>
              <w:jc w:val="center"/>
              <w:rPr>
                <w:rFonts w:hint="default" w:ascii="Times New Roman" w:hAnsi="Times New Roman" w:cs="Times New Roman"/>
                <w:color w:val="000000"/>
                <w:sz w:val="20"/>
                <w:szCs w:val="20"/>
              </w:rPr>
            </w:pPr>
          </w:p>
        </w:tc>
        <w:tc>
          <w:tcPr>
            <w:tcW w:w="1550" w:type="dxa"/>
            <w:tcBorders>
              <w:top w:val="nil"/>
              <w:left w:val="nil"/>
              <w:bottom w:val="nil"/>
              <w:right w:val="nil"/>
            </w:tcBorders>
            <w:noWrap/>
            <w:vAlign w:val="center"/>
          </w:tcPr>
          <w:p>
            <w:pPr>
              <w:keepNext w:val="0"/>
              <w:keepLines w:val="0"/>
              <w:pageBreakBefore w:val="0"/>
              <w:kinsoku/>
              <w:wordWrap/>
              <w:overflowPunct/>
              <w:topLinePunct w:val="0"/>
              <w:autoSpaceDN/>
              <w:bidi w:val="0"/>
              <w:spacing w:line="360" w:lineRule="auto"/>
              <w:jc w:val="center"/>
              <w:rPr>
                <w:rFonts w:hint="default" w:ascii="Times New Roman" w:hAnsi="Times New Roman" w:cs="Times New Roman"/>
                <w:color w:val="000000"/>
                <w:sz w:val="20"/>
                <w:szCs w:val="20"/>
              </w:rPr>
            </w:pPr>
          </w:p>
        </w:tc>
        <w:tc>
          <w:tcPr>
            <w:tcW w:w="1430" w:type="dxa"/>
            <w:tcBorders>
              <w:top w:val="nil"/>
              <w:left w:val="nil"/>
              <w:bottom w:val="nil"/>
              <w:right w:val="nil"/>
            </w:tcBorders>
            <w:noWrap/>
            <w:vAlign w:val="center"/>
          </w:tcPr>
          <w:p>
            <w:pPr>
              <w:keepNext w:val="0"/>
              <w:keepLines w:val="0"/>
              <w:pageBreakBefore w:val="0"/>
              <w:kinsoku/>
              <w:wordWrap/>
              <w:overflowPunct/>
              <w:topLinePunct w:val="0"/>
              <w:autoSpaceDN/>
              <w:bidi w:val="0"/>
              <w:spacing w:line="360" w:lineRule="auto"/>
              <w:jc w:val="center"/>
              <w:rPr>
                <w:rFonts w:hint="default" w:ascii="Times New Roman" w:hAnsi="Times New Roman" w:cs="Times New Roman"/>
                <w:color w:val="000000"/>
                <w:sz w:val="20"/>
                <w:szCs w:val="20"/>
              </w:rPr>
            </w:pPr>
          </w:p>
        </w:tc>
        <w:tc>
          <w:tcPr>
            <w:tcW w:w="1309" w:type="dxa"/>
            <w:tcBorders>
              <w:top w:val="nil"/>
              <w:left w:val="nil"/>
              <w:bottom w:val="nil"/>
              <w:right w:val="nil"/>
            </w:tcBorders>
            <w:noWrap/>
            <w:vAlign w:val="center"/>
          </w:tcPr>
          <w:p>
            <w:pPr>
              <w:keepNext w:val="0"/>
              <w:keepLines w:val="0"/>
              <w:pageBreakBefore w:val="0"/>
              <w:kinsoku/>
              <w:wordWrap/>
              <w:overflowPunct/>
              <w:topLinePunct w:val="0"/>
              <w:autoSpaceDN/>
              <w:bidi w:val="0"/>
              <w:spacing w:line="360" w:lineRule="auto"/>
              <w:jc w:val="center"/>
              <w:rPr>
                <w:rFonts w:hint="default" w:ascii="Times New Roman" w:hAnsi="Times New Roman" w:cs="Times New Roman"/>
                <w:color w:val="000000"/>
                <w:sz w:val="20"/>
                <w:szCs w:val="20"/>
              </w:rPr>
            </w:pPr>
          </w:p>
        </w:tc>
        <w:tc>
          <w:tcPr>
            <w:tcW w:w="1309" w:type="dxa"/>
            <w:tcBorders>
              <w:top w:val="nil"/>
              <w:left w:val="nil"/>
              <w:bottom w:val="nil"/>
              <w:right w:val="nil"/>
            </w:tcBorders>
            <w:noWrap/>
            <w:vAlign w:val="center"/>
          </w:tcPr>
          <w:p>
            <w:pPr>
              <w:keepNext w:val="0"/>
              <w:keepLines w:val="0"/>
              <w:pageBreakBefore w:val="0"/>
              <w:kinsoku/>
              <w:wordWrap/>
              <w:overflowPunct/>
              <w:topLinePunct w:val="0"/>
              <w:autoSpaceDN/>
              <w:bidi w:val="0"/>
              <w:spacing w:line="360" w:lineRule="auto"/>
              <w:jc w:val="center"/>
              <w:rPr>
                <w:rFonts w:hint="default" w:ascii="Times New Roman" w:hAnsi="Times New Roman" w:cs="Times New Roman"/>
                <w:color w:val="000000"/>
                <w:sz w:val="20"/>
                <w:szCs w:val="20"/>
              </w:rPr>
            </w:pPr>
          </w:p>
        </w:tc>
        <w:tc>
          <w:tcPr>
            <w:tcW w:w="1309" w:type="dxa"/>
            <w:tcBorders>
              <w:top w:val="nil"/>
              <w:left w:val="nil"/>
              <w:bottom w:val="nil"/>
              <w:right w:val="nil"/>
            </w:tcBorders>
            <w:noWrap/>
            <w:vAlign w:val="center"/>
          </w:tcPr>
          <w:p>
            <w:pPr>
              <w:keepNext w:val="0"/>
              <w:keepLines w:val="0"/>
              <w:pageBreakBefore w:val="0"/>
              <w:kinsoku/>
              <w:wordWrap/>
              <w:overflowPunct/>
              <w:topLinePunct w:val="0"/>
              <w:autoSpaceDN/>
              <w:bidi w:val="0"/>
              <w:spacing w:line="360" w:lineRule="auto"/>
              <w:jc w:val="center"/>
              <w:rPr>
                <w:rFonts w:hint="default" w:ascii="Times New Roman" w:hAnsi="Times New Roman" w:cs="Times New Roman"/>
                <w:color w:val="000000"/>
                <w:sz w:val="20"/>
                <w:szCs w:val="20"/>
              </w:rPr>
            </w:pPr>
          </w:p>
        </w:tc>
        <w:tc>
          <w:tcPr>
            <w:tcW w:w="1308" w:type="dxa"/>
            <w:tcBorders>
              <w:top w:val="nil"/>
              <w:left w:val="nil"/>
              <w:bottom w:val="nil"/>
              <w:right w:val="nil"/>
            </w:tcBorders>
            <w:noWrap/>
            <w:vAlign w:val="center"/>
          </w:tcPr>
          <w:p>
            <w:pPr>
              <w:keepNext w:val="0"/>
              <w:keepLines w:val="0"/>
              <w:pageBreakBefore w:val="0"/>
              <w:kinsoku/>
              <w:wordWrap/>
              <w:overflowPunct/>
              <w:topLinePunct w:val="0"/>
              <w:autoSpaceDN/>
              <w:bidi w:val="0"/>
              <w:spacing w:line="360" w:lineRule="auto"/>
              <w:jc w:val="center"/>
              <w:rPr>
                <w:rFonts w:hint="default" w:ascii="Times New Roman" w:hAnsi="Times New Roman" w:cs="Times New Roman"/>
                <w:color w:val="000000"/>
                <w:sz w:val="20"/>
                <w:szCs w:val="20"/>
              </w:rPr>
            </w:pPr>
          </w:p>
        </w:tc>
      </w:tr>
      <w:tr>
        <w:tblPrEx>
          <w:tblCellMar>
            <w:top w:w="0" w:type="dxa"/>
            <w:left w:w="108" w:type="dxa"/>
            <w:bottom w:w="0" w:type="dxa"/>
            <w:right w:w="108" w:type="dxa"/>
          </w:tblCellMar>
        </w:tblPrEx>
        <w:trPr>
          <w:trHeight w:val="508" w:hRule="atLeast"/>
        </w:trPr>
        <w:tc>
          <w:tcPr>
            <w:tcW w:w="2307"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adenocarcinoma</w:t>
            </w:r>
          </w:p>
        </w:tc>
        <w:tc>
          <w:tcPr>
            <w:tcW w:w="787"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112</w:t>
            </w:r>
          </w:p>
        </w:tc>
        <w:tc>
          <w:tcPr>
            <w:tcW w:w="1550"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59/109 (54.1)</w:t>
            </w:r>
          </w:p>
        </w:tc>
        <w:tc>
          <w:tcPr>
            <w:tcW w:w="1550"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33/109 (30.3)</w:t>
            </w:r>
          </w:p>
        </w:tc>
        <w:tc>
          <w:tcPr>
            <w:tcW w:w="1430"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10/109 (9.2)</w:t>
            </w:r>
          </w:p>
        </w:tc>
        <w:tc>
          <w:tcPr>
            <w:tcW w:w="1309"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6/109 (5.5)</w:t>
            </w:r>
          </w:p>
        </w:tc>
        <w:tc>
          <w:tcPr>
            <w:tcW w:w="1309"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0/109 (0.0)</w:t>
            </w:r>
          </w:p>
        </w:tc>
        <w:tc>
          <w:tcPr>
            <w:tcW w:w="1309"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1/109 (0.9)</w:t>
            </w:r>
          </w:p>
        </w:tc>
        <w:tc>
          <w:tcPr>
            <w:tcW w:w="1308"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0/109 (0.0)</w:t>
            </w:r>
          </w:p>
        </w:tc>
      </w:tr>
      <w:tr>
        <w:tblPrEx>
          <w:tblCellMar>
            <w:top w:w="0" w:type="dxa"/>
            <w:left w:w="108" w:type="dxa"/>
            <w:bottom w:w="0" w:type="dxa"/>
            <w:right w:w="108" w:type="dxa"/>
          </w:tblCellMar>
        </w:tblPrEx>
        <w:trPr>
          <w:trHeight w:val="508" w:hRule="atLeast"/>
        </w:trPr>
        <w:tc>
          <w:tcPr>
            <w:tcW w:w="2307"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Squamous carcinoma</w:t>
            </w:r>
          </w:p>
        </w:tc>
        <w:tc>
          <w:tcPr>
            <w:tcW w:w="787"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3</w:t>
            </w:r>
          </w:p>
        </w:tc>
        <w:tc>
          <w:tcPr>
            <w:tcW w:w="1550"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0/1 (0.0)</w:t>
            </w:r>
          </w:p>
        </w:tc>
        <w:tc>
          <w:tcPr>
            <w:tcW w:w="1550"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0/1 (0.0)</w:t>
            </w:r>
          </w:p>
        </w:tc>
        <w:tc>
          <w:tcPr>
            <w:tcW w:w="1430"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0/1 (0.0)</w:t>
            </w:r>
          </w:p>
        </w:tc>
        <w:tc>
          <w:tcPr>
            <w:tcW w:w="1309"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0/1 (0.0)</w:t>
            </w:r>
          </w:p>
        </w:tc>
        <w:tc>
          <w:tcPr>
            <w:tcW w:w="1309"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1/1 (100.0)</w:t>
            </w:r>
          </w:p>
        </w:tc>
        <w:tc>
          <w:tcPr>
            <w:tcW w:w="1309"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0/1 (0.0)</w:t>
            </w:r>
          </w:p>
        </w:tc>
        <w:tc>
          <w:tcPr>
            <w:tcW w:w="1308"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0/1 (0.0)</w:t>
            </w:r>
          </w:p>
        </w:tc>
      </w:tr>
      <w:tr>
        <w:tblPrEx>
          <w:tblCellMar>
            <w:top w:w="0" w:type="dxa"/>
            <w:left w:w="108" w:type="dxa"/>
            <w:bottom w:w="0" w:type="dxa"/>
            <w:right w:w="108" w:type="dxa"/>
          </w:tblCellMar>
        </w:tblPrEx>
        <w:trPr>
          <w:trHeight w:val="508" w:hRule="atLeast"/>
        </w:trPr>
        <w:tc>
          <w:tcPr>
            <w:tcW w:w="2307"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Small cell carcinoma</w:t>
            </w:r>
          </w:p>
        </w:tc>
        <w:tc>
          <w:tcPr>
            <w:tcW w:w="787"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2</w:t>
            </w:r>
          </w:p>
        </w:tc>
        <w:tc>
          <w:tcPr>
            <w:tcW w:w="1550"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1/2 (50.0)</w:t>
            </w:r>
          </w:p>
        </w:tc>
        <w:tc>
          <w:tcPr>
            <w:tcW w:w="1550"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0/2 (0.0)</w:t>
            </w:r>
          </w:p>
        </w:tc>
        <w:tc>
          <w:tcPr>
            <w:tcW w:w="1430"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1/2 (50.0)</w:t>
            </w:r>
          </w:p>
        </w:tc>
        <w:tc>
          <w:tcPr>
            <w:tcW w:w="1309"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0/2 (0.0)</w:t>
            </w:r>
          </w:p>
        </w:tc>
        <w:tc>
          <w:tcPr>
            <w:tcW w:w="1309"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0/2 (0.0)</w:t>
            </w:r>
          </w:p>
        </w:tc>
        <w:tc>
          <w:tcPr>
            <w:tcW w:w="1309"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0/2 (0.0)</w:t>
            </w:r>
          </w:p>
        </w:tc>
        <w:tc>
          <w:tcPr>
            <w:tcW w:w="1308"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0/2 (0.0)</w:t>
            </w:r>
          </w:p>
        </w:tc>
      </w:tr>
      <w:tr>
        <w:tblPrEx>
          <w:tblCellMar>
            <w:top w:w="0" w:type="dxa"/>
            <w:left w:w="108" w:type="dxa"/>
            <w:bottom w:w="0" w:type="dxa"/>
            <w:right w:w="108" w:type="dxa"/>
          </w:tblCellMar>
        </w:tblPrEx>
        <w:trPr>
          <w:trHeight w:val="508" w:hRule="atLeast"/>
        </w:trPr>
        <w:tc>
          <w:tcPr>
            <w:tcW w:w="2307"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Other types</w:t>
            </w:r>
          </w:p>
        </w:tc>
        <w:tc>
          <w:tcPr>
            <w:tcW w:w="787"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15</w:t>
            </w:r>
          </w:p>
        </w:tc>
        <w:tc>
          <w:tcPr>
            <w:tcW w:w="1550"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5/14 (35.7)</w:t>
            </w:r>
          </w:p>
        </w:tc>
        <w:tc>
          <w:tcPr>
            <w:tcW w:w="1550"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8/14 (57.1)</w:t>
            </w:r>
          </w:p>
        </w:tc>
        <w:tc>
          <w:tcPr>
            <w:tcW w:w="1430"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1/14 (7.1)</w:t>
            </w:r>
          </w:p>
        </w:tc>
        <w:tc>
          <w:tcPr>
            <w:tcW w:w="1309"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0/14 (0.0)</w:t>
            </w:r>
          </w:p>
        </w:tc>
        <w:tc>
          <w:tcPr>
            <w:tcW w:w="1309"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0/14 (0.0)</w:t>
            </w:r>
          </w:p>
        </w:tc>
        <w:tc>
          <w:tcPr>
            <w:tcW w:w="1309"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0/14 (0.0)</w:t>
            </w:r>
          </w:p>
        </w:tc>
        <w:tc>
          <w:tcPr>
            <w:tcW w:w="1308"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0/14 (0.0)</w:t>
            </w:r>
          </w:p>
        </w:tc>
      </w:tr>
      <w:tr>
        <w:tblPrEx>
          <w:tblCellMar>
            <w:top w:w="0" w:type="dxa"/>
            <w:left w:w="108" w:type="dxa"/>
            <w:bottom w:w="0" w:type="dxa"/>
            <w:right w:w="108" w:type="dxa"/>
          </w:tblCellMar>
        </w:tblPrEx>
        <w:trPr>
          <w:trHeight w:val="508" w:hRule="atLeast"/>
        </w:trPr>
        <w:tc>
          <w:tcPr>
            <w:tcW w:w="2307"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Total</w:t>
            </w:r>
          </w:p>
        </w:tc>
        <w:tc>
          <w:tcPr>
            <w:tcW w:w="787"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132</w:t>
            </w:r>
          </w:p>
        </w:tc>
        <w:tc>
          <w:tcPr>
            <w:tcW w:w="1550"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65/126 (51.6)</w:t>
            </w:r>
          </w:p>
        </w:tc>
        <w:tc>
          <w:tcPr>
            <w:tcW w:w="1550"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41/126 (32.5)</w:t>
            </w:r>
          </w:p>
        </w:tc>
        <w:tc>
          <w:tcPr>
            <w:tcW w:w="1430"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12/126 (9.5)</w:t>
            </w:r>
          </w:p>
        </w:tc>
        <w:tc>
          <w:tcPr>
            <w:tcW w:w="1309"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6/126 (4.8)</w:t>
            </w:r>
          </w:p>
        </w:tc>
        <w:tc>
          <w:tcPr>
            <w:tcW w:w="1309"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1/126 (0.8)</w:t>
            </w:r>
          </w:p>
        </w:tc>
        <w:tc>
          <w:tcPr>
            <w:tcW w:w="1309"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1/126 (0.8)</w:t>
            </w:r>
          </w:p>
        </w:tc>
        <w:tc>
          <w:tcPr>
            <w:tcW w:w="1308"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0/126 (0.0)</w:t>
            </w:r>
          </w:p>
        </w:tc>
      </w:tr>
      <w:tr>
        <w:tblPrEx>
          <w:tblCellMar>
            <w:top w:w="0" w:type="dxa"/>
            <w:left w:w="108" w:type="dxa"/>
            <w:bottom w:w="0" w:type="dxa"/>
            <w:right w:w="108" w:type="dxa"/>
          </w:tblCellMar>
        </w:tblPrEx>
        <w:trPr>
          <w:trHeight w:val="508" w:hRule="atLeast"/>
        </w:trPr>
        <w:tc>
          <w:tcPr>
            <w:tcW w:w="2307"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left"/>
              <w:textAlignment w:val="center"/>
              <w:rPr>
                <w:rFonts w:hint="default" w:ascii="Times New Roman" w:hAnsi="Times New Roman" w:cs="Times New Roman"/>
                <w:b/>
                <w:bCs/>
                <w:color w:val="000000"/>
                <w:sz w:val="20"/>
                <w:szCs w:val="20"/>
              </w:rPr>
            </w:pPr>
            <w:r>
              <w:rPr>
                <w:rFonts w:hint="default" w:ascii="Times New Roman" w:hAnsi="Times New Roman" w:cs="Times New Roman"/>
                <w:b/>
                <w:bCs/>
                <w:color w:val="000000"/>
                <w:kern w:val="0"/>
                <w:sz w:val="20"/>
                <w:szCs w:val="20"/>
              </w:rPr>
              <w:t>Thick-slice</w:t>
            </w:r>
          </w:p>
        </w:tc>
        <w:tc>
          <w:tcPr>
            <w:tcW w:w="787" w:type="dxa"/>
            <w:tcBorders>
              <w:top w:val="nil"/>
              <w:left w:val="nil"/>
              <w:bottom w:val="nil"/>
              <w:right w:val="nil"/>
            </w:tcBorders>
            <w:noWrap/>
            <w:vAlign w:val="center"/>
          </w:tcPr>
          <w:p>
            <w:pPr>
              <w:keepNext w:val="0"/>
              <w:keepLines w:val="0"/>
              <w:pageBreakBefore w:val="0"/>
              <w:kinsoku/>
              <w:wordWrap/>
              <w:overflowPunct/>
              <w:topLinePunct w:val="0"/>
              <w:autoSpaceDN/>
              <w:bidi w:val="0"/>
              <w:spacing w:line="360" w:lineRule="auto"/>
              <w:jc w:val="center"/>
              <w:rPr>
                <w:rFonts w:hint="default" w:ascii="Times New Roman" w:hAnsi="Times New Roman" w:cs="Times New Roman"/>
                <w:color w:val="000000"/>
                <w:sz w:val="20"/>
                <w:szCs w:val="20"/>
              </w:rPr>
            </w:pPr>
          </w:p>
        </w:tc>
        <w:tc>
          <w:tcPr>
            <w:tcW w:w="1550" w:type="dxa"/>
            <w:tcBorders>
              <w:top w:val="nil"/>
              <w:left w:val="nil"/>
              <w:bottom w:val="nil"/>
              <w:right w:val="nil"/>
            </w:tcBorders>
            <w:noWrap/>
            <w:vAlign w:val="center"/>
          </w:tcPr>
          <w:p>
            <w:pPr>
              <w:keepNext w:val="0"/>
              <w:keepLines w:val="0"/>
              <w:pageBreakBefore w:val="0"/>
              <w:kinsoku/>
              <w:wordWrap/>
              <w:overflowPunct/>
              <w:topLinePunct w:val="0"/>
              <w:autoSpaceDN/>
              <w:bidi w:val="0"/>
              <w:spacing w:line="360" w:lineRule="auto"/>
              <w:jc w:val="center"/>
              <w:rPr>
                <w:rFonts w:hint="default" w:ascii="Times New Roman" w:hAnsi="Times New Roman" w:cs="Times New Roman"/>
                <w:color w:val="000000"/>
                <w:sz w:val="20"/>
                <w:szCs w:val="20"/>
              </w:rPr>
            </w:pPr>
          </w:p>
        </w:tc>
        <w:tc>
          <w:tcPr>
            <w:tcW w:w="1550" w:type="dxa"/>
            <w:tcBorders>
              <w:top w:val="nil"/>
              <w:left w:val="nil"/>
              <w:bottom w:val="nil"/>
              <w:right w:val="nil"/>
            </w:tcBorders>
            <w:noWrap/>
            <w:vAlign w:val="center"/>
          </w:tcPr>
          <w:p>
            <w:pPr>
              <w:keepNext w:val="0"/>
              <w:keepLines w:val="0"/>
              <w:pageBreakBefore w:val="0"/>
              <w:kinsoku/>
              <w:wordWrap/>
              <w:overflowPunct/>
              <w:topLinePunct w:val="0"/>
              <w:autoSpaceDN/>
              <w:bidi w:val="0"/>
              <w:spacing w:line="360" w:lineRule="auto"/>
              <w:jc w:val="center"/>
              <w:rPr>
                <w:rFonts w:hint="default" w:ascii="Times New Roman" w:hAnsi="Times New Roman" w:cs="Times New Roman"/>
                <w:color w:val="000000"/>
                <w:sz w:val="20"/>
                <w:szCs w:val="20"/>
              </w:rPr>
            </w:pPr>
          </w:p>
        </w:tc>
        <w:tc>
          <w:tcPr>
            <w:tcW w:w="1430" w:type="dxa"/>
            <w:tcBorders>
              <w:top w:val="nil"/>
              <w:left w:val="nil"/>
              <w:bottom w:val="nil"/>
              <w:right w:val="nil"/>
            </w:tcBorders>
            <w:noWrap/>
            <w:vAlign w:val="center"/>
          </w:tcPr>
          <w:p>
            <w:pPr>
              <w:keepNext w:val="0"/>
              <w:keepLines w:val="0"/>
              <w:pageBreakBefore w:val="0"/>
              <w:kinsoku/>
              <w:wordWrap/>
              <w:overflowPunct/>
              <w:topLinePunct w:val="0"/>
              <w:autoSpaceDN/>
              <w:bidi w:val="0"/>
              <w:spacing w:line="360" w:lineRule="auto"/>
              <w:jc w:val="center"/>
              <w:rPr>
                <w:rFonts w:hint="default" w:ascii="Times New Roman" w:hAnsi="Times New Roman" w:cs="Times New Roman"/>
                <w:color w:val="000000"/>
                <w:sz w:val="20"/>
                <w:szCs w:val="20"/>
              </w:rPr>
            </w:pPr>
          </w:p>
        </w:tc>
        <w:tc>
          <w:tcPr>
            <w:tcW w:w="1309" w:type="dxa"/>
            <w:tcBorders>
              <w:top w:val="nil"/>
              <w:left w:val="nil"/>
              <w:bottom w:val="nil"/>
              <w:right w:val="nil"/>
            </w:tcBorders>
            <w:noWrap/>
            <w:vAlign w:val="center"/>
          </w:tcPr>
          <w:p>
            <w:pPr>
              <w:keepNext w:val="0"/>
              <w:keepLines w:val="0"/>
              <w:pageBreakBefore w:val="0"/>
              <w:kinsoku/>
              <w:wordWrap/>
              <w:overflowPunct/>
              <w:topLinePunct w:val="0"/>
              <w:autoSpaceDN/>
              <w:bidi w:val="0"/>
              <w:spacing w:line="360" w:lineRule="auto"/>
              <w:jc w:val="center"/>
              <w:rPr>
                <w:rFonts w:hint="default" w:ascii="Times New Roman" w:hAnsi="Times New Roman" w:cs="Times New Roman"/>
                <w:color w:val="000000"/>
                <w:sz w:val="20"/>
                <w:szCs w:val="20"/>
              </w:rPr>
            </w:pPr>
          </w:p>
        </w:tc>
        <w:tc>
          <w:tcPr>
            <w:tcW w:w="1309" w:type="dxa"/>
            <w:tcBorders>
              <w:top w:val="nil"/>
              <w:left w:val="nil"/>
              <w:bottom w:val="nil"/>
              <w:right w:val="nil"/>
            </w:tcBorders>
            <w:noWrap/>
            <w:vAlign w:val="center"/>
          </w:tcPr>
          <w:p>
            <w:pPr>
              <w:keepNext w:val="0"/>
              <w:keepLines w:val="0"/>
              <w:pageBreakBefore w:val="0"/>
              <w:kinsoku/>
              <w:wordWrap/>
              <w:overflowPunct/>
              <w:topLinePunct w:val="0"/>
              <w:autoSpaceDN/>
              <w:bidi w:val="0"/>
              <w:spacing w:line="360" w:lineRule="auto"/>
              <w:jc w:val="center"/>
              <w:rPr>
                <w:rFonts w:hint="default" w:ascii="Times New Roman" w:hAnsi="Times New Roman" w:cs="Times New Roman"/>
                <w:color w:val="000000"/>
                <w:sz w:val="20"/>
                <w:szCs w:val="20"/>
              </w:rPr>
            </w:pPr>
          </w:p>
        </w:tc>
        <w:tc>
          <w:tcPr>
            <w:tcW w:w="1309" w:type="dxa"/>
            <w:tcBorders>
              <w:top w:val="nil"/>
              <w:left w:val="nil"/>
              <w:bottom w:val="nil"/>
              <w:right w:val="nil"/>
            </w:tcBorders>
            <w:noWrap/>
            <w:vAlign w:val="center"/>
          </w:tcPr>
          <w:p>
            <w:pPr>
              <w:keepNext w:val="0"/>
              <w:keepLines w:val="0"/>
              <w:pageBreakBefore w:val="0"/>
              <w:kinsoku/>
              <w:wordWrap/>
              <w:overflowPunct/>
              <w:topLinePunct w:val="0"/>
              <w:autoSpaceDN/>
              <w:bidi w:val="0"/>
              <w:spacing w:line="360" w:lineRule="auto"/>
              <w:jc w:val="center"/>
              <w:rPr>
                <w:rFonts w:hint="default" w:ascii="Times New Roman" w:hAnsi="Times New Roman" w:cs="Times New Roman"/>
                <w:color w:val="000000"/>
                <w:sz w:val="20"/>
                <w:szCs w:val="20"/>
              </w:rPr>
            </w:pPr>
          </w:p>
        </w:tc>
        <w:tc>
          <w:tcPr>
            <w:tcW w:w="1308" w:type="dxa"/>
            <w:tcBorders>
              <w:top w:val="nil"/>
              <w:left w:val="nil"/>
              <w:bottom w:val="nil"/>
              <w:right w:val="nil"/>
            </w:tcBorders>
            <w:noWrap/>
            <w:vAlign w:val="center"/>
          </w:tcPr>
          <w:p>
            <w:pPr>
              <w:keepNext w:val="0"/>
              <w:keepLines w:val="0"/>
              <w:pageBreakBefore w:val="0"/>
              <w:kinsoku/>
              <w:wordWrap/>
              <w:overflowPunct/>
              <w:topLinePunct w:val="0"/>
              <w:autoSpaceDN/>
              <w:bidi w:val="0"/>
              <w:spacing w:line="360" w:lineRule="auto"/>
              <w:jc w:val="center"/>
              <w:rPr>
                <w:rFonts w:hint="default" w:ascii="Times New Roman" w:hAnsi="Times New Roman" w:cs="Times New Roman"/>
                <w:color w:val="000000"/>
                <w:sz w:val="20"/>
                <w:szCs w:val="20"/>
              </w:rPr>
            </w:pPr>
          </w:p>
        </w:tc>
      </w:tr>
      <w:tr>
        <w:tblPrEx>
          <w:tblCellMar>
            <w:top w:w="0" w:type="dxa"/>
            <w:left w:w="108" w:type="dxa"/>
            <w:bottom w:w="0" w:type="dxa"/>
            <w:right w:w="108" w:type="dxa"/>
          </w:tblCellMar>
        </w:tblPrEx>
        <w:trPr>
          <w:trHeight w:val="508" w:hRule="atLeast"/>
        </w:trPr>
        <w:tc>
          <w:tcPr>
            <w:tcW w:w="2307"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adenocarcinoma</w:t>
            </w:r>
          </w:p>
        </w:tc>
        <w:tc>
          <w:tcPr>
            <w:tcW w:w="787"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82</w:t>
            </w:r>
          </w:p>
        </w:tc>
        <w:tc>
          <w:tcPr>
            <w:tcW w:w="1550"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31/79 (39.2)</w:t>
            </w:r>
          </w:p>
        </w:tc>
        <w:tc>
          <w:tcPr>
            <w:tcW w:w="1550"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34/79 (43.0)</w:t>
            </w:r>
          </w:p>
        </w:tc>
        <w:tc>
          <w:tcPr>
            <w:tcW w:w="1430"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9/79 (11.4)</w:t>
            </w:r>
          </w:p>
        </w:tc>
        <w:tc>
          <w:tcPr>
            <w:tcW w:w="1309"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0/79 (0.0)</w:t>
            </w:r>
          </w:p>
        </w:tc>
        <w:tc>
          <w:tcPr>
            <w:tcW w:w="1309"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1/79 (1.3)</w:t>
            </w:r>
          </w:p>
        </w:tc>
        <w:tc>
          <w:tcPr>
            <w:tcW w:w="1309"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3/79 (3.8)</w:t>
            </w:r>
          </w:p>
        </w:tc>
        <w:tc>
          <w:tcPr>
            <w:tcW w:w="1308"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1/79 (1.3)</w:t>
            </w:r>
          </w:p>
        </w:tc>
      </w:tr>
      <w:tr>
        <w:tblPrEx>
          <w:tblCellMar>
            <w:top w:w="0" w:type="dxa"/>
            <w:left w:w="108" w:type="dxa"/>
            <w:bottom w:w="0" w:type="dxa"/>
            <w:right w:w="108" w:type="dxa"/>
          </w:tblCellMar>
        </w:tblPrEx>
        <w:trPr>
          <w:trHeight w:val="508" w:hRule="atLeast"/>
        </w:trPr>
        <w:tc>
          <w:tcPr>
            <w:tcW w:w="2307"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Squamous carcinoma</w:t>
            </w:r>
          </w:p>
        </w:tc>
        <w:tc>
          <w:tcPr>
            <w:tcW w:w="787"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8</w:t>
            </w:r>
          </w:p>
        </w:tc>
        <w:tc>
          <w:tcPr>
            <w:tcW w:w="1550"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1/5 (20.0)</w:t>
            </w:r>
          </w:p>
        </w:tc>
        <w:tc>
          <w:tcPr>
            <w:tcW w:w="1550"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2/5 (40.0)</w:t>
            </w:r>
          </w:p>
        </w:tc>
        <w:tc>
          <w:tcPr>
            <w:tcW w:w="1430"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1/5 (20.0)</w:t>
            </w:r>
          </w:p>
        </w:tc>
        <w:tc>
          <w:tcPr>
            <w:tcW w:w="1309"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1/5 (20.0)</w:t>
            </w:r>
          </w:p>
        </w:tc>
        <w:tc>
          <w:tcPr>
            <w:tcW w:w="1309"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0/5 (0.0)</w:t>
            </w:r>
          </w:p>
        </w:tc>
        <w:tc>
          <w:tcPr>
            <w:tcW w:w="1309"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0/5 (0.0)</w:t>
            </w:r>
          </w:p>
        </w:tc>
        <w:tc>
          <w:tcPr>
            <w:tcW w:w="1308"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0/5 (0.0)</w:t>
            </w:r>
          </w:p>
        </w:tc>
      </w:tr>
      <w:tr>
        <w:tblPrEx>
          <w:tblCellMar>
            <w:top w:w="0" w:type="dxa"/>
            <w:left w:w="108" w:type="dxa"/>
            <w:bottom w:w="0" w:type="dxa"/>
            <w:right w:w="108" w:type="dxa"/>
          </w:tblCellMar>
        </w:tblPrEx>
        <w:trPr>
          <w:trHeight w:val="508" w:hRule="atLeast"/>
        </w:trPr>
        <w:tc>
          <w:tcPr>
            <w:tcW w:w="2307"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Small cell carcinoma</w:t>
            </w:r>
          </w:p>
        </w:tc>
        <w:tc>
          <w:tcPr>
            <w:tcW w:w="787"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4</w:t>
            </w:r>
          </w:p>
        </w:tc>
        <w:tc>
          <w:tcPr>
            <w:tcW w:w="1550"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1/2 (50.0)</w:t>
            </w:r>
          </w:p>
        </w:tc>
        <w:tc>
          <w:tcPr>
            <w:tcW w:w="1550"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1/2 (50.0)</w:t>
            </w:r>
          </w:p>
        </w:tc>
        <w:tc>
          <w:tcPr>
            <w:tcW w:w="1430"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0/2 (0.0)</w:t>
            </w:r>
          </w:p>
        </w:tc>
        <w:tc>
          <w:tcPr>
            <w:tcW w:w="1309"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0/2 (0.0)</w:t>
            </w:r>
          </w:p>
        </w:tc>
        <w:tc>
          <w:tcPr>
            <w:tcW w:w="1309"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0/2 (0.0)</w:t>
            </w:r>
          </w:p>
        </w:tc>
        <w:tc>
          <w:tcPr>
            <w:tcW w:w="1309"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0/2 (0.0)</w:t>
            </w:r>
          </w:p>
        </w:tc>
        <w:tc>
          <w:tcPr>
            <w:tcW w:w="1308"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0/2 (0.0)</w:t>
            </w:r>
          </w:p>
        </w:tc>
      </w:tr>
      <w:tr>
        <w:tblPrEx>
          <w:tblCellMar>
            <w:top w:w="0" w:type="dxa"/>
            <w:left w:w="108" w:type="dxa"/>
            <w:bottom w:w="0" w:type="dxa"/>
            <w:right w:w="108" w:type="dxa"/>
          </w:tblCellMar>
        </w:tblPrEx>
        <w:trPr>
          <w:trHeight w:val="508" w:hRule="atLeast"/>
        </w:trPr>
        <w:tc>
          <w:tcPr>
            <w:tcW w:w="2307"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Other types</w:t>
            </w:r>
          </w:p>
        </w:tc>
        <w:tc>
          <w:tcPr>
            <w:tcW w:w="787"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27</w:t>
            </w:r>
          </w:p>
        </w:tc>
        <w:tc>
          <w:tcPr>
            <w:tcW w:w="1550"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15/26 (57.7)</w:t>
            </w:r>
          </w:p>
        </w:tc>
        <w:tc>
          <w:tcPr>
            <w:tcW w:w="1550"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8/26 (30.8)</w:t>
            </w:r>
          </w:p>
        </w:tc>
        <w:tc>
          <w:tcPr>
            <w:tcW w:w="1430"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1/26 (3.8)</w:t>
            </w:r>
          </w:p>
        </w:tc>
        <w:tc>
          <w:tcPr>
            <w:tcW w:w="1309"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2/26 (7.7)</w:t>
            </w:r>
          </w:p>
        </w:tc>
        <w:tc>
          <w:tcPr>
            <w:tcW w:w="1309"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0/26 (0.0)</w:t>
            </w:r>
          </w:p>
        </w:tc>
        <w:tc>
          <w:tcPr>
            <w:tcW w:w="1309"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0/26 (0.0)</w:t>
            </w:r>
          </w:p>
        </w:tc>
        <w:tc>
          <w:tcPr>
            <w:tcW w:w="1308" w:type="dxa"/>
            <w:tcBorders>
              <w:top w:val="nil"/>
              <w:left w:val="nil"/>
              <w:bottom w:val="nil"/>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0/26 (0.0)</w:t>
            </w:r>
          </w:p>
        </w:tc>
      </w:tr>
      <w:tr>
        <w:tblPrEx>
          <w:tblCellMar>
            <w:top w:w="0" w:type="dxa"/>
            <w:left w:w="108" w:type="dxa"/>
            <w:bottom w:w="0" w:type="dxa"/>
            <w:right w:w="108" w:type="dxa"/>
          </w:tblCellMar>
        </w:tblPrEx>
        <w:trPr>
          <w:trHeight w:val="519" w:hRule="atLeast"/>
        </w:trPr>
        <w:tc>
          <w:tcPr>
            <w:tcW w:w="2307" w:type="dxa"/>
            <w:tcBorders>
              <w:top w:val="nil"/>
              <w:left w:val="nil"/>
              <w:bottom w:val="single" w:color="000000" w:sz="4" w:space="0"/>
              <w:right w:val="nil"/>
            </w:tcBorders>
            <w:noWrap/>
            <w:vAlign w:val="center"/>
          </w:tcPr>
          <w:p>
            <w:pPr>
              <w:keepNext w:val="0"/>
              <w:keepLines w:val="0"/>
              <w:pageBreakBefore w:val="0"/>
              <w:widowControl/>
              <w:kinsoku/>
              <w:wordWrap/>
              <w:overflowPunct/>
              <w:topLinePunct w:val="0"/>
              <w:autoSpaceDN/>
              <w:bidi w:val="0"/>
              <w:spacing w:line="360" w:lineRule="auto"/>
              <w:jc w:val="left"/>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Total</w:t>
            </w:r>
          </w:p>
        </w:tc>
        <w:tc>
          <w:tcPr>
            <w:tcW w:w="787" w:type="dxa"/>
            <w:tcBorders>
              <w:top w:val="nil"/>
              <w:left w:val="nil"/>
              <w:bottom w:val="single" w:color="000000" w:sz="4" w:space="0"/>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121</w:t>
            </w:r>
          </w:p>
        </w:tc>
        <w:tc>
          <w:tcPr>
            <w:tcW w:w="1550" w:type="dxa"/>
            <w:tcBorders>
              <w:top w:val="nil"/>
              <w:left w:val="nil"/>
              <w:bottom w:val="single" w:color="000000" w:sz="4" w:space="0"/>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48/112 (42.9)</w:t>
            </w:r>
          </w:p>
        </w:tc>
        <w:tc>
          <w:tcPr>
            <w:tcW w:w="1550" w:type="dxa"/>
            <w:tcBorders>
              <w:top w:val="nil"/>
              <w:left w:val="nil"/>
              <w:bottom w:val="single" w:color="000000" w:sz="4" w:space="0"/>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45/112 (40.2)</w:t>
            </w:r>
          </w:p>
        </w:tc>
        <w:tc>
          <w:tcPr>
            <w:tcW w:w="1430" w:type="dxa"/>
            <w:tcBorders>
              <w:top w:val="nil"/>
              <w:left w:val="nil"/>
              <w:bottom w:val="single" w:color="000000" w:sz="4" w:space="0"/>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11/112 (9.8)</w:t>
            </w:r>
          </w:p>
        </w:tc>
        <w:tc>
          <w:tcPr>
            <w:tcW w:w="1309" w:type="dxa"/>
            <w:tcBorders>
              <w:top w:val="nil"/>
              <w:left w:val="nil"/>
              <w:bottom w:val="single" w:color="000000" w:sz="4" w:space="0"/>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3/112 (2.7)</w:t>
            </w:r>
          </w:p>
        </w:tc>
        <w:tc>
          <w:tcPr>
            <w:tcW w:w="1309" w:type="dxa"/>
            <w:tcBorders>
              <w:top w:val="nil"/>
              <w:left w:val="nil"/>
              <w:bottom w:val="single" w:color="000000" w:sz="4" w:space="0"/>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1/112 (0.9)</w:t>
            </w:r>
          </w:p>
        </w:tc>
        <w:tc>
          <w:tcPr>
            <w:tcW w:w="1309" w:type="dxa"/>
            <w:tcBorders>
              <w:top w:val="nil"/>
              <w:left w:val="nil"/>
              <w:bottom w:val="single" w:color="000000" w:sz="4" w:space="0"/>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3/112 (2.7)</w:t>
            </w:r>
          </w:p>
        </w:tc>
        <w:tc>
          <w:tcPr>
            <w:tcW w:w="1308" w:type="dxa"/>
            <w:tcBorders>
              <w:top w:val="nil"/>
              <w:left w:val="nil"/>
              <w:bottom w:val="single" w:color="000000" w:sz="4" w:space="0"/>
              <w:right w:val="nil"/>
            </w:tcBorders>
            <w:noWrap/>
            <w:vAlign w:val="center"/>
          </w:tcPr>
          <w:p>
            <w:pPr>
              <w:keepNext w:val="0"/>
              <w:keepLines w:val="0"/>
              <w:pageBreakBefore w:val="0"/>
              <w:widowControl/>
              <w:kinsoku/>
              <w:wordWrap/>
              <w:overflowPunct/>
              <w:topLinePunct w:val="0"/>
              <w:autoSpaceDN/>
              <w:bidi w:val="0"/>
              <w:spacing w:line="360" w:lineRule="auto"/>
              <w:jc w:val="center"/>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1/112 (0.9)</w:t>
            </w:r>
          </w:p>
        </w:tc>
      </w:tr>
    </w:tbl>
    <w:p>
      <w:pPr>
        <w:bidi w:val="0"/>
        <w:jc w:val="left"/>
        <w:rPr>
          <w:rFonts w:hint="default" w:ascii="Times New Roman" w:hAnsi="Times New Roman" w:cs="Times New Roman"/>
          <w:sz w:val="20"/>
          <w:szCs w:val="20"/>
          <w:lang w:val="en-US" w:eastAsia="zh-CN"/>
        </w:rPr>
      </w:pPr>
    </w:p>
    <w:sectPr>
      <w:footerReference r:id="rId4" w:type="default"/>
      <w:pgSz w:w="16838" w:h="11906" w:orient="landscape"/>
      <w:pgMar w:top="1417" w:right="1440" w:bottom="1417" w:left="144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J0wnyN0CAAAkBgAADgAAAAAAAAABACAAAAAfAQAAZHJzL2Uyb0RvYy54bWxQSwUG&#10;AAAAAAYABgBZAQAAbgY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9</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CD678BA"/>
    <w:multiLevelType w:val="multilevel"/>
    <w:tmpl w:val="7CD678BA"/>
    <w:lvl w:ilvl="0" w:tentative="0">
      <w:start w:val="1"/>
      <w:numFmt w:val="decimal"/>
      <w:lvlText w:val="%1)"/>
      <w:lvlJc w:val="left"/>
      <w:pPr>
        <w:ind w:left="360" w:hanging="360"/>
      </w:pPr>
      <w:rPr>
        <w:rFonts w:hint="default" w:ascii="Times New Roman" w:hAnsi="Times New Roman" w:cs="Times New Roman"/>
      </w:rPr>
    </w:lvl>
    <w:lvl w:ilvl="1" w:tentative="0">
      <w:start w:val="1"/>
      <w:numFmt w:val="lowerLetter"/>
      <w:lvlText w:val="%2)"/>
      <w:lvlJc w:val="left"/>
      <w:pPr>
        <w:ind w:left="880" w:hanging="440"/>
      </w:pPr>
      <w:rPr>
        <w:rFonts w:hint="default" w:ascii="Times New Roman" w:hAnsi="Times New Roman" w:cs="Times New Roman"/>
      </w:rPr>
    </w:lvl>
    <w:lvl w:ilvl="2" w:tentative="0">
      <w:start w:val="1"/>
      <w:numFmt w:val="lowerRoman"/>
      <w:lvlText w:val="%3."/>
      <w:lvlJc w:val="right"/>
      <w:pPr>
        <w:ind w:left="1320" w:hanging="440"/>
      </w:pPr>
      <w:rPr>
        <w:rFonts w:hint="default" w:ascii="Times New Roman" w:hAnsi="Times New Roman" w:cs="Times New Roman"/>
      </w:rPr>
    </w:lvl>
    <w:lvl w:ilvl="3" w:tentative="0">
      <w:start w:val="1"/>
      <w:numFmt w:val="decimal"/>
      <w:lvlText w:val="%4."/>
      <w:lvlJc w:val="left"/>
      <w:pPr>
        <w:ind w:left="1760" w:hanging="440"/>
      </w:pPr>
      <w:rPr>
        <w:rFonts w:hint="default" w:ascii="Times New Roman" w:hAnsi="Times New Roman" w:cs="Times New Roman"/>
      </w:rPr>
    </w:lvl>
    <w:lvl w:ilvl="4" w:tentative="0">
      <w:start w:val="1"/>
      <w:numFmt w:val="lowerLetter"/>
      <w:lvlText w:val="%5)"/>
      <w:lvlJc w:val="left"/>
      <w:pPr>
        <w:ind w:left="2200" w:hanging="440"/>
      </w:pPr>
      <w:rPr>
        <w:rFonts w:hint="default" w:ascii="Times New Roman" w:hAnsi="Times New Roman" w:cs="Times New Roman"/>
      </w:rPr>
    </w:lvl>
    <w:lvl w:ilvl="5" w:tentative="0">
      <w:start w:val="1"/>
      <w:numFmt w:val="lowerRoman"/>
      <w:lvlText w:val="%6."/>
      <w:lvlJc w:val="right"/>
      <w:pPr>
        <w:ind w:left="2640" w:hanging="440"/>
      </w:pPr>
      <w:rPr>
        <w:rFonts w:hint="default" w:ascii="Times New Roman" w:hAnsi="Times New Roman" w:cs="Times New Roman"/>
      </w:rPr>
    </w:lvl>
    <w:lvl w:ilvl="6" w:tentative="0">
      <w:start w:val="1"/>
      <w:numFmt w:val="decimal"/>
      <w:lvlText w:val="%7."/>
      <w:lvlJc w:val="left"/>
      <w:pPr>
        <w:ind w:left="3080" w:hanging="440"/>
      </w:pPr>
      <w:rPr>
        <w:rFonts w:hint="default" w:ascii="Times New Roman" w:hAnsi="Times New Roman" w:cs="Times New Roman"/>
      </w:rPr>
    </w:lvl>
    <w:lvl w:ilvl="7" w:tentative="0">
      <w:start w:val="1"/>
      <w:numFmt w:val="lowerLetter"/>
      <w:lvlText w:val="%8)"/>
      <w:lvlJc w:val="left"/>
      <w:pPr>
        <w:ind w:left="3520" w:hanging="440"/>
      </w:pPr>
      <w:rPr>
        <w:rFonts w:hint="default" w:ascii="Times New Roman" w:hAnsi="Times New Roman" w:cs="Times New Roman"/>
      </w:rPr>
    </w:lvl>
    <w:lvl w:ilvl="8" w:tentative="0">
      <w:start w:val="1"/>
      <w:numFmt w:val="lowerRoman"/>
      <w:lvlText w:val="%9."/>
      <w:lvlJc w:val="right"/>
      <w:pPr>
        <w:ind w:left="3960" w:hanging="440"/>
      </w:pPr>
      <w:rPr>
        <w:rFonts w:hint="default" w:ascii="Times New Roman" w:hAnsi="Times New Roman"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MwODBmYWFmOGUzNTI2YTAzNTEzNGQ5YjNkOTAwYjgifQ=="/>
  </w:docVars>
  <w:rsids>
    <w:rsidRoot w:val="03436E44"/>
    <w:rsid w:val="03436E44"/>
    <w:rsid w:val="0A886720"/>
    <w:rsid w:val="0B3722EE"/>
    <w:rsid w:val="0D041BD8"/>
    <w:rsid w:val="0DB65DD1"/>
    <w:rsid w:val="12533D65"/>
    <w:rsid w:val="2127683B"/>
    <w:rsid w:val="2137674A"/>
    <w:rsid w:val="260710CD"/>
    <w:rsid w:val="2A795D11"/>
    <w:rsid w:val="2B004385"/>
    <w:rsid w:val="38187B6B"/>
    <w:rsid w:val="3A591968"/>
    <w:rsid w:val="410D448C"/>
    <w:rsid w:val="41656898"/>
    <w:rsid w:val="430C6518"/>
    <w:rsid w:val="4B7E2797"/>
    <w:rsid w:val="4BA67AFD"/>
    <w:rsid w:val="4C5315C6"/>
    <w:rsid w:val="4D467269"/>
    <w:rsid w:val="517C7476"/>
    <w:rsid w:val="58977827"/>
    <w:rsid w:val="59571AF9"/>
    <w:rsid w:val="61C90973"/>
    <w:rsid w:val="71BB3A25"/>
    <w:rsid w:val="79D57D57"/>
    <w:rsid w:val="7B486994"/>
    <w:rsid w:val="7D3836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autoRedefine/>
    <w:semiHidden/>
    <w:qFormat/>
    <w:uiPriority w:val="0"/>
  </w:style>
  <w:style w:type="table" w:default="1" w:styleId="5">
    <w:name w:val="Normal Table"/>
    <w:autoRedefine/>
    <w:semiHidden/>
    <w:qFormat/>
    <w:uiPriority w:val="0"/>
    <w:pPr>
      <w:keepNext w:val="0"/>
      <w:keepLines w:val="0"/>
      <w:widowControl/>
      <w:suppressLineNumbers w:val="0"/>
      <w:spacing w:before="0" w:beforeAutospacing="0" w:after="0" w:afterAutospacing="0"/>
      <w:ind w:left="0" w:right="0"/>
    </w:pPr>
    <w:rPr>
      <w:rFonts w:hint="eastAsia" w:ascii="等线" w:hAnsi="等线" w:eastAsia="等线" w:cs="等线"/>
      <w:kern w:val="2"/>
      <w:sz w:val="21"/>
      <w:szCs w:val="22"/>
    </w:rPr>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toc 1"/>
    <w:basedOn w:val="1"/>
    <w:next w:val="1"/>
    <w:autoRedefine/>
    <w:unhideWhenUsed/>
    <w:qFormat/>
    <w:uiPriority w:val="39"/>
    <w:pPr>
      <w:spacing w:after="100"/>
    </w:pPr>
  </w:style>
  <w:style w:type="character" w:styleId="7">
    <w:name w:val="Hyperlink"/>
    <w:basedOn w:val="6"/>
    <w:autoRedefine/>
    <w:unhideWhenUsed/>
    <w:qFormat/>
    <w:uiPriority w:val="99"/>
    <w:rPr>
      <w:color w:val="0026E5" w:themeColor="hyperlink"/>
      <w:u w:val="single"/>
      <w14:textFill>
        <w14:solidFill>
          <w14:schemeClr w14:val="hlink"/>
        </w14:solidFill>
      </w14:textFill>
    </w:rPr>
  </w:style>
  <w:style w:type="paragraph" w:customStyle="1" w:styleId="8">
    <w:name w:val="List Paragraph"/>
    <w:basedOn w:val="1"/>
    <w:autoRedefine/>
    <w:qFormat/>
    <w:uiPriority w:val="0"/>
    <w:pPr>
      <w:ind w:firstLine="420" w:firstLineChars="200"/>
    </w:pPr>
    <w:rPr>
      <w:rFonts w:ascii="等线" w:hAnsi="等线" w:eastAsia="等线" w:cs="Times New Roman"/>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2024-03-10T03:27:00Z</dcterms:created>
  <dc:creator>聪</dc:creator>
  <cp:lastModifiedBy>聪</cp:lastModifiedBy>
  <dcterms:modified xsi:type="dcterms:W3CDTF">2024-03-28T09:15:52Z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406D3A12E86F468C86FAC24C5E5A045A_11</vt:lpwstr>
  </property>
</Properties>
</file>