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8F5" w:rsidRPr="001768F5" w:rsidRDefault="001768F5" w:rsidP="001768F5">
      <w:pPr>
        <w:spacing w:line="480" w:lineRule="auto"/>
        <w:jc w:val="center"/>
        <w:rPr>
          <w:rFonts w:ascii="Times New Roman" w:hAnsi="Times New Roman" w:cs="Times New Roman"/>
          <w:b/>
          <w:sz w:val="28"/>
          <w:u w:val="single"/>
        </w:rPr>
      </w:pPr>
      <w:r w:rsidRPr="001768F5">
        <w:rPr>
          <w:rFonts w:ascii="Times New Roman" w:hAnsi="Times New Roman" w:cs="Times New Roman"/>
          <w:b/>
          <w:sz w:val="28"/>
          <w:u w:val="single"/>
        </w:rPr>
        <w:t>Supplementary information</w:t>
      </w:r>
    </w:p>
    <w:p w:rsidR="00961BAA" w:rsidRPr="00942195" w:rsidRDefault="00961BAA" w:rsidP="00961BAA">
      <w:pPr>
        <w:spacing w:line="480" w:lineRule="auto"/>
        <w:jc w:val="center"/>
        <w:rPr>
          <w:rFonts w:ascii="Times New Roman" w:hAnsi="Times New Roman" w:cs="Times New Roman"/>
          <w:b/>
          <w:sz w:val="24"/>
        </w:rPr>
      </w:pPr>
      <w:r w:rsidRPr="00942195">
        <w:rPr>
          <w:rFonts w:ascii="Times New Roman" w:hAnsi="Times New Roman" w:cs="Times New Roman"/>
          <w:b/>
          <w:sz w:val="28"/>
        </w:rPr>
        <w:t xml:space="preserve">Fluorescent nanoplastics </w:t>
      </w:r>
      <w:r>
        <w:rPr>
          <w:rFonts w:ascii="Times New Roman" w:hAnsi="Times New Roman" w:cs="Times New Roman"/>
          <w:b/>
          <w:sz w:val="28"/>
        </w:rPr>
        <w:t>enhanced</w:t>
      </w:r>
      <w:r w:rsidRPr="00942195">
        <w:rPr>
          <w:rFonts w:ascii="Times New Roman" w:hAnsi="Times New Roman" w:cs="Times New Roman"/>
          <w:b/>
          <w:sz w:val="28"/>
        </w:rPr>
        <w:t xml:space="preserve"> </w:t>
      </w:r>
      <w:r>
        <w:rPr>
          <w:rFonts w:ascii="Times New Roman" w:hAnsi="Times New Roman" w:cs="Times New Roman"/>
          <w:b/>
          <w:sz w:val="28"/>
        </w:rPr>
        <w:t xml:space="preserve">toxicity </w:t>
      </w:r>
      <w:r w:rsidRPr="00942195">
        <w:rPr>
          <w:rFonts w:ascii="Times New Roman" w:hAnsi="Times New Roman" w:cs="Times New Roman"/>
          <w:b/>
          <w:sz w:val="28"/>
        </w:rPr>
        <w:t>of Graphene oxide</w:t>
      </w:r>
      <w:r>
        <w:rPr>
          <w:rFonts w:ascii="Times New Roman" w:hAnsi="Times New Roman" w:cs="Times New Roman"/>
          <w:b/>
          <w:sz w:val="28"/>
        </w:rPr>
        <w:t xml:space="preserve"> nanoparticles</w:t>
      </w:r>
      <w:r w:rsidRPr="00942195">
        <w:rPr>
          <w:rFonts w:ascii="Times New Roman" w:hAnsi="Times New Roman" w:cs="Times New Roman"/>
          <w:b/>
          <w:sz w:val="28"/>
        </w:rPr>
        <w:t xml:space="preserve"> in freshwater algae </w:t>
      </w:r>
      <w:r w:rsidRPr="00942195">
        <w:rPr>
          <w:rFonts w:ascii="Times New Roman" w:hAnsi="Times New Roman" w:cs="Times New Roman"/>
          <w:b/>
          <w:i/>
          <w:sz w:val="28"/>
        </w:rPr>
        <w:t>Scenedesmus obliquus</w:t>
      </w:r>
    </w:p>
    <w:p w:rsidR="00961BAA" w:rsidRDefault="00961BAA" w:rsidP="00961BAA">
      <w:pPr>
        <w:spacing w:line="480" w:lineRule="auto"/>
        <w:rPr>
          <w:rFonts w:ascii="Times New Roman" w:hAnsi="Times New Roman" w:cs="Times New Roman"/>
          <w:sz w:val="24"/>
        </w:rPr>
      </w:pPr>
    </w:p>
    <w:p w:rsidR="00961BAA" w:rsidRDefault="00961BAA" w:rsidP="00961BAA">
      <w:pPr>
        <w:spacing w:line="480" w:lineRule="auto"/>
        <w:jc w:val="center"/>
        <w:rPr>
          <w:rFonts w:ascii="Times New Roman" w:hAnsi="Times New Roman" w:cs="Times New Roman"/>
          <w:sz w:val="24"/>
        </w:rPr>
      </w:pPr>
      <w:r>
        <w:rPr>
          <w:rFonts w:ascii="Times New Roman" w:hAnsi="Times New Roman" w:cs="Times New Roman"/>
          <w:sz w:val="24"/>
        </w:rPr>
        <w:t>Soupam Das, Sampriti Giri, Janmey Shah, Amitava Mukherjee</w:t>
      </w:r>
      <w:r w:rsidRPr="00942195">
        <w:rPr>
          <w:rFonts w:ascii="Times New Roman" w:hAnsi="Times New Roman" w:cs="Times New Roman"/>
          <w:sz w:val="24"/>
          <w:vertAlign w:val="superscript"/>
        </w:rPr>
        <w:t>*</w:t>
      </w:r>
    </w:p>
    <w:p w:rsidR="00961BAA" w:rsidRDefault="00961BAA" w:rsidP="00961BAA">
      <w:pPr>
        <w:spacing w:line="480" w:lineRule="auto"/>
        <w:rPr>
          <w:rFonts w:ascii="Times New Roman" w:hAnsi="Times New Roman" w:cs="Times New Roman"/>
          <w:sz w:val="24"/>
        </w:rPr>
      </w:pPr>
    </w:p>
    <w:p w:rsidR="00961BAA" w:rsidRDefault="00961BAA" w:rsidP="00961BAA">
      <w:pPr>
        <w:spacing w:line="480" w:lineRule="auto"/>
        <w:rPr>
          <w:rFonts w:ascii="Times New Roman" w:hAnsi="Times New Roman" w:cs="Times New Roman"/>
          <w:sz w:val="24"/>
        </w:rPr>
      </w:pPr>
    </w:p>
    <w:p w:rsidR="00961BAA" w:rsidRDefault="00961BAA" w:rsidP="00961BAA">
      <w:pPr>
        <w:spacing w:line="480" w:lineRule="auto"/>
        <w:jc w:val="center"/>
        <w:rPr>
          <w:rFonts w:ascii="Times New Roman" w:hAnsi="Times New Roman" w:cs="Times New Roman"/>
          <w:sz w:val="24"/>
        </w:rPr>
      </w:pPr>
      <w:r>
        <w:rPr>
          <w:rFonts w:ascii="Times New Roman" w:hAnsi="Times New Roman" w:cs="Times New Roman"/>
          <w:sz w:val="24"/>
        </w:rPr>
        <w:t>Centre for Nanobiotechnology, Vellore Institute of Technology, Vellore, India</w:t>
      </w:r>
    </w:p>
    <w:p w:rsidR="00961BAA" w:rsidRDefault="00961BAA" w:rsidP="00961BAA">
      <w:pPr>
        <w:spacing w:line="480" w:lineRule="auto"/>
        <w:rPr>
          <w:rFonts w:ascii="Times New Roman" w:hAnsi="Times New Roman" w:cs="Times New Roman"/>
          <w:sz w:val="24"/>
        </w:rPr>
      </w:pPr>
    </w:p>
    <w:p w:rsidR="00961BAA" w:rsidRDefault="00961BAA" w:rsidP="00961BAA">
      <w:pPr>
        <w:spacing w:line="480" w:lineRule="auto"/>
        <w:rPr>
          <w:rFonts w:ascii="Times New Roman" w:hAnsi="Times New Roman" w:cs="Times New Roman"/>
          <w:sz w:val="24"/>
        </w:rPr>
      </w:pPr>
    </w:p>
    <w:p w:rsidR="00961BAA" w:rsidRDefault="00961BAA" w:rsidP="00961BAA">
      <w:pPr>
        <w:spacing w:line="480" w:lineRule="auto"/>
        <w:rPr>
          <w:rFonts w:ascii="Times New Roman" w:hAnsi="Times New Roman" w:cs="Times New Roman"/>
          <w:sz w:val="24"/>
        </w:rPr>
      </w:pPr>
    </w:p>
    <w:p w:rsidR="00961BAA" w:rsidRDefault="00961BAA" w:rsidP="00961BAA">
      <w:pPr>
        <w:spacing w:line="480" w:lineRule="auto"/>
        <w:rPr>
          <w:rFonts w:ascii="Times New Roman" w:hAnsi="Times New Roman" w:cs="Times New Roman"/>
          <w:sz w:val="24"/>
        </w:rPr>
      </w:pPr>
    </w:p>
    <w:p w:rsidR="001B27C8" w:rsidRDefault="00961BAA" w:rsidP="00961BAA">
      <w:pPr>
        <w:rPr>
          <w:rStyle w:val="Hyperlink"/>
          <w:rFonts w:ascii="Times New Roman" w:hAnsi="Times New Roman" w:cs="Times New Roman"/>
          <w:sz w:val="24"/>
          <w:szCs w:val="24"/>
        </w:rPr>
      </w:pPr>
      <w:r w:rsidRPr="00F10827">
        <w:rPr>
          <w:rFonts w:ascii="Times New Roman" w:hAnsi="Times New Roman" w:cs="Times New Roman"/>
          <w:b/>
          <w:sz w:val="24"/>
          <w:szCs w:val="24"/>
        </w:rPr>
        <w:t>*Corresponding author</w:t>
      </w:r>
      <w:r>
        <w:rPr>
          <w:rFonts w:ascii="Times New Roman" w:hAnsi="Times New Roman" w:cs="Times New Roman"/>
          <w:b/>
          <w:sz w:val="24"/>
          <w:szCs w:val="24"/>
        </w:rPr>
        <w:t xml:space="preserve">. </w:t>
      </w:r>
      <w:r>
        <w:rPr>
          <w:rFonts w:ascii="Times New Roman" w:hAnsi="Times New Roman"/>
          <w:bCs/>
          <w:sz w:val="24"/>
          <w:szCs w:val="24"/>
        </w:rPr>
        <w:t xml:space="preserve">Dr. Amitava Mukherjee, Senior Professor &amp; Director, Centre for Nanobiotechnology, </w:t>
      </w:r>
      <w:r w:rsidRPr="007A59EA">
        <w:rPr>
          <w:rFonts w:ascii="Times New Roman" w:hAnsi="Times New Roman"/>
          <w:bCs/>
          <w:sz w:val="24"/>
          <w:szCs w:val="24"/>
          <w:lang w:val="en-US"/>
        </w:rPr>
        <w:t xml:space="preserve">Vellore Institute of Technology, Vellore </w:t>
      </w:r>
      <w:r w:rsidRPr="007A59EA">
        <w:rPr>
          <w:rFonts w:ascii="Times New Roman" w:hAnsi="Times New Roman"/>
          <w:bCs/>
          <w:sz w:val="24"/>
          <w:szCs w:val="24"/>
        </w:rPr>
        <w:t>– 632014, India.</w:t>
      </w:r>
      <w:r>
        <w:rPr>
          <w:rFonts w:ascii="Times New Roman" w:hAnsi="Times New Roman"/>
          <w:bCs/>
          <w:sz w:val="24"/>
          <w:szCs w:val="24"/>
        </w:rPr>
        <w:t xml:space="preserve"> </w:t>
      </w:r>
      <w:r w:rsidRPr="007A59EA">
        <w:rPr>
          <w:rFonts w:ascii="Times New Roman" w:hAnsi="Times New Roman"/>
          <w:bCs/>
          <w:sz w:val="24"/>
          <w:szCs w:val="24"/>
        </w:rPr>
        <w:t xml:space="preserve">Email: </w:t>
      </w:r>
      <w:hyperlink r:id="rId4" w:history="1">
        <w:r w:rsidRPr="007A59EA">
          <w:rPr>
            <w:rStyle w:val="Hyperlink"/>
            <w:rFonts w:ascii="Times New Roman" w:hAnsi="Times New Roman"/>
            <w:bCs/>
            <w:sz w:val="24"/>
            <w:szCs w:val="24"/>
          </w:rPr>
          <w:t>amit.mookerjea@gmail.com</w:t>
        </w:r>
      </w:hyperlink>
      <w:r w:rsidRPr="007A59EA">
        <w:rPr>
          <w:rFonts w:ascii="Times New Roman" w:hAnsi="Times New Roman"/>
          <w:bCs/>
          <w:sz w:val="24"/>
          <w:szCs w:val="24"/>
        </w:rPr>
        <w:t xml:space="preserve">, </w:t>
      </w:r>
      <w:hyperlink r:id="rId5" w:history="1">
        <w:r w:rsidRPr="007A59EA">
          <w:rPr>
            <w:rStyle w:val="Hyperlink"/>
            <w:rFonts w:ascii="Times New Roman" w:hAnsi="Times New Roman"/>
            <w:bCs/>
            <w:sz w:val="24"/>
            <w:szCs w:val="24"/>
          </w:rPr>
          <w:t>amitav@vit.ac.in</w:t>
        </w:r>
      </w:hyperlink>
      <w:r>
        <w:rPr>
          <w:rFonts w:ascii="Times New Roman" w:hAnsi="Times New Roman"/>
          <w:bCs/>
          <w:sz w:val="24"/>
          <w:szCs w:val="24"/>
        </w:rPr>
        <w:t xml:space="preserve">, </w:t>
      </w:r>
      <w:r w:rsidRPr="007A59EA">
        <w:rPr>
          <w:rFonts w:ascii="Times New Roman" w:hAnsi="Times New Roman"/>
          <w:bCs/>
          <w:sz w:val="24"/>
          <w:szCs w:val="24"/>
        </w:rPr>
        <w:t>P</w:t>
      </w:r>
      <w:r>
        <w:rPr>
          <w:rFonts w:ascii="Times New Roman" w:hAnsi="Times New Roman"/>
          <w:bCs/>
          <w:sz w:val="24"/>
          <w:szCs w:val="24"/>
        </w:rPr>
        <w:t>hone: +914162204211</w:t>
      </w:r>
      <w:bookmarkStart w:id="0" w:name="_GoBack"/>
      <w:bookmarkEnd w:id="0"/>
    </w:p>
    <w:p w:rsidR="004604A3" w:rsidRDefault="001768F5" w:rsidP="001768F5">
      <w:pPr>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br w:type="page"/>
      </w:r>
    </w:p>
    <w:p w:rsidR="004604A3" w:rsidRPr="008F2A54" w:rsidRDefault="004604A3" w:rsidP="00F030A0">
      <w:pPr>
        <w:spacing w:line="480" w:lineRule="auto"/>
        <w:jc w:val="both"/>
        <w:rPr>
          <w:rStyle w:val="Hyperlink"/>
          <w:rFonts w:ascii="Times New Roman" w:hAnsi="Times New Roman" w:cs="Times New Roman"/>
          <w:b/>
          <w:color w:val="auto"/>
          <w:sz w:val="24"/>
          <w:szCs w:val="24"/>
        </w:rPr>
      </w:pPr>
      <w:r w:rsidRPr="008F2A54">
        <w:rPr>
          <w:rStyle w:val="Hyperlink"/>
          <w:rFonts w:ascii="Times New Roman" w:hAnsi="Times New Roman" w:cs="Times New Roman"/>
          <w:b/>
          <w:color w:val="auto"/>
          <w:sz w:val="24"/>
          <w:szCs w:val="24"/>
        </w:rPr>
        <w:lastRenderedPageBreak/>
        <w:t>Materials and methods:</w:t>
      </w:r>
    </w:p>
    <w:p w:rsidR="001768F5" w:rsidRDefault="00E87C83" w:rsidP="00F030A0">
      <w:pPr>
        <w:spacing w:line="480" w:lineRule="auto"/>
        <w:jc w:val="both"/>
        <w:rPr>
          <w:rStyle w:val="Hyperlink"/>
          <w:rFonts w:ascii="Times New Roman" w:hAnsi="Times New Roman" w:cs="Times New Roman"/>
          <w:color w:val="auto"/>
          <w:sz w:val="24"/>
          <w:szCs w:val="24"/>
          <w:u w:val="none"/>
        </w:rPr>
      </w:pPr>
      <w:r w:rsidRPr="000762AF">
        <w:rPr>
          <w:rStyle w:val="Hyperlink"/>
          <w:rFonts w:ascii="Times New Roman" w:hAnsi="Times New Roman" w:cs="Times New Roman"/>
          <w:b/>
          <w:color w:val="auto"/>
          <w:sz w:val="24"/>
          <w:szCs w:val="24"/>
          <w:u w:val="none"/>
        </w:rPr>
        <w:t>Method S1</w:t>
      </w:r>
      <w:r w:rsidR="00DB0692" w:rsidRPr="000762AF">
        <w:rPr>
          <w:rStyle w:val="Hyperlink"/>
          <w:rFonts w:ascii="Times New Roman" w:hAnsi="Times New Roman" w:cs="Times New Roman"/>
          <w:b/>
          <w:color w:val="auto"/>
          <w:sz w:val="24"/>
          <w:szCs w:val="24"/>
          <w:u w:val="none"/>
        </w:rPr>
        <w:t>: Algal cell viability determination</w:t>
      </w:r>
    </w:p>
    <w:p w:rsidR="004604A3" w:rsidRDefault="00F030A0" w:rsidP="00F030A0">
      <w:pPr>
        <w:spacing w:line="48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Following 72 h of interaction of the algal cells with the contaminants, 10 µl of the interacted samples were placed on a haemocytometer and observed under optical microscope for cell viability. </w:t>
      </w:r>
      <w:r w:rsidR="000762AF">
        <w:rPr>
          <w:rStyle w:val="Hyperlink"/>
          <w:rFonts w:ascii="Times New Roman" w:hAnsi="Times New Roman" w:cs="Times New Roman"/>
          <w:color w:val="auto"/>
          <w:sz w:val="24"/>
          <w:szCs w:val="24"/>
          <w:u w:val="none"/>
        </w:rPr>
        <w:t xml:space="preserve">The formula to compute the percentage of viable algal cells are represented below: </w:t>
      </w:r>
    </w:p>
    <w:p w:rsidR="000762AF" w:rsidRDefault="000762AF" w:rsidP="00F030A0">
      <w:pPr>
        <w:spacing w:line="480" w:lineRule="auto"/>
        <w:jc w:val="both"/>
        <w:rPr>
          <w:rStyle w:val="Hyperlink"/>
          <w:rFonts w:ascii="Times New Roman" w:hAnsi="Times New Roman" w:cs="Times New Roman"/>
          <w:color w:val="auto"/>
          <w:sz w:val="24"/>
          <w:szCs w:val="24"/>
          <w:u w:val="none"/>
        </w:rPr>
      </w:pPr>
      <m:oMathPara>
        <m:oMath>
          <m:r>
            <w:rPr>
              <w:rFonts w:ascii="Cambria Math" w:hAnsi="Cambria Math" w:cs="Times New Roman"/>
              <w:sz w:val="24"/>
              <w:szCs w:val="24"/>
            </w:rPr>
            <m:t>Cell Viability (%)=</m:t>
          </m:r>
          <m:f>
            <m:fPr>
              <m:ctrlPr>
                <w:rPr>
                  <w:rFonts w:ascii="Cambria Math" w:hAnsi="Cambria Math" w:cs="Times New Roman"/>
                  <w:i/>
                  <w:sz w:val="24"/>
                  <w:szCs w:val="24"/>
                </w:rPr>
              </m:ctrlPr>
            </m:fPr>
            <m:num>
              <m:r>
                <w:rPr>
                  <w:rFonts w:ascii="Cambria Math" w:hAnsi="Cambria Math" w:cs="Times New Roman"/>
                  <w:sz w:val="24"/>
                  <w:szCs w:val="24"/>
                </w:rPr>
                <m:t>Test</m:t>
              </m:r>
            </m:num>
            <m:den>
              <m:r>
                <w:rPr>
                  <w:rFonts w:ascii="Cambria Math" w:hAnsi="Cambria Math" w:cs="Times New Roman"/>
                  <w:sz w:val="24"/>
                  <w:szCs w:val="24"/>
                </w:rPr>
                <m:t>Control</m:t>
              </m:r>
            </m:den>
          </m:f>
          <m:r>
            <w:rPr>
              <w:rFonts w:ascii="Cambria Math" w:hAnsi="Cambria Math" w:cs="Times New Roman"/>
              <w:sz w:val="24"/>
              <w:szCs w:val="24"/>
            </w:rPr>
            <m:t>×100</m:t>
          </m:r>
        </m:oMath>
      </m:oMathPara>
    </w:p>
    <w:p w:rsidR="00DB0692" w:rsidRPr="000762AF" w:rsidRDefault="00DB0692" w:rsidP="00F030A0">
      <w:pPr>
        <w:spacing w:line="480" w:lineRule="auto"/>
        <w:jc w:val="both"/>
        <w:rPr>
          <w:rStyle w:val="Hyperlink"/>
          <w:rFonts w:ascii="Times New Roman" w:hAnsi="Times New Roman" w:cs="Times New Roman"/>
          <w:b/>
          <w:color w:val="auto"/>
          <w:sz w:val="24"/>
          <w:szCs w:val="24"/>
          <w:u w:val="none"/>
        </w:rPr>
      </w:pPr>
      <w:r w:rsidRPr="000762AF">
        <w:rPr>
          <w:rStyle w:val="Hyperlink"/>
          <w:rFonts w:ascii="Times New Roman" w:hAnsi="Times New Roman" w:cs="Times New Roman"/>
          <w:b/>
          <w:color w:val="auto"/>
          <w:sz w:val="24"/>
          <w:szCs w:val="24"/>
          <w:u w:val="none"/>
        </w:rPr>
        <w:t>Method S2: Total ROS</w:t>
      </w:r>
      <w:r w:rsidR="00727730">
        <w:rPr>
          <w:rStyle w:val="Hyperlink"/>
          <w:rFonts w:ascii="Times New Roman" w:hAnsi="Times New Roman" w:cs="Times New Roman"/>
          <w:b/>
          <w:color w:val="auto"/>
          <w:sz w:val="24"/>
          <w:szCs w:val="24"/>
          <w:u w:val="none"/>
        </w:rPr>
        <w:t xml:space="preserve"> generation</w:t>
      </w:r>
    </w:p>
    <w:p w:rsidR="004604A3" w:rsidRDefault="000716AD" w:rsidP="00F030A0">
      <w:pPr>
        <w:spacing w:line="48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To determine the total ROS generated by the algal cells, DCFH-DA was used. </w:t>
      </w:r>
      <w:r w:rsidR="000C632C">
        <w:rPr>
          <w:rStyle w:val="Hyperlink"/>
          <w:rFonts w:ascii="Times New Roman" w:hAnsi="Times New Roman" w:cs="Times New Roman"/>
          <w:color w:val="auto"/>
          <w:sz w:val="24"/>
          <w:szCs w:val="24"/>
          <w:u w:val="none"/>
        </w:rPr>
        <w:t xml:space="preserve">Following 72 h of incubation, </w:t>
      </w:r>
      <w:r w:rsidR="004C2BFC">
        <w:rPr>
          <w:rStyle w:val="Hyperlink"/>
          <w:rFonts w:ascii="Times New Roman" w:hAnsi="Times New Roman" w:cs="Times New Roman"/>
          <w:color w:val="auto"/>
          <w:sz w:val="24"/>
          <w:szCs w:val="24"/>
          <w:u w:val="none"/>
        </w:rPr>
        <w:t>50 µl of the fluorescent dye (100 µm) was added to the algal samples and kept in dark for 30 mins</w:t>
      </w:r>
      <w:r w:rsidR="001341FB">
        <w:rPr>
          <w:rStyle w:val="Hyperlink"/>
          <w:rFonts w:ascii="Times New Roman" w:hAnsi="Times New Roman" w:cs="Times New Roman"/>
          <w:color w:val="auto"/>
          <w:sz w:val="24"/>
          <w:szCs w:val="24"/>
          <w:u w:val="none"/>
        </w:rPr>
        <w:t xml:space="preserve"> </w:t>
      </w:r>
      <w:r w:rsidR="001341FB">
        <w:rPr>
          <w:rStyle w:val="Hyperlink"/>
          <w:rFonts w:ascii="Times New Roman" w:hAnsi="Times New Roman" w:cs="Times New Roman"/>
          <w:color w:val="auto"/>
          <w:sz w:val="24"/>
          <w:szCs w:val="24"/>
          <w:u w:val="none"/>
        </w:rPr>
        <w:fldChar w:fldCharType="begin"/>
      </w:r>
      <w:r w:rsidR="001341FB">
        <w:rPr>
          <w:rStyle w:val="Hyperlink"/>
          <w:rFonts w:ascii="Times New Roman" w:hAnsi="Times New Roman" w:cs="Times New Roman"/>
          <w:color w:val="auto"/>
          <w:sz w:val="24"/>
          <w:szCs w:val="24"/>
          <w:u w:val="none"/>
        </w:rPr>
        <w:instrText xml:space="preserve"> ADDIN EN.CITE &lt;EndNote&gt;&lt;Cite&gt;&lt;Author&gt;Giri&lt;/Author&gt;&lt;Year&gt;2021&lt;/Year&gt;&lt;RecNum&gt;206&lt;/RecNum&gt;&lt;DisplayText&gt;(1)&lt;/DisplayText&gt;&lt;record&gt;&lt;rec-number&gt;206&lt;/rec-number&gt;&lt;foreign-keys&gt;&lt;key app="EN" db-id="fpv20rsr6fzevhewptu52zavxv5vzewxrtfa" timestamp="1630222632"&gt;206&lt;/key&gt;&lt;/foreign-keys&gt;&lt;ref-type name="Journal Article"&gt;17&lt;/ref-type&gt;&lt;contributors&gt;&lt;authors&gt;&lt;author&gt;Giri, Sayani&lt;/author&gt;&lt;author&gt;Mukherjee, Amitava&lt;/author&gt;&lt;/authors&gt;&lt;/contributors&gt;&lt;titles&gt;&lt;title&gt;Ageing with algal EPS reduces the toxic effects of polystyrene nanoplastics in freshwater microalgae Scenedesmus obliquus&lt;/title&gt;&lt;secondary-title&gt;Journal of Environmental Chemical Engineering&lt;/secondary-title&gt;&lt;/titles&gt;&lt;periodical&gt;&lt;full-title&gt;Journal of Environmental Chemical Engineering&lt;/full-title&gt;&lt;/periodical&gt;&lt;pages&gt;105978&lt;/pages&gt;&lt;volume&gt;9&lt;/volume&gt;&lt;number&gt;5&lt;/number&gt;&lt;keywords&gt;&lt;keyword&gt;EPS&lt;/keyword&gt;&lt;keyword&gt;Nanoplastics&lt;/keyword&gt;&lt;keyword&gt;Agglomeration&lt;/keyword&gt;&lt;keyword&gt;Reactive oxygen species&lt;/keyword&gt;&lt;keyword&gt;Photosynthetic efficiency&lt;/keyword&gt;&lt;keyword&gt;PCA&lt;/keyword&gt;&lt;/keywords&gt;&lt;dates&gt;&lt;year&gt;2021&lt;/year&gt;&lt;pub-dates&gt;&lt;date&gt;2021/10/01/&lt;/date&gt;&lt;/pub-dates&gt;&lt;/dates&gt;&lt;isbn&gt;2213-3437&lt;/isbn&gt;&lt;urls&gt;&lt;related-urls&gt;&lt;url&gt;https://www.sciencedirect.com/science/article/pii/S2213343721009556&lt;/url&gt;&lt;/related-urls&gt;&lt;/urls&gt;&lt;electronic-resource-num&gt;https://doi.org/10.1016/j.jece.2021.105978&lt;/electronic-resource-num&gt;&lt;/record&gt;&lt;/Cite&gt;&lt;/EndNote&gt;</w:instrText>
      </w:r>
      <w:r w:rsidR="001341FB">
        <w:rPr>
          <w:rStyle w:val="Hyperlink"/>
          <w:rFonts w:ascii="Times New Roman" w:hAnsi="Times New Roman" w:cs="Times New Roman"/>
          <w:color w:val="auto"/>
          <w:sz w:val="24"/>
          <w:szCs w:val="24"/>
          <w:u w:val="none"/>
        </w:rPr>
        <w:fldChar w:fldCharType="separate"/>
      </w:r>
      <w:r w:rsidR="001341FB">
        <w:rPr>
          <w:rStyle w:val="Hyperlink"/>
          <w:rFonts w:ascii="Times New Roman" w:hAnsi="Times New Roman" w:cs="Times New Roman"/>
          <w:noProof/>
          <w:color w:val="auto"/>
          <w:sz w:val="24"/>
          <w:szCs w:val="24"/>
          <w:u w:val="none"/>
        </w:rPr>
        <w:t>(1)</w:t>
      </w:r>
      <w:r w:rsidR="001341FB">
        <w:rPr>
          <w:rStyle w:val="Hyperlink"/>
          <w:rFonts w:ascii="Times New Roman" w:hAnsi="Times New Roman" w:cs="Times New Roman"/>
          <w:color w:val="auto"/>
          <w:sz w:val="24"/>
          <w:szCs w:val="24"/>
          <w:u w:val="none"/>
        </w:rPr>
        <w:fldChar w:fldCharType="end"/>
      </w:r>
      <w:r w:rsidR="004C2BFC">
        <w:rPr>
          <w:rStyle w:val="Hyperlink"/>
          <w:rFonts w:ascii="Times New Roman" w:hAnsi="Times New Roman" w:cs="Times New Roman"/>
          <w:color w:val="auto"/>
          <w:sz w:val="24"/>
          <w:szCs w:val="24"/>
          <w:u w:val="none"/>
        </w:rPr>
        <w:t xml:space="preserve">. Fluorescent intensity of the samples was measured using a fluorescent spectrophotometer </w:t>
      </w:r>
      <w:r w:rsidR="004C2BFC" w:rsidRPr="00646518">
        <w:rPr>
          <w:rFonts w:ascii="Times New Roman" w:hAnsi="Times New Roman" w:cs="Times New Roman"/>
          <w:sz w:val="24"/>
          <w:szCs w:val="24"/>
        </w:rPr>
        <w:t>(Cary Eclipse, G9800A; Agilent Technologies, USA)</w:t>
      </w:r>
      <w:r w:rsidR="004C2BFC">
        <w:rPr>
          <w:rStyle w:val="Hyperlink"/>
          <w:rFonts w:ascii="Times New Roman" w:hAnsi="Times New Roman" w:cs="Times New Roman"/>
          <w:color w:val="auto"/>
          <w:sz w:val="24"/>
          <w:szCs w:val="24"/>
          <w:u w:val="none"/>
        </w:rPr>
        <w:t xml:space="preserve"> of excitation and emission wavelengths of 485 and 530 nm respectively. The obtained fluorescence intensities of the treated algal samples were compared with the control samples. Under abiotic </w:t>
      </w:r>
      <w:r w:rsidR="00B251A9">
        <w:rPr>
          <w:rStyle w:val="Hyperlink"/>
          <w:rFonts w:ascii="Times New Roman" w:hAnsi="Times New Roman" w:cs="Times New Roman"/>
          <w:color w:val="auto"/>
          <w:sz w:val="24"/>
          <w:szCs w:val="24"/>
          <w:u w:val="none"/>
        </w:rPr>
        <w:t>conditions no such increase in fluorescence intensities were observed.</w:t>
      </w:r>
    </w:p>
    <w:p w:rsidR="004604A3" w:rsidRPr="000762AF" w:rsidRDefault="00DB0692" w:rsidP="00F030A0">
      <w:pPr>
        <w:spacing w:line="480" w:lineRule="auto"/>
        <w:jc w:val="both"/>
        <w:rPr>
          <w:rStyle w:val="Hyperlink"/>
          <w:rFonts w:ascii="Times New Roman" w:hAnsi="Times New Roman" w:cs="Times New Roman"/>
          <w:b/>
          <w:color w:val="auto"/>
          <w:sz w:val="24"/>
          <w:szCs w:val="24"/>
          <w:u w:val="none"/>
        </w:rPr>
      </w:pPr>
      <w:r w:rsidRPr="000762AF">
        <w:rPr>
          <w:rStyle w:val="Hyperlink"/>
          <w:rFonts w:ascii="Times New Roman" w:hAnsi="Times New Roman" w:cs="Times New Roman"/>
          <w:b/>
          <w:color w:val="auto"/>
          <w:sz w:val="24"/>
          <w:szCs w:val="24"/>
          <w:u w:val="none"/>
        </w:rPr>
        <w:t>Method S3: MDA</w:t>
      </w:r>
      <w:r w:rsidR="00727730">
        <w:rPr>
          <w:rStyle w:val="Hyperlink"/>
          <w:rFonts w:ascii="Times New Roman" w:hAnsi="Times New Roman" w:cs="Times New Roman"/>
          <w:b/>
          <w:color w:val="auto"/>
          <w:sz w:val="24"/>
          <w:szCs w:val="24"/>
          <w:u w:val="none"/>
        </w:rPr>
        <w:t xml:space="preserve"> production</w:t>
      </w:r>
    </w:p>
    <w:p w:rsidR="00DB0692" w:rsidRDefault="00DB0692" w:rsidP="00F030A0">
      <w:pPr>
        <w:spacing w:line="48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 </w:t>
      </w:r>
      <w:r w:rsidR="001341FB">
        <w:rPr>
          <w:rStyle w:val="Hyperlink"/>
          <w:rFonts w:ascii="Times New Roman" w:hAnsi="Times New Roman" w:cs="Times New Roman"/>
          <w:color w:val="auto"/>
          <w:sz w:val="24"/>
          <w:szCs w:val="24"/>
          <w:u w:val="none"/>
        </w:rPr>
        <w:t>The MDA production of the interacted algal samples were determined by subjecting the samples to heating (95 °C) in water bath for 30 mins. Following heat treatment, the samples were immediately coole</w:t>
      </w:r>
      <w:r w:rsidR="00F47DC3">
        <w:rPr>
          <w:rStyle w:val="Hyperlink"/>
          <w:rFonts w:ascii="Times New Roman" w:hAnsi="Times New Roman" w:cs="Times New Roman"/>
          <w:color w:val="auto"/>
          <w:sz w:val="24"/>
          <w:szCs w:val="24"/>
          <w:u w:val="none"/>
        </w:rPr>
        <w:t xml:space="preserve">d and TBA (0.25% w/v) + </w:t>
      </w:r>
      <w:r w:rsidR="00DE3F86">
        <w:rPr>
          <w:rStyle w:val="Hyperlink"/>
          <w:rFonts w:ascii="Times New Roman" w:hAnsi="Times New Roman" w:cs="Times New Roman"/>
          <w:color w:val="auto"/>
          <w:sz w:val="24"/>
          <w:szCs w:val="24"/>
          <w:u w:val="none"/>
        </w:rPr>
        <w:t>TCA</w:t>
      </w:r>
      <w:r w:rsidR="00F47DC3">
        <w:rPr>
          <w:rStyle w:val="Hyperlink"/>
          <w:rFonts w:ascii="Times New Roman" w:hAnsi="Times New Roman" w:cs="Times New Roman"/>
          <w:color w:val="auto"/>
          <w:sz w:val="24"/>
          <w:szCs w:val="24"/>
          <w:u w:val="none"/>
        </w:rPr>
        <w:t xml:space="preserve"> (10% w/v)</w:t>
      </w:r>
      <w:r w:rsidR="00DE3F86">
        <w:rPr>
          <w:rStyle w:val="Hyperlink"/>
          <w:rFonts w:ascii="Times New Roman" w:hAnsi="Times New Roman" w:cs="Times New Roman"/>
          <w:color w:val="auto"/>
          <w:sz w:val="24"/>
          <w:szCs w:val="24"/>
          <w:u w:val="none"/>
        </w:rPr>
        <w:t xml:space="preserve"> mixture was added and centrifuged. The absorbance of the collected supernatant </w:t>
      </w:r>
      <w:r w:rsidR="00F47DC3">
        <w:rPr>
          <w:rStyle w:val="Hyperlink"/>
          <w:rFonts w:ascii="Times New Roman" w:hAnsi="Times New Roman" w:cs="Times New Roman"/>
          <w:color w:val="auto"/>
          <w:sz w:val="24"/>
          <w:szCs w:val="24"/>
          <w:u w:val="none"/>
        </w:rPr>
        <w:t>was</w:t>
      </w:r>
      <w:r w:rsidR="00DE3F86">
        <w:rPr>
          <w:rStyle w:val="Hyperlink"/>
          <w:rFonts w:ascii="Times New Roman" w:hAnsi="Times New Roman" w:cs="Times New Roman"/>
          <w:color w:val="auto"/>
          <w:sz w:val="24"/>
          <w:szCs w:val="24"/>
          <w:u w:val="none"/>
        </w:rPr>
        <w:t xml:space="preserve"> analysed using UV-Visible Spectrophotometer</w:t>
      </w:r>
      <w:r w:rsidR="00F47DC3">
        <w:rPr>
          <w:rStyle w:val="Hyperlink"/>
          <w:rFonts w:ascii="Times New Roman" w:hAnsi="Times New Roman" w:cs="Times New Roman"/>
          <w:color w:val="auto"/>
          <w:sz w:val="24"/>
          <w:szCs w:val="24"/>
          <w:u w:val="none"/>
        </w:rPr>
        <w:t xml:space="preserve"> </w:t>
      </w:r>
      <w:r w:rsidR="00F47DC3" w:rsidRPr="00646518">
        <w:rPr>
          <w:rFonts w:ascii="Times New Roman" w:hAnsi="Times New Roman" w:cs="Times New Roman"/>
          <w:sz w:val="24"/>
        </w:rPr>
        <w:t>(</w:t>
      </w:r>
      <w:proofErr w:type="spellStart"/>
      <w:r w:rsidR="00F47DC3" w:rsidRPr="00646518">
        <w:rPr>
          <w:rFonts w:ascii="Times New Roman" w:hAnsi="Times New Roman" w:cs="Times New Roman"/>
          <w:sz w:val="24"/>
        </w:rPr>
        <w:t>xMARK</w:t>
      </w:r>
      <w:proofErr w:type="spellEnd"/>
      <w:r w:rsidR="00F47DC3" w:rsidRPr="00646518">
        <w:rPr>
          <w:rFonts w:ascii="Times New Roman" w:hAnsi="Times New Roman" w:cs="Times New Roman"/>
          <w:sz w:val="24"/>
        </w:rPr>
        <w:t xml:space="preserve"> microplate absorbance spectrophotometer, BIO-RAD)</w:t>
      </w:r>
      <w:r w:rsidR="00DE3F86">
        <w:rPr>
          <w:rStyle w:val="Hyperlink"/>
          <w:rFonts w:ascii="Times New Roman" w:hAnsi="Times New Roman" w:cs="Times New Roman"/>
          <w:color w:val="auto"/>
          <w:sz w:val="24"/>
          <w:szCs w:val="24"/>
          <w:u w:val="none"/>
        </w:rPr>
        <w:t xml:space="preserve"> </w:t>
      </w:r>
      <w:r w:rsidR="00F47DC3">
        <w:rPr>
          <w:rStyle w:val="Hyperlink"/>
          <w:rFonts w:ascii="Times New Roman" w:hAnsi="Times New Roman" w:cs="Times New Roman"/>
          <w:color w:val="auto"/>
          <w:sz w:val="24"/>
          <w:szCs w:val="24"/>
          <w:u w:val="none"/>
        </w:rPr>
        <w:t>at 532 and 600 nm</w:t>
      </w:r>
      <w:r w:rsidR="00B07A57">
        <w:rPr>
          <w:rStyle w:val="Hyperlink"/>
          <w:rFonts w:ascii="Times New Roman" w:hAnsi="Times New Roman" w:cs="Times New Roman"/>
          <w:color w:val="auto"/>
          <w:sz w:val="24"/>
          <w:szCs w:val="24"/>
          <w:u w:val="none"/>
        </w:rPr>
        <w:t xml:space="preserve"> </w:t>
      </w:r>
      <w:r w:rsidR="00B07A57">
        <w:rPr>
          <w:rStyle w:val="Hyperlink"/>
          <w:rFonts w:ascii="Times New Roman" w:hAnsi="Times New Roman" w:cs="Times New Roman"/>
          <w:color w:val="auto"/>
          <w:sz w:val="24"/>
          <w:szCs w:val="24"/>
          <w:u w:val="none"/>
        </w:rPr>
        <w:fldChar w:fldCharType="begin"/>
      </w:r>
      <w:r w:rsidR="00B07A57">
        <w:rPr>
          <w:rStyle w:val="Hyperlink"/>
          <w:rFonts w:ascii="Times New Roman" w:hAnsi="Times New Roman" w:cs="Times New Roman"/>
          <w:color w:val="auto"/>
          <w:sz w:val="24"/>
          <w:szCs w:val="24"/>
          <w:u w:val="none"/>
        </w:rPr>
        <w:instrText xml:space="preserve"> ADDIN EN.CITE &lt;EndNote&gt;&lt;Cite&gt;&lt;Author&gt;Natarajan&lt;/Author&gt;&lt;Year&gt;2022&lt;/Year&gt;&lt;RecNum&gt;593&lt;/RecNum&gt;&lt;DisplayText&gt;(2)&lt;/DisplayText&gt;&lt;record&gt;&lt;rec-number&gt;593&lt;/rec-number&gt;&lt;foreign-keys&gt;&lt;key app="EN" db-id="fpv20rsr6fzevhewptu52zavxv5vzewxrtfa" timestamp="1649312918"&gt;593&lt;/key&gt;&lt;/foreign-keys&gt;&lt;ref-type name="Journal Article"&gt;17&lt;/ref-type&gt;&lt;contributors&gt;&lt;authors&gt;&lt;author&gt;Natarajan, Lokeshwari&lt;/author&gt;&lt;author&gt;Jenifer, M Annie&lt;/author&gt;&lt;author&gt;Chandrasekaran, N&lt;/author&gt;&lt;author&gt;Suraishkumar, GK&lt;/author&gt;&lt;author&gt;Mukherjee, Amitava&lt;/author&gt;&lt;/authors&gt;&lt;/contributors&gt;&lt;titles&gt;&lt;title&gt;Polystyrene nanoplastics diminish the toxic effects of Nano-TiO2 in marine algae Chlorella sp&lt;/title&gt;&lt;secondary-title&gt;Environmental Research&lt;/secondary-title&gt;&lt;/titles&gt;&lt;periodical&gt;&lt;full-title&gt;Environmental research&lt;/full-title&gt;&lt;/periodical&gt;&lt;pages&gt;112400&lt;/pages&gt;&lt;volume&gt;204&lt;/volume&gt;&lt;dates&gt;&lt;year&gt;2022&lt;/year&gt;&lt;/dates&gt;&lt;isbn&gt;0013-9351&lt;/isbn&gt;&lt;urls&gt;&lt;/urls&gt;&lt;/record&gt;&lt;/Cite&gt;&lt;/EndNote&gt;</w:instrText>
      </w:r>
      <w:r w:rsidR="00B07A57">
        <w:rPr>
          <w:rStyle w:val="Hyperlink"/>
          <w:rFonts w:ascii="Times New Roman" w:hAnsi="Times New Roman" w:cs="Times New Roman"/>
          <w:color w:val="auto"/>
          <w:sz w:val="24"/>
          <w:szCs w:val="24"/>
          <w:u w:val="none"/>
        </w:rPr>
        <w:fldChar w:fldCharType="separate"/>
      </w:r>
      <w:r w:rsidR="00B07A57">
        <w:rPr>
          <w:rStyle w:val="Hyperlink"/>
          <w:rFonts w:ascii="Times New Roman" w:hAnsi="Times New Roman" w:cs="Times New Roman"/>
          <w:noProof/>
          <w:color w:val="auto"/>
          <w:sz w:val="24"/>
          <w:szCs w:val="24"/>
          <w:u w:val="none"/>
        </w:rPr>
        <w:t>(2)</w:t>
      </w:r>
      <w:r w:rsidR="00B07A57">
        <w:rPr>
          <w:rStyle w:val="Hyperlink"/>
          <w:rFonts w:ascii="Times New Roman" w:hAnsi="Times New Roman" w:cs="Times New Roman"/>
          <w:color w:val="auto"/>
          <w:sz w:val="24"/>
          <w:szCs w:val="24"/>
          <w:u w:val="none"/>
        </w:rPr>
        <w:fldChar w:fldCharType="end"/>
      </w:r>
      <w:r w:rsidR="00F47DC3">
        <w:rPr>
          <w:rStyle w:val="Hyperlink"/>
          <w:rFonts w:ascii="Times New Roman" w:hAnsi="Times New Roman" w:cs="Times New Roman"/>
          <w:color w:val="auto"/>
          <w:sz w:val="24"/>
          <w:szCs w:val="24"/>
          <w:u w:val="none"/>
        </w:rPr>
        <w:t>. The difference in absorbance for the treated samples were compared with the control samples. Under abiotic conditions, MDA production was not observed for the algal samples.</w:t>
      </w:r>
    </w:p>
    <w:p w:rsidR="00DB0692" w:rsidRPr="000762AF" w:rsidRDefault="00DB0692" w:rsidP="00F030A0">
      <w:pPr>
        <w:spacing w:line="480" w:lineRule="auto"/>
        <w:jc w:val="both"/>
        <w:rPr>
          <w:rStyle w:val="Hyperlink"/>
          <w:rFonts w:ascii="Times New Roman" w:hAnsi="Times New Roman" w:cs="Times New Roman"/>
          <w:b/>
          <w:color w:val="auto"/>
          <w:sz w:val="24"/>
          <w:szCs w:val="24"/>
          <w:u w:val="none"/>
        </w:rPr>
      </w:pPr>
      <w:r w:rsidRPr="000762AF">
        <w:rPr>
          <w:rStyle w:val="Hyperlink"/>
          <w:rFonts w:ascii="Times New Roman" w:hAnsi="Times New Roman" w:cs="Times New Roman"/>
          <w:b/>
          <w:color w:val="auto"/>
          <w:sz w:val="24"/>
          <w:szCs w:val="24"/>
          <w:u w:val="none"/>
        </w:rPr>
        <w:lastRenderedPageBreak/>
        <w:t>Method S4: CAT and SOD</w:t>
      </w:r>
    </w:p>
    <w:p w:rsidR="00961968" w:rsidRDefault="00961968" w:rsidP="00F030A0">
      <w:pPr>
        <w:spacing w:line="48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catalase assay was performed following the protocol mention by </w:t>
      </w:r>
      <w:r w:rsidR="00246FD0">
        <w:rPr>
          <w:rStyle w:val="Hyperlink"/>
          <w:rFonts w:ascii="Times New Roman" w:hAnsi="Times New Roman" w:cs="Times New Roman"/>
          <w:color w:val="auto"/>
          <w:sz w:val="24"/>
          <w:szCs w:val="24"/>
          <w:u w:val="none"/>
        </w:rPr>
        <w:fldChar w:fldCharType="begin"/>
      </w:r>
      <w:r w:rsidR="00246FD0">
        <w:rPr>
          <w:rStyle w:val="Hyperlink"/>
          <w:rFonts w:ascii="Times New Roman" w:hAnsi="Times New Roman" w:cs="Times New Roman"/>
          <w:color w:val="auto"/>
          <w:sz w:val="24"/>
          <w:szCs w:val="24"/>
          <w:u w:val="none"/>
        </w:rPr>
        <w:instrText xml:space="preserve"> ADDIN EN.CITE &lt;EndNote&gt;&lt;Cite AuthorYear="1"&gt;&lt;Author&gt;Romanowska-Duda&lt;/Author&gt;&lt;Year&gt;2019&lt;/Year&gt;&lt;RecNum&gt;635&lt;/RecNum&gt;&lt;DisplayText&gt;Romanowska-Duda, Grzesik (3)&lt;/DisplayText&gt;&lt;record&gt;&lt;rec-number&gt;635&lt;/rec-number&gt;&lt;foreign-keys&gt;&lt;key app="EN" db-id="fpv20rsr6fzevhewptu52zavxv5vzewxrtfa" timestamp="1662409157"&gt;635&lt;/key&gt;&lt;/foreign-keys&gt;&lt;ref-type name="Journal Article"&gt;17&lt;/ref-type&gt;&lt;contributors&gt;&lt;authors&gt;&lt;author&gt;Romanowska-Duda, Zdzisława&lt;/author&gt;&lt;author&gt;Grzesik, Mieczysław&lt;/author&gt;&lt;author&gt;Janas, Regina&lt;/author&gt;&lt;/authors&gt;&lt;/contributors&gt;&lt;titles&gt;&lt;title&gt;Maximal efficiency of PSII as a marker of sorghum development fertilized with waste from a biomass biodigestion to methane&lt;/title&gt;&lt;secondary-title&gt;Frontiers in Plant Science&lt;/secondary-title&gt;&lt;/titles&gt;&lt;periodical&gt;&lt;full-title&gt;Frontiers in Plant Science&lt;/full-title&gt;&lt;/periodical&gt;&lt;pages&gt;1920&lt;/pages&gt;&lt;volume&gt;9&lt;/volume&gt;&lt;dates&gt;&lt;year&gt;2019&lt;/year&gt;&lt;/dates&gt;&lt;isbn&gt;1664-462X&lt;/isbn&gt;&lt;urls&gt;&lt;/urls&gt;&lt;/record&gt;&lt;/Cite&gt;&lt;/EndNote&gt;</w:instrText>
      </w:r>
      <w:r w:rsidR="00246FD0">
        <w:rPr>
          <w:rStyle w:val="Hyperlink"/>
          <w:rFonts w:ascii="Times New Roman" w:hAnsi="Times New Roman" w:cs="Times New Roman"/>
          <w:color w:val="auto"/>
          <w:sz w:val="24"/>
          <w:szCs w:val="24"/>
          <w:u w:val="none"/>
        </w:rPr>
        <w:fldChar w:fldCharType="separate"/>
      </w:r>
      <w:r w:rsidR="00246FD0">
        <w:rPr>
          <w:rStyle w:val="Hyperlink"/>
          <w:rFonts w:ascii="Times New Roman" w:hAnsi="Times New Roman" w:cs="Times New Roman"/>
          <w:noProof/>
          <w:color w:val="auto"/>
          <w:sz w:val="24"/>
          <w:szCs w:val="24"/>
          <w:u w:val="none"/>
        </w:rPr>
        <w:t>Romanowska-Duda, Grzesik (3)</w:t>
      </w:r>
      <w:r w:rsidR="00246FD0">
        <w:rPr>
          <w:rStyle w:val="Hyperlink"/>
          <w:rFonts w:ascii="Times New Roman" w:hAnsi="Times New Roman" w:cs="Times New Roman"/>
          <w:color w:val="auto"/>
          <w:sz w:val="24"/>
          <w:szCs w:val="24"/>
          <w:u w:val="none"/>
        </w:rPr>
        <w:fldChar w:fldCharType="end"/>
      </w:r>
      <w:r w:rsidR="00246FD0">
        <w:rPr>
          <w:rStyle w:val="Hyperlink"/>
          <w:rFonts w:ascii="Times New Roman" w:hAnsi="Times New Roman" w:cs="Times New Roman"/>
          <w:color w:val="auto"/>
          <w:sz w:val="24"/>
          <w:szCs w:val="24"/>
          <w:u w:val="none"/>
        </w:rPr>
        <w:t xml:space="preserve">. The interacted algal samples were centrifuged and the pellet obtained was homogenized in 0.5 M PBS. Following homogenization, the samples were again centrifuged and 1 ml of H2O2 (10 mM) was added to 2 ml of the supernatant. The absorbance was measured at 240 nm for 180 secs </w:t>
      </w:r>
      <w:r w:rsidR="00246FD0" w:rsidRPr="00DE7B39">
        <w:rPr>
          <w:rFonts w:ascii="Times New Roman" w:hAnsi="Times New Roman" w:cs="Times New Roman"/>
          <w:sz w:val="24"/>
        </w:rPr>
        <w:t>using a spectrophotometer (Hitachi U-2910 Japan). The reaction mixture without H</w:t>
      </w:r>
      <w:r w:rsidR="00246FD0" w:rsidRPr="00DE7B39">
        <w:rPr>
          <w:rFonts w:ascii="Times New Roman" w:hAnsi="Times New Roman" w:cs="Times New Roman"/>
          <w:sz w:val="24"/>
          <w:vertAlign w:val="subscript"/>
        </w:rPr>
        <w:t>2</w:t>
      </w:r>
      <w:r w:rsidR="00246FD0" w:rsidRPr="00DE7B39">
        <w:rPr>
          <w:rFonts w:ascii="Times New Roman" w:hAnsi="Times New Roman" w:cs="Times New Roman"/>
          <w:sz w:val="24"/>
        </w:rPr>
        <w:t>O</w:t>
      </w:r>
      <w:r w:rsidR="00246FD0" w:rsidRPr="00DE7B39">
        <w:rPr>
          <w:rFonts w:ascii="Times New Roman" w:hAnsi="Times New Roman" w:cs="Times New Roman"/>
          <w:sz w:val="24"/>
          <w:vertAlign w:val="subscript"/>
        </w:rPr>
        <w:t>2</w:t>
      </w:r>
      <w:r w:rsidR="00246FD0" w:rsidRPr="00DE7B39">
        <w:rPr>
          <w:rFonts w:ascii="Times New Roman" w:hAnsi="Times New Roman" w:cs="Times New Roman"/>
          <w:sz w:val="24"/>
        </w:rPr>
        <w:t xml:space="preserve"> was used as a control.</w:t>
      </w:r>
    </w:p>
    <w:p w:rsidR="004604A3" w:rsidRDefault="004A155B" w:rsidP="00F030A0">
      <w:pPr>
        <w:spacing w:line="48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methodology for analyzing SOD activity of the algal cells </w:t>
      </w:r>
      <w:r w:rsidR="006344E8">
        <w:rPr>
          <w:rStyle w:val="Hyperlink"/>
          <w:rFonts w:ascii="Times New Roman" w:hAnsi="Times New Roman" w:cs="Times New Roman"/>
          <w:color w:val="auto"/>
          <w:sz w:val="24"/>
          <w:szCs w:val="24"/>
          <w:u w:val="none"/>
        </w:rPr>
        <w:t xml:space="preserve">can be followed from </w:t>
      </w:r>
      <w:r w:rsidR="00FE286D">
        <w:rPr>
          <w:rStyle w:val="Hyperlink"/>
          <w:rFonts w:ascii="Times New Roman" w:hAnsi="Times New Roman" w:cs="Times New Roman"/>
          <w:color w:val="auto"/>
          <w:sz w:val="24"/>
          <w:szCs w:val="24"/>
          <w:u w:val="none"/>
        </w:rPr>
        <w:fldChar w:fldCharType="begin"/>
      </w:r>
      <w:r w:rsidR="00246FD0">
        <w:rPr>
          <w:rStyle w:val="Hyperlink"/>
          <w:rFonts w:ascii="Times New Roman" w:hAnsi="Times New Roman" w:cs="Times New Roman"/>
          <w:color w:val="auto"/>
          <w:sz w:val="24"/>
          <w:szCs w:val="24"/>
          <w:u w:val="none"/>
        </w:rPr>
        <w:instrText xml:space="preserve"> ADDIN EN.CITE &lt;EndNote&gt;&lt;Cite AuthorYear="1"&gt;&lt;Author&gt;Kono&lt;/Author&gt;&lt;Year&gt;1978&lt;/Year&gt;&lt;RecNum&gt;61&lt;/RecNum&gt;&lt;DisplayText&gt;Kono (4)&lt;/DisplayText&gt;&lt;record&gt;&lt;rec-number&gt;61&lt;/rec-number&gt;&lt;foreign-keys&gt;&lt;key app="EN" db-id="fpv20rsr6fzevhewptu52zavxv5vzewxrtfa" timestamp="1624398086"&gt;61&lt;/key&gt;&lt;key app="ENWeb" db-id=""&gt;0&lt;/key&gt;&lt;/foreign-keys&gt;&lt;ref-type name="Journal Article"&gt;17&lt;/ref-type&gt;&lt;contributors&gt;&lt;authors&gt;&lt;author&gt;Yasuhisa Kono &lt;/author&gt;&lt;/authors&gt;&lt;/contributors&gt;&lt;titles&gt;&lt;title&gt;Generation of Superoxide Radical during Autoxidation of Hydroxylamine and an Assay for Superoxide Dismutase &lt;/title&gt;&lt;/titles&gt;&lt;dates&gt;&lt;year&gt;1978&lt;/year&gt;&lt;/dates&gt;&lt;urls&gt;&lt;/urls&gt;&lt;/record&gt;&lt;/Cite&gt;&lt;/EndNote&gt;</w:instrText>
      </w:r>
      <w:r w:rsidR="00FE286D">
        <w:rPr>
          <w:rStyle w:val="Hyperlink"/>
          <w:rFonts w:ascii="Times New Roman" w:hAnsi="Times New Roman" w:cs="Times New Roman"/>
          <w:color w:val="auto"/>
          <w:sz w:val="24"/>
          <w:szCs w:val="24"/>
          <w:u w:val="none"/>
        </w:rPr>
        <w:fldChar w:fldCharType="separate"/>
      </w:r>
      <w:r w:rsidR="00246FD0">
        <w:rPr>
          <w:rStyle w:val="Hyperlink"/>
          <w:rFonts w:ascii="Times New Roman" w:hAnsi="Times New Roman" w:cs="Times New Roman"/>
          <w:noProof/>
          <w:color w:val="auto"/>
          <w:sz w:val="24"/>
          <w:szCs w:val="24"/>
          <w:u w:val="none"/>
        </w:rPr>
        <w:t>Kono (4)</w:t>
      </w:r>
      <w:r w:rsidR="00FE286D">
        <w:rPr>
          <w:rStyle w:val="Hyperlink"/>
          <w:rFonts w:ascii="Times New Roman" w:hAnsi="Times New Roman" w:cs="Times New Roman"/>
          <w:color w:val="auto"/>
          <w:sz w:val="24"/>
          <w:szCs w:val="24"/>
          <w:u w:val="none"/>
        </w:rPr>
        <w:fldChar w:fldCharType="end"/>
      </w:r>
      <w:r w:rsidR="00FE286D">
        <w:rPr>
          <w:rStyle w:val="Hyperlink"/>
          <w:rFonts w:ascii="Times New Roman" w:hAnsi="Times New Roman" w:cs="Times New Roman"/>
          <w:color w:val="auto"/>
          <w:sz w:val="24"/>
          <w:szCs w:val="24"/>
          <w:u w:val="none"/>
        </w:rPr>
        <w:t xml:space="preserve">.Various chemicals namely, </w:t>
      </w:r>
      <w:r w:rsidR="00FE286D" w:rsidRPr="00FE286D">
        <w:rPr>
          <w:rFonts w:ascii="Times New Roman" w:hAnsi="Times New Roman" w:cs="Times New Roman"/>
          <w:sz w:val="24"/>
        </w:rPr>
        <w:t>Na</w:t>
      </w:r>
      <w:r w:rsidR="00FE286D" w:rsidRPr="00FE286D">
        <w:rPr>
          <w:rFonts w:ascii="Times New Roman" w:hAnsi="Times New Roman" w:cs="Times New Roman"/>
          <w:sz w:val="24"/>
          <w:vertAlign w:val="subscript"/>
        </w:rPr>
        <w:t>2</w:t>
      </w:r>
      <w:r w:rsidR="00FE286D" w:rsidRPr="00FE286D">
        <w:rPr>
          <w:rFonts w:ascii="Times New Roman" w:hAnsi="Times New Roman" w:cs="Times New Roman"/>
          <w:sz w:val="24"/>
        </w:rPr>
        <w:t>CO</w:t>
      </w:r>
      <w:r w:rsidR="00FE286D" w:rsidRPr="00FE286D">
        <w:rPr>
          <w:rFonts w:ascii="Times New Roman" w:hAnsi="Times New Roman" w:cs="Times New Roman"/>
          <w:sz w:val="24"/>
          <w:vertAlign w:val="subscript"/>
        </w:rPr>
        <w:t>3</w:t>
      </w:r>
      <w:r w:rsidR="00FE286D" w:rsidRPr="00FE286D">
        <w:rPr>
          <w:rFonts w:ascii="Times New Roman" w:hAnsi="Times New Roman" w:cs="Times New Roman"/>
          <w:sz w:val="24"/>
        </w:rPr>
        <w:t xml:space="preserve"> (50 mM), nitro tetrazolium blue chloride (96 mM), 0.6% triton x-100, and hydroxylamine hydrochloride (20 mM</w:t>
      </w:r>
      <w:r w:rsidR="00FE286D">
        <w:rPr>
          <w:rFonts w:ascii="Times New Roman" w:hAnsi="Times New Roman" w:cs="Times New Roman"/>
          <w:sz w:val="24"/>
        </w:rPr>
        <w:t>)</w:t>
      </w:r>
      <w:r w:rsidR="00FE286D">
        <w:rPr>
          <w:rStyle w:val="Hyperlink"/>
          <w:rFonts w:ascii="Times New Roman" w:hAnsi="Times New Roman" w:cs="Times New Roman"/>
          <w:color w:val="auto"/>
          <w:sz w:val="24"/>
          <w:szCs w:val="24"/>
          <w:u w:val="none"/>
        </w:rPr>
        <w:t xml:space="preserve"> were used to perform this assay. </w:t>
      </w:r>
      <w:r w:rsidR="00B42FD8">
        <w:rPr>
          <w:rStyle w:val="Hyperlink"/>
          <w:rFonts w:ascii="Times New Roman" w:hAnsi="Times New Roman" w:cs="Times New Roman"/>
          <w:color w:val="auto"/>
          <w:sz w:val="24"/>
          <w:szCs w:val="24"/>
          <w:u w:val="none"/>
        </w:rPr>
        <w:t>Following interaction, the algal cells were centrifuged and the pellets were homogenized in 0.5</w:t>
      </w:r>
      <w:r w:rsidR="00E45CD2">
        <w:rPr>
          <w:rStyle w:val="Hyperlink"/>
          <w:rFonts w:ascii="Times New Roman" w:hAnsi="Times New Roman" w:cs="Times New Roman"/>
          <w:color w:val="auto"/>
          <w:sz w:val="24"/>
          <w:szCs w:val="24"/>
          <w:u w:val="none"/>
        </w:rPr>
        <w:t xml:space="preserve"> </w:t>
      </w:r>
      <w:r w:rsidR="00B42FD8">
        <w:rPr>
          <w:rStyle w:val="Hyperlink"/>
          <w:rFonts w:ascii="Times New Roman" w:hAnsi="Times New Roman" w:cs="Times New Roman"/>
          <w:color w:val="auto"/>
          <w:sz w:val="24"/>
          <w:szCs w:val="24"/>
          <w:u w:val="none"/>
        </w:rPr>
        <w:t>M phosphate buffer.</w:t>
      </w:r>
      <w:r w:rsidR="00FE286D">
        <w:rPr>
          <w:rStyle w:val="Hyperlink"/>
          <w:rFonts w:ascii="Times New Roman" w:hAnsi="Times New Roman" w:cs="Times New Roman"/>
          <w:color w:val="auto"/>
          <w:sz w:val="24"/>
          <w:szCs w:val="24"/>
          <w:u w:val="none"/>
        </w:rPr>
        <w:t xml:space="preserve"> </w:t>
      </w:r>
      <w:r w:rsidR="00E45CD2">
        <w:rPr>
          <w:rStyle w:val="Hyperlink"/>
          <w:rFonts w:ascii="Times New Roman" w:hAnsi="Times New Roman" w:cs="Times New Roman"/>
          <w:color w:val="auto"/>
          <w:sz w:val="24"/>
          <w:szCs w:val="24"/>
          <w:u w:val="none"/>
        </w:rPr>
        <w:t xml:space="preserve">Following homogenization, the samples were centrifuged again and the above chemicals were added to the supernatant. The mixture samples were then kept for incubation for 20 mins at 37 °C under visible light conditions. The absorbance of the samples was measured using </w:t>
      </w:r>
      <w:r w:rsidR="00E45CD2" w:rsidRPr="00DE7B39">
        <w:rPr>
          <w:rFonts w:ascii="Times New Roman" w:hAnsi="Times New Roman" w:cs="Times New Roman"/>
          <w:sz w:val="24"/>
        </w:rPr>
        <w:t>a UV-spectrophotometer (</w:t>
      </w:r>
      <w:proofErr w:type="spellStart"/>
      <w:r w:rsidR="00E45CD2" w:rsidRPr="00DE7B39">
        <w:rPr>
          <w:rFonts w:ascii="Times New Roman" w:hAnsi="Times New Roman" w:cs="Times New Roman"/>
          <w:sz w:val="24"/>
        </w:rPr>
        <w:t>xMARK</w:t>
      </w:r>
      <w:proofErr w:type="spellEnd"/>
      <w:r w:rsidR="00E45CD2" w:rsidRPr="00DE7B39">
        <w:rPr>
          <w:rFonts w:ascii="Times New Roman" w:hAnsi="Times New Roman" w:cs="Times New Roman"/>
          <w:sz w:val="24"/>
        </w:rPr>
        <w:t xml:space="preserve"> microplate absorbance spectrophotometer, BIO-RAD) at 560 nm.</w:t>
      </w:r>
    </w:p>
    <w:p w:rsidR="00DB0692" w:rsidRPr="000762AF" w:rsidRDefault="00DB0692" w:rsidP="00F030A0">
      <w:pPr>
        <w:spacing w:line="480" w:lineRule="auto"/>
        <w:jc w:val="both"/>
        <w:rPr>
          <w:rStyle w:val="Hyperlink"/>
          <w:rFonts w:ascii="Times New Roman" w:hAnsi="Times New Roman" w:cs="Times New Roman"/>
          <w:b/>
          <w:color w:val="auto"/>
          <w:sz w:val="24"/>
          <w:szCs w:val="24"/>
          <w:u w:val="none"/>
        </w:rPr>
      </w:pPr>
      <w:r w:rsidRPr="000762AF">
        <w:rPr>
          <w:rStyle w:val="Hyperlink"/>
          <w:rFonts w:ascii="Times New Roman" w:hAnsi="Times New Roman" w:cs="Times New Roman"/>
          <w:b/>
          <w:color w:val="auto"/>
          <w:sz w:val="24"/>
          <w:szCs w:val="24"/>
          <w:u w:val="none"/>
        </w:rPr>
        <w:t>Method S5: PSII and ETR</w:t>
      </w:r>
    </w:p>
    <w:p w:rsidR="004604A3" w:rsidRDefault="00C57EEC" w:rsidP="00C57EEC">
      <w:pPr>
        <w:spacing w:line="480" w:lineRule="auto"/>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To analyse the maximum quantum yield of photosystem II and electron transport rate of the interacted algal samples, a </w:t>
      </w:r>
      <w:r w:rsidRPr="00C57EEC">
        <w:rPr>
          <w:rFonts w:ascii="Times New Roman" w:hAnsi="Times New Roman" w:cs="Times New Roman"/>
          <w:sz w:val="24"/>
        </w:rPr>
        <w:t xml:space="preserve">photosynthesis yield </w:t>
      </w:r>
      <w:proofErr w:type="spellStart"/>
      <w:r w:rsidRPr="00C57EEC">
        <w:rPr>
          <w:rFonts w:ascii="Times New Roman" w:hAnsi="Times New Roman" w:cs="Times New Roman"/>
          <w:sz w:val="24"/>
        </w:rPr>
        <w:t>analyzer</w:t>
      </w:r>
      <w:proofErr w:type="spellEnd"/>
      <w:r w:rsidRPr="00C57EEC">
        <w:rPr>
          <w:rFonts w:ascii="Times New Roman" w:hAnsi="Times New Roman" w:cs="Times New Roman"/>
          <w:sz w:val="24"/>
        </w:rPr>
        <w:t xml:space="preserve"> (Mini PAM, made by Heinz </w:t>
      </w:r>
      <w:proofErr w:type="spellStart"/>
      <w:r w:rsidRPr="00C57EEC">
        <w:rPr>
          <w:rFonts w:ascii="Times New Roman" w:hAnsi="Times New Roman" w:cs="Times New Roman"/>
          <w:sz w:val="24"/>
        </w:rPr>
        <w:t>Walz</w:t>
      </w:r>
      <w:proofErr w:type="spellEnd"/>
      <w:r w:rsidRPr="00C57EEC">
        <w:rPr>
          <w:rFonts w:ascii="Times New Roman" w:hAnsi="Times New Roman" w:cs="Times New Roman"/>
          <w:sz w:val="24"/>
        </w:rPr>
        <w:t xml:space="preserve"> in Germany) was used</w:t>
      </w:r>
      <w:r>
        <w:rPr>
          <w:rFonts w:ascii="Times New Roman" w:hAnsi="Times New Roman" w:cs="Times New Roman"/>
          <w:sz w:val="24"/>
        </w:rPr>
        <w:t xml:space="preserve">. Following interaction with the contaminants for 72 h, the samples were kept in dark for 30 mins. 100 µL of dark incubated samples were then kept in the instrument holder and actinic light was passed through it to determine the Fv/Fm values and the </w:t>
      </w:r>
      <w:proofErr w:type="spellStart"/>
      <w:r>
        <w:rPr>
          <w:rFonts w:ascii="Times New Roman" w:hAnsi="Times New Roman" w:cs="Times New Roman"/>
          <w:sz w:val="24"/>
        </w:rPr>
        <w:t>ETRmax</w:t>
      </w:r>
      <w:proofErr w:type="spellEnd"/>
      <w:r>
        <w:rPr>
          <w:rFonts w:ascii="Times New Roman" w:hAnsi="Times New Roman" w:cs="Times New Roman"/>
          <w:sz w:val="24"/>
        </w:rPr>
        <w:t>. Fv and Fm stands for variable fluorescence and maximum fluorescence respectively, which were released by the interacted samples when the actinic light was passed through it.</w:t>
      </w:r>
    </w:p>
    <w:p w:rsidR="00DB0692" w:rsidRPr="000762AF" w:rsidRDefault="00DB0692" w:rsidP="00F030A0">
      <w:pPr>
        <w:spacing w:line="480" w:lineRule="auto"/>
        <w:jc w:val="both"/>
        <w:rPr>
          <w:rStyle w:val="Hyperlink"/>
          <w:rFonts w:ascii="Times New Roman" w:hAnsi="Times New Roman" w:cs="Times New Roman"/>
          <w:b/>
          <w:color w:val="auto"/>
          <w:sz w:val="24"/>
          <w:szCs w:val="24"/>
          <w:u w:val="none"/>
        </w:rPr>
      </w:pPr>
      <w:r w:rsidRPr="000762AF">
        <w:rPr>
          <w:rStyle w:val="Hyperlink"/>
          <w:rFonts w:ascii="Times New Roman" w:hAnsi="Times New Roman" w:cs="Times New Roman"/>
          <w:b/>
          <w:color w:val="auto"/>
          <w:sz w:val="24"/>
          <w:szCs w:val="24"/>
          <w:u w:val="none"/>
        </w:rPr>
        <w:lastRenderedPageBreak/>
        <w:t xml:space="preserve">Method S6: Abbotts </w:t>
      </w:r>
      <w:r w:rsidR="006F2031">
        <w:rPr>
          <w:rStyle w:val="Hyperlink"/>
          <w:rFonts w:ascii="Times New Roman" w:hAnsi="Times New Roman" w:cs="Times New Roman"/>
          <w:b/>
          <w:color w:val="auto"/>
          <w:sz w:val="24"/>
          <w:szCs w:val="24"/>
          <w:u w:val="none"/>
        </w:rPr>
        <w:t xml:space="preserve">Independent action </w:t>
      </w:r>
      <w:r w:rsidRPr="000762AF">
        <w:rPr>
          <w:rStyle w:val="Hyperlink"/>
          <w:rFonts w:ascii="Times New Roman" w:hAnsi="Times New Roman" w:cs="Times New Roman"/>
          <w:b/>
          <w:color w:val="auto"/>
          <w:sz w:val="24"/>
          <w:szCs w:val="24"/>
          <w:u w:val="none"/>
        </w:rPr>
        <w:t>modelling</w:t>
      </w:r>
    </w:p>
    <w:p w:rsidR="00984A3C" w:rsidRPr="00984A3C" w:rsidRDefault="00984A3C" w:rsidP="00984A3C">
      <w:pPr>
        <w:spacing w:after="0" w:line="480" w:lineRule="auto"/>
        <w:jc w:val="both"/>
        <w:rPr>
          <w:rFonts w:ascii="Times New Roman" w:eastAsia="Times New Roman" w:hAnsi="Times New Roman" w:cs="Times New Roman"/>
          <w:sz w:val="24"/>
          <w:szCs w:val="24"/>
          <w:lang w:eastAsia="en-IN"/>
        </w:rPr>
      </w:pPr>
      <w:r w:rsidRPr="00984A3C">
        <w:rPr>
          <w:rFonts w:ascii="Times New Roman" w:eastAsia="Times New Roman" w:hAnsi="Times New Roman" w:cs="Times New Roman"/>
          <w:sz w:val="24"/>
          <w:szCs w:val="24"/>
          <w:lang w:eastAsia="en-IN"/>
        </w:rPr>
        <w:t>In order to verify the impact of FNPs on GO toxicity, the independent action model was used due to the varied effects that GO and FNPs have</w:t>
      </w:r>
      <w:r w:rsidR="00EC0B85">
        <w:rPr>
          <w:rFonts w:ascii="Times New Roman" w:eastAsia="Times New Roman" w:hAnsi="Times New Roman" w:cs="Times New Roman"/>
          <w:sz w:val="24"/>
          <w:szCs w:val="24"/>
          <w:lang w:eastAsia="en-IN"/>
        </w:rPr>
        <w:t xml:space="preserve"> on their targets </w:t>
      </w:r>
      <w:r w:rsidR="00EC0B85">
        <w:rPr>
          <w:rFonts w:ascii="Times New Roman" w:eastAsia="Times New Roman" w:hAnsi="Times New Roman" w:cs="Times New Roman"/>
          <w:sz w:val="24"/>
          <w:szCs w:val="24"/>
          <w:lang w:eastAsia="en-IN"/>
        </w:rPr>
        <w:fldChar w:fldCharType="begin"/>
      </w:r>
      <w:r w:rsidR="00EC0B85">
        <w:rPr>
          <w:rFonts w:ascii="Times New Roman" w:eastAsia="Times New Roman" w:hAnsi="Times New Roman" w:cs="Times New Roman"/>
          <w:sz w:val="24"/>
          <w:szCs w:val="24"/>
          <w:lang w:eastAsia="en-IN"/>
        </w:rPr>
        <w:instrText xml:space="preserve"> ADDIN EN.CITE &lt;EndNote&gt;&lt;Cite&gt;&lt;Author&gt;Abbott&lt;/Author&gt;&lt;Year&gt;1925&lt;/Year&gt;&lt;RecNum&gt;109&lt;/RecNum&gt;&lt;DisplayText&gt;(5)&lt;/DisplayText&gt;&lt;record&gt;&lt;rec-number&gt;109&lt;/rec-number&gt;&lt;foreign-keys&gt;&lt;key app="EN" db-id="fpv20rsr6fzevhewptu52zavxv5vzewxrtfa" timestamp="1624514591"&gt;109&lt;/key&gt;&lt;/foreign-keys&gt;&lt;ref-type name="Journal Article"&gt;17&lt;/ref-type&gt;&lt;contributors&gt;&lt;authors&gt;&lt;author&gt;Abbott, Walter S&lt;/author&gt;&lt;/authors&gt;&lt;/contributors&gt;&lt;titles&gt;&lt;title&gt;A method of computing the effectiveness of an insecticide&lt;/title&gt;&lt;secondary-title&gt;J. econ. Entomol&lt;/secondary-title&gt;&lt;/titles&gt;&lt;periodical&gt;&lt;full-title&gt;J. econ. Entomol&lt;/full-title&gt;&lt;/periodical&gt;&lt;pages&gt;265-267&lt;/pages&gt;&lt;volume&gt;18&lt;/volume&gt;&lt;number&gt;2&lt;/number&gt;&lt;dates&gt;&lt;year&gt;1925&lt;/year&gt;&lt;/dates&gt;&lt;urls&gt;&lt;/urls&gt;&lt;/record&gt;&lt;/Cite&gt;&lt;/EndNote&gt;</w:instrText>
      </w:r>
      <w:r w:rsidR="00EC0B85">
        <w:rPr>
          <w:rFonts w:ascii="Times New Roman" w:eastAsia="Times New Roman" w:hAnsi="Times New Roman" w:cs="Times New Roman"/>
          <w:sz w:val="24"/>
          <w:szCs w:val="24"/>
          <w:lang w:eastAsia="en-IN"/>
        </w:rPr>
        <w:fldChar w:fldCharType="separate"/>
      </w:r>
      <w:r w:rsidR="00EC0B85">
        <w:rPr>
          <w:rFonts w:ascii="Times New Roman" w:eastAsia="Times New Roman" w:hAnsi="Times New Roman" w:cs="Times New Roman"/>
          <w:noProof/>
          <w:sz w:val="24"/>
          <w:szCs w:val="24"/>
          <w:lang w:eastAsia="en-IN"/>
        </w:rPr>
        <w:t>(5)</w:t>
      </w:r>
      <w:r w:rsidR="00EC0B85">
        <w:rPr>
          <w:rFonts w:ascii="Times New Roman" w:eastAsia="Times New Roman" w:hAnsi="Times New Roman" w:cs="Times New Roman"/>
          <w:sz w:val="24"/>
          <w:szCs w:val="24"/>
          <w:lang w:eastAsia="en-IN"/>
        </w:rPr>
        <w:fldChar w:fldCharType="end"/>
      </w:r>
      <w:r w:rsidRPr="00984A3C">
        <w:rPr>
          <w:rFonts w:ascii="Times New Roman" w:eastAsia="Times New Roman" w:hAnsi="Times New Roman" w:cs="Times New Roman"/>
          <w:sz w:val="24"/>
          <w:szCs w:val="24"/>
          <w:lang w:eastAsia="en-IN"/>
        </w:rPr>
        <w:t>. The nature of the interaction between GO and FNPs was identified. The anticipated toxicity (C</w:t>
      </w:r>
      <w:r w:rsidRPr="00984A3C">
        <w:rPr>
          <w:rFonts w:ascii="Times New Roman" w:eastAsia="Times New Roman" w:hAnsi="Times New Roman" w:cs="Times New Roman"/>
          <w:sz w:val="24"/>
          <w:szCs w:val="24"/>
          <w:vertAlign w:val="subscript"/>
          <w:lang w:eastAsia="en-IN"/>
        </w:rPr>
        <w:t>Exp</w:t>
      </w:r>
      <w:r w:rsidRPr="00984A3C">
        <w:rPr>
          <w:rFonts w:ascii="Times New Roman" w:eastAsia="Times New Roman" w:hAnsi="Times New Roman" w:cs="Times New Roman"/>
          <w:sz w:val="24"/>
          <w:szCs w:val="24"/>
          <w:lang w:eastAsia="en-IN"/>
        </w:rPr>
        <w:t>) of the combination was computed using equation (1) using the toxicities induced by individual graphene oxide (GO) and functionalized nanoparticles (FNPs).</w:t>
      </w:r>
    </w:p>
    <w:p w:rsidR="004604A3" w:rsidRPr="00984A3C" w:rsidRDefault="00984A3C" w:rsidP="00984A3C">
      <w:pPr>
        <w:spacing w:line="480" w:lineRule="auto"/>
        <w:jc w:val="center"/>
        <w:rPr>
          <w:rFonts w:ascii="Times New Roman" w:hAnsi="Times New Roman" w:cs="Times New Roman"/>
          <w:sz w:val="24"/>
          <w:szCs w:val="24"/>
        </w:rPr>
      </w:pPr>
      <w:r w:rsidRPr="00984A3C">
        <w:rPr>
          <w:rFonts w:ascii="Times New Roman" w:hAnsi="Times New Roman" w:cs="Times New Roman"/>
          <w:sz w:val="24"/>
          <w:szCs w:val="24"/>
        </w:rPr>
        <w:t>C</w:t>
      </w:r>
      <w:r w:rsidRPr="00984A3C">
        <w:rPr>
          <w:rFonts w:ascii="Times New Roman" w:hAnsi="Times New Roman" w:cs="Times New Roman"/>
          <w:sz w:val="24"/>
          <w:szCs w:val="24"/>
          <w:vertAlign w:val="subscript"/>
        </w:rPr>
        <w:t>Exp</w:t>
      </w:r>
      <w:r w:rsidRPr="00984A3C">
        <w:rPr>
          <w:rFonts w:ascii="Times New Roman" w:hAnsi="Times New Roman" w:cs="Times New Roman"/>
          <w:sz w:val="24"/>
          <w:szCs w:val="24"/>
        </w:rPr>
        <w:t xml:space="preserve">=X+ Y – (X *Y/100)                 </w:t>
      </w:r>
      <w:proofErr w:type="gramStart"/>
      <w:r w:rsidRPr="00984A3C">
        <w:rPr>
          <w:rFonts w:ascii="Times New Roman" w:hAnsi="Times New Roman" w:cs="Times New Roman"/>
          <w:sz w:val="24"/>
          <w:szCs w:val="24"/>
        </w:rPr>
        <w:t xml:space="preserve">   (</w:t>
      </w:r>
      <w:proofErr w:type="gramEnd"/>
      <w:r w:rsidRPr="00984A3C">
        <w:rPr>
          <w:rFonts w:ascii="Times New Roman" w:hAnsi="Times New Roman" w:cs="Times New Roman"/>
          <w:sz w:val="24"/>
          <w:szCs w:val="24"/>
        </w:rPr>
        <w:t>1)</w:t>
      </w:r>
    </w:p>
    <w:p w:rsidR="00984A3C" w:rsidRPr="00984A3C" w:rsidRDefault="00984A3C" w:rsidP="00984A3C">
      <w:pPr>
        <w:spacing w:line="480" w:lineRule="auto"/>
        <w:jc w:val="both"/>
        <w:rPr>
          <w:rFonts w:ascii="Times New Roman" w:hAnsi="Times New Roman" w:cs="Times New Roman"/>
          <w:sz w:val="24"/>
          <w:szCs w:val="24"/>
        </w:rPr>
      </w:pPr>
      <w:r w:rsidRPr="00984A3C">
        <w:rPr>
          <w:rFonts w:ascii="Times New Roman" w:hAnsi="Times New Roman" w:cs="Times New Roman"/>
          <w:sz w:val="24"/>
          <w:szCs w:val="24"/>
        </w:rPr>
        <w:t>where, the toxicity of individual GO and FNPs are denoted by X and Y, respectively.</w:t>
      </w:r>
    </w:p>
    <w:p w:rsidR="00984A3C" w:rsidRPr="00984A3C" w:rsidRDefault="00984A3C" w:rsidP="00984A3C">
      <w:pPr>
        <w:spacing w:line="480" w:lineRule="auto"/>
        <w:jc w:val="both"/>
        <w:rPr>
          <w:rFonts w:ascii="Times New Roman" w:hAnsi="Times New Roman" w:cs="Times New Roman"/>
          <w:sz w:val="24"/>
          <w:szCs w:val="24"/>
        </w:rPr>
      </w:pPr>
      <w:r w:rsidRPr="00984A3C">
        <w:rPr>
          <w:rFonts w:ascii="Times New Roman" w:hAnsi="Times New Roman" w:cs="Times New Roman"/>
          <w:sz w:val="24"/>
          <w:szCs w:val="24"/>
        </w:rPr>
        <w:t>Then, the inhibition ratio (R</w:t>
      </w:r>
      <w:r w:rsidRPr="00984A3C">
        <w:rPr>
          <w:rFonts w:ascii="Times New Roman" w:hAnsi="Times New Roman" w:cs="Times New Roman"/>
          <w:sz w:val="24"/>
          <w:szCs w:val="24"/>
          <w:vertAlign w:val="subscript"/>
        </w:rPr>
        <w:t>I</w:t>
      </w:r>
      <w:r w:rsidRPr="00984A3C">
        <w:rPr>
          <w:rFonts w:ascii="Times New Roman" w:hAnsi="Times New Roman" w:cs="Times New Roman"/>
          <w:sz w:val="24"/>
          <w:szCs w:val="24"/>
        </w:rPr>
        <w:t>) was calculated using equation (2)</w:t>
      </w:r>
    </w:p>
    <w:p w:rsidR="00984A3C" w:rsidRDefault="00984A3C" w:rsidP="00984A3C">
      <w:pPr>
        <w:spacing w:line="480" w:lineRule="auto"/>
        <w:jc w:val="center"/>
        <w:rPr>
          <w:rFonts w:ascii="Times New Roman" w:hAnsi="Times New Roman" w:cs="Times New Roman"/>
          <w:sz w:val="24"/>
          <w:szCs w:val="24"/>
        </w:rPr>
      </w:pPr>
      <w:r w:rsidRPr="00984A3C">
        <w:rPr>
          <w:rFonts w:ascii="Times New Roman" w:hAnsi="Times New Roman" w:cs="Times New Roman"/>
          <w:sz w:val="24"/>
          <w:szCs w:val="24"/>
        </w:rPr>
        <w:t>R</w:t>
      </w:r>
      <w:r w:rsidRPr="00984A3C">
        <w:rPr>
          <w:rFonts w:ascii="Times New Roman" w:hAnsi="Times New Roman" w:cs="Times New Roman"/>
          <w:sz w:val="24"/>
          <w:szCs w:val="24"/>
          <w:vertAlign w:val="subscript"/>
        </w:rPr>
        <w:t>I</w:t>
      </w:r>
      <w:r w:rsidRPr="00984A3C">
        <w:rPr>
          <w:rFonts w:ascii="Times New Roman" w:hAnsi="Times New Roman" w:cs="Times New Roman"/>
          <w:sz w:val="24"/>
          <w:szCs w:val="24"/>
        </w:rPr>
        <w:t>=C</w:t>
      </w:r>
      <w:r w:rsidRPr="00984A3C">
        <w:rPr>
          <w:rFonts w:ascii="Times New Roman" w:hAnsi="Times New Roman" w:cs="Times New Roman"/>
          <w:sz w:val="24"/>
          <w:szCs w:val="24"/>
          <w:vertAlign w:val="subscript"/>
        </w:rPr>
        <w:t>Obs</w:t>
      </w:r>
      <w:r w:rsidRPr="00984A3C">
        <w:rPr>
          <w:rFonts w:ascii="Times New Roman" w:hAnsi="Times New Roman" w:cs="Times New Roman"/>
          <w:sz w:val="24"/>
          <w:szCs w:val="24"/>
        </w:rPr>
        <w:t>/C</w:t>
      </w:r>
      <w:r w:rsidRPr="00984A3C">
        <w:rPr>
          <w:rFonts w:ascii="Times New Roman" w:hAnsi="Times New Roman" w:cs="Times New Roman"/>
          <w:sz w:val="24"/>
          <w:szCs w:val="24"/>
          <w:vertAlign w:val="subscript"/>
        </w:rPr>
        <w:t>Exp</w:t>
      </w:r>
      <w:r w:rsidRPr="00984A3C">
        <w:rPr>
          <w:rFonts w:ascii="Times New Roman" w:hAnsi="Times New Roman" w:cs="Times New Roman"/>
          <w:sz w:val="24"/>
          <w:szCs w:val="24"/>
        </w:rPr>
        <w:t xml:space="preserve">                 </w:t>
      </w:r>
      <w:proofErr w:type="gramStart"/>
      <w:r w:rsidRPr="00984A3C">
        <w:rPr>
          <w:rFonts w:ascii="Times New Roman" w:hAnsi="Times New Roman" w:cs="Times New Roman"/>
          <w:sz w:val="24"/>
          <w:szCs w:val="24"/>
        </w:rPr>
        <w:t xml:space="preserve">   (</w:t>
      </w:r>
      <w:proofErr w:type="gramEnd"/>
      <w:r w:rsidRPr="00984A3C">
        <w:rPr>
          <w:rFonts w:ascii="Times New Roman" w:hAnsi="Times New Roman" w:cs="Times New Roman"/>
          <w:sz w:val="24"/>
          <w:szCs w:val="24"/>
        </w:rPr>
        <w:t>2)</w:t>
      </w:r>
    </w:p>
    <w:p w:rsidR="00984A3C" w:rsidRDefault="00984A3C" w:rsidP="00984A3C">
      <w:pPr>
        <w:spacing w:after="0" w:line="480" w:lineRule="auto"/>
        <w:jc w:val="both"/>
        <w:rPr>
          <w:rFonts w:ascii="Times New Roman" w:eastAsia="Times New Roman" w:hAnsi="Times New Roman" w:cs="Times New Roman"/>
          <w:sz w:val="24"/>
          <w:szCs w:val="24"/>
          <w:lang w:eastAsia="en-IN"/>
        </w:rPr>
      </w:pPr>
      <w:r w:rsidRPr="00984A3C">
        <w:rPr>
          <w:rFonts w:ascii="Times New Roman" w:eastAsia="Times New Roman" w:hAnsi="Times New Roman" w:cs="Times New Roman"/>
          <w:sz w:val="24"/>
          <w:szCs w:val="24"/>
          <w:lang w:eastAsia="en-IN"/>
        </w:rPr>
        <w:t>The toxicity of the</w:t>
      </w:r>
      <w:r>
        <w:rPr>
          <w:rFonts w:ascii="Times New Roman" w:eastAsia="Times New Roman" w:hAnsi="Times New Roman" w:cs="Times New Roman"/>
          <w:sz w:val="24"/>
          <w:szCs w:val="24"/>
          <w:lang w:eastAsia="en-IN"/>
        </w:rPr>
        <w:t xml:space="preserve"> combination of GO and FNPs</w:t>
      </w:r>
      <w:r w:rsidRPr="00984A3C">
        <w:rPr>
          <w:rFonts w:ascii="Times New Roman" w:eastAsia="Times New Roman" w:hAnsi="Times New Roman" w:cs="Times New Roman"/>
          <w:sz w:val="24"/>
          <w:szCs w:val="24"/>
          <w:lang w:eastAsia="en-IN"/>
        </w:rPr>
        <w:t xml:space="preserve"> is represented by the variable CObs. The inhibition ratio was used to ascertain the nature of the inte</w:t>
      </w:r>
      <w:r>
        <w:rPr>
          <w:rFonts w:ascii="Times New Roman" w:eastAsia="Times New Roman" w:hAnsi="Times New Roman" w:cs="Times New Roman"/>
          <w:sz w:val="24"/>
          <w:szCs w:val="24"/>
          <w:lang w:eastAsia="en-IN"/>
        </w:rPr>
        <w:t>raction between GO</w:t>
      </w:r>
      <w:r w:rsidRPr="00984A3C">
        <w:rPr>
          <w:rFonts w:ascii="Times New Roman" w:eastAsia="Times New Roman" w:hAnsi="Times New Roman" w:cs="Times New Roman"/>
          <w:sz w:val="24"/>
          <w:szCs w:val="24"/>
          <w:lang w:eastAsia="en-IN"/>
        </w:rPr>
        <w:t xml:space="preserve"> an</w:t>
      </w:r>
      <w:r>
        <w:rPr>
          <w:rFonts w:ascii="Times New Roman" w:eastAsia="Times New Roman" w:hAnsi="Times New Roman" w:cs="Times New Roman"/>
          <w:sz w:val="24"/>
          <w:szCs w:val="24"/>
          <w:lang w:eastAsia="en-IN"/>
        </w:rPr>
        <w:t>d FNPs</w:t>
      </w:r>
      <w:r w:rsidRPr="00984A3C">
        <w:rPr>
          <w:rFonts w:ascii="Times New Roman" w:eastAsia="Times New Roman" w:hAnsi="Times New Roman" w:cs="Times New Roman"/>
          <w:sz w:val="24"/>
          <w:szCs w:val="24"/>
          <w:lang w:eastAsia="en-IN"/>
        </w:rPr>
        <w:t>.</w:t>
      </w:r>
    </w:p>
    <w:p w:rsidR="00984A3C" w:rsidRDefault="00984A3C" w:rsidP="00984A3C">
      <w:pPr>
        <w:spacing w:after="0" w:line="48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According to </w:t>
      </w:r>
      <w:r w:rsidR="00EC0B85">
        <w:rPr>
          <w:rFonts w:ascii="Times New Roman" w:eastAsia="Times New Roman" w:hAnsi="Times New Roman" w:cs="Times New Roman"/>
          <w:sz w:val="24"/>
          <w:szCs w:val="24"/>
          <w:lang w:eastAsia="en-IN"/>
        </w:rPr>
        <w:fldChar w:fldCharType="begin"/>
      </w:r>
      <w:r w:rsidR="00EC0B85">
        <w:rPr>
          <w:rFonts w:ascii="Times New Roman" w:eastAsia="Times New Roman" w:hAnsi="Times New Roman" w:cs="Times New Roman"/>
          <w:sz w:val="24"/>
          <w:szCs w:val="24"/>
          <w:lang w:eastAsia="en-IN"/>
        </w:rPr>
        <w:instrText xml:space="preserve"> ADDIN EN.CITE &lt;EndNote&gt;&lt;Cite AuthorYear="1"&gt;&lt;Author&gt;Zhu&lt;/Author&gt;&lt;Year&gt;2019&lt;/Year&gt;&lt;RecNum&gt;1009&lt;/RecNum&gt;&lt;DisplayText&gt;Zhu, Wang (6)&lt;/DisplayText&gt;&lt;record&gt;&lt;rec-number&gt;1009&lt;/rec-number&gt;&lt;foreign-keys&gt;&lt;key app="EN" db-id="fpv20rsr6fzevhewptu52zavxv5vzewxrtfa" timestamp="1699913691"&gt;1009&lt;/key&gt;&lt;/foreign-keys&gt;&lt;ref-type name="Journal Article"&gt;17&lt;/ref-type&gt;&lt;contributors&gt;&lt;authors&gt;&lt;author&gt;Zhu, Zhi-lin&lt;/author&gt;&lt;author&gt;Wang, Su-chun&lt;/author&gt;&lt;author&gt;Zhao, Fei-fei&lt;/author&gt;&lt;author&gt;Wang, Shu-guang&lt;/author&gt;&lt;author&gt;Liu, Fei-fei&lt;/author&gt;&lt;author&gt;Liu, Guang-zhou&lt;/author&gt;&lt;/authors&gt;&lt;/contributors&gt;&lt;titles&gt;&lt;title&gt;Joint toxicity of microplastics with triclosan to marine microalgae Skeletonema costatum&lt;/title&gt;&lt;secondary-title&gt;Environmental pollution&lt;/secondary-title&gt;&lt;/titles&gt;&lt;periodical&gt;&lt;full-title&gt;Environmental pollution&lt;/full-title&gt;&lt;/periodical&gt;&lt;pages&gt;509-517&lt;/pages&gt;&lt;volume&gt;246&lt;/volume&gt;&lt;dates&gt;&lt;year&gt;2019&lt;/year&gt;&lt;/dates&gt;&lt;isbn&gt;0269-7491&lt;/isbn&gt;&lt;urls&gt;&lt;/urls&gt;&lt;/record&gt;&lt;/Cite&gt;&lt;/EndNote&gt;</w:instrText>
      </w:r>
      <w:r w:rsidR="00EC0B85">
        <w:rPr>
          <w:rFonts w:ascii="Times New Roman" w:eastAsia="Times New Roman" w:hAnsi="Times New Roman" w:cs="Times New Roman"/>
          <w:sz w:val="24"/>
          <w:szCs w:val="24"/>
          <w:lang w:eastAsia="en-IN"/>
        </w:rPr>
        <w:fldChar w:fldCharType="separate"/>
      </w:r>
      <w:r w:rsidR="00EC0B85">
        <w:rPr>
          <w:rFonts w:ascii="Times New Roman" w:eastAsia="Times New Roman" w:hAnsi="Times New Roman" w:cs="Times New Roman"/>
          <w:noProof/>
          <w:sz w:val="24"/>
          <w:szCs w:val="24"/>
          <w:lang w:eastAsia="en-IN"/>
        </w:rPr>
        <w:t>Zhu, Wang (6)</w:t>
      </w:r>
      <w:r w:rsidR="00EC0B85">
        <w:rPr>
          <w:rFonts w:ascii="Times New Roman" w:eastAsia="Times New Roman" w:hAnsi="Times New Roman" w:cs="Times New Roman"/>
          <w:sz w:val="24"/>
          <w:szCs w:val="24"/>
          <w:lang w:eastAsia="en-IN"/>
        </w:rPr>
        <w:fldChar w:fldCharType="end"/>
      </w:r>
      <w:r w:rsidRPr="00984A3C">
        <w:rPr>
          <w:rFonts w:ascii="Times New Roman" w:eastAsia="Times New Roman" w:hAnsi="Times New Roman" w:cs="Times New Roman"/>
          <w:sz w:val="24"/>
          <w:szCs w:val="24"/>
          <w:lang w:eastAsia="en-IN"/>
        </w:rPr>
        <w:t>, an interaction is defined as additive when R</w:t>
      </w:r>
      <w:r w:rsidRPr="00984A3C">
        <w:rPr>
          <w:rFonts w:ascii="Times New Roman" w:eastAsia="Times New Roman" w:hAnsi="Times New Roman" w:cs="Times New Roman"/>
          <w:sz w:val="24"/>
          <w:szCs w:val="24"/>
          <w:vertAlign w:val="subscript"/>
          <w:lang w:eastAsia="en-IN"/>
        </w:rPr>
        <w:t>I</w:t>
      </w:r>
      <w:r w:rsidRPr="00984A3C">
        <w:rPr>
          <w:rFonts w:ascii="Times New Roman" w:eastAsia="Times New Roman" w:hAnsi="Times New Roman" w:cs="Times New Roman"/>
          <w:sz w:val="24"/>
          <w:szCs w:val="24"/>
          <w:lang w:eastAsia="en-IN"/>
        </w:rPr>
        <w:t xml:space="preserve"> = 1, synergistic when R</w:t>
      </w:r>
      <w:r w:rsidRPr="00984A3C">
        <w:rPr>
          <w:rFonts w:ascii="Times New Roman" w:eastAsia="Times New Roman" w:hAnsi="Times New Roman" w:cs="Times New Roman"/>
          <w:sz w:val="24"/>
          <w:szCs w:val="24"/>
          <w:vertAlign w:val="subscript"/>
          <w:lang w:eastAsia="en-IN"/>
        </w:rPr>
        <w:t>I</w:t>
      </w:r>
      <w:r w:rsidRPr="00984A3C">
        <w:rPr>
          <w:rFonts w:ascii="Times New Roman" w:eastAsia="Times New Roman" w:hAnsi="Times New Roman" w:cs="Times New Roman"/>
          <w:sz w:val="24"/>
          <w:szCs w:val="24"/>
          <w:lang w:eastAsia="en-IN"/>
        </w:rPr>
        <w:t xml:space="preserve"> &gt; 1, and antagonistic when R</w:t>
      </w:r>
      <w:r w:rsidRPr="00984A3C">
        <w:rPr>
          <w:rFonts w:ascii="Times New Roman" w:eastAsia="Times New Roman" w:hAnsi="Times New Roman" w:cs="Times New Roman"/>
          <w:sz w:val="24"/>
          <w:szCs w:val="24"/>
          <w:vertAlign w:val="subscript"/>
          <w:lang w:eastAsia="en-IN"/>
        </w:rPr>
        <w:t>I</w:t>
      </w:r>
      <w:r w:rsidRPr="00984A3C">
        <w:rPr>
          <w:rFonts w:ascii="Times New Roman" w:eastAsia="Times New Roman" w:hAnsi="Times New Roman" w:cs="Times New Roman"/>
          <w:sz w:val="24"/>
          <w:szCs w:val="24"/>
          <w:lang w:eastAsia="en-IN"/>
        </w:rPr>
        <w:t xml:space="preserve"> &lt; 1. A Two-way ANOVA is used to calculate the difference between the observed and expected toxicity. If the observed </w:t>
      </w:r>
      <w:r>
        <w:rPr>
          <w:rFonts w:ascii="Times New Roman" w:eastAsia="Times New Roman" w:hAnsi="Times New Roman" w:cs="Times New Roman"/>
          <w:sz w:val="24"/>
          <w:szCs w:val="24"/>
          <w:lang w:eastAsia="en-IN"/>
        </w:rPr>
        <w:t xml:space="preserve">and estimated RI </w:t>
      </w:r>
      <w:r w:rsidRPr="00984A3C">
        <w:rPr>
          <w:rFonts w:ascii="Times New Roman" w:eastAsia="Times New Roman" w:hAnsi="Times New Roman" w:cs="Times New Roman"/>
          <w:sz w:val="24"/>
          <w:szCs w:val="24"/>
          <w:lang w:eastAsia="en-IN"/>
        </w:rPr>
        <w:t>values do not show any major difference, then the kind of interaction between the pollutants is referred to be additive, irrespective of the obtained R</w:t>
      </w:r>
      <w:r w:rsidRPr="00984A3C">
        <w:rPr>
          <w:rFonts w:ascii="Times New Roman" w:eastAsia="Times New Roman" w:hAnsi="Times New Roman" w:cs="Times New Roman"/>
          <w:sz w:val="24"/>
          <w:szCs w:val="24"/>
          <w:vertAlign w:val="subscript"/>
          <w:lang w:eastAsia="en-IN"/>
        </w:rPr>
        <w:t>I</w:t>
      </w:r>
      <w:r w:rsidRPr="00984A3C">
        <w:rPr>
          <w:rFonts w:ascii="Times New Roman" w:eastAsia="Times New Roman" w:hAnsi="Times New Roman" w:cs="Times New Roman"/>
          <w:sz w:val="24"/>
          <w:szCs w:val="24"/>
          <w:lang w:eastAsia="en-IN"/>
        </w:rPr>
        <w:t xml:space="preserve"> value.</w:t>
      </w:r>
    </w:p>
    <w:p w:rsidR="005A46B3" w:rsidRPr="00984A3C" w:rsidRDefault="005A46B3" w:rsidP="00984A3C">
      <w:pPr>
        <w:spacing w:after="0" w:line="480" w:lineRule="auto"/>
        <w:jc w:val="both"/>
        <w:rPr>
          <w:rFonts w:ascii="Times New Roman" w:eastAsia="Times New Roman" w:hAnsi="Times New Roman" w:cs="Times New Roman"/>
          <w:b/>
          <w:sz w:val="24"/>
          <w:szCs w:val="24"/>
          <w:u w:val="single"/>
          <w:lang w:eastAsia="en-IN"/>
        </w:rPr>
      </w:pPr>
      <w:r w:rsidRPr="009459BC">
        <w:rPr>
          <w:rFonts w:ascii="Times New Roman" w:eastAsia="Times New Roman" w:hAnsi="Times New Roman" w:cs="Times New Roman"/>
          <w:b/>
          <w:sz w:val="24"/>
          <w:szCs w:val="24"/>
          <w:u w:val="single"/>
          <w:lang w:eastAsia="en-IN"/>
        </w:rPr>
        <w:t>Figures:</w:t>
      </w:r>
    </w:p>
    <w:p w:rsidR="00984A3C" w:rsidRDefault="00263F69" w:rsidP="00263F69">
      <w:pPr>
        <w:spacing w:after="0" w:line="240" w:lineRule="auto"/>
        <w:jc w:val="center"/>
        <w:rPr>
          <w:rFonts w:ascii="Times New Roman" w:eastAsia="Times New Roman" w:hAnsi="Times New Roman" w:cs="Times New Roman"/>
          <w:sz w:val="24"/>
          <w:szCs w:val="24"/>
          <w:lang w:eastAsia="en-IN"/>
        </w:rPr>
      </w:pPr>
      <w:r w:rsidRPr="00263F69">
        <w:rPr>
          <w:rFonts w:ascii="Times New Roman" w:eastAsia="Times New Roman" w:hAnsi="Times New Roman" w:cs="Times New Roman"/>
          <w:noProof/>
          <w:sz w:val="24"/>
          <w:szCs w:val="24"/>
          <w:lang w:eastAsia="en-IN"/>
        </w:rPr>
        <w:lastRenderedPageBreak/>
        <w:drawing>
          <wp:inline distT="0" distB="0" distL="0" distR="0">
            <wp:extent cx="4667250" cy="3076575"/>
            <wp:effectExtent l="0" t="0" r="0" b="9525"/>
            <wp:docPr id="2" name="Picture 2" descr="D:\Research\PhD\GO work\Finals\Leachate to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earch\PhD\GO work\Finals\Leachate tox.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0" cy="3076575"/>
                    </a:xfrm>
                    <a:prstGeom prst="rect">
                      <a:avLst/>
                    </a:prstGeom>
                    <a:noFill/>
                    <a:ln>
                      <a:noFill/>
                    </a:ln>
                  </pic:spPr>
                </pic:pic>
              </a:graphicData>
            </a:graphic>
          </wp:inline>
        </w:drawing>
      </w:r>
    </w:p>
    <w:p w:rsidR="00263F69" w:rsidRPr="00984A3C" w:rsidRDefault="00C313B1" w:rsidP="00DA7ECB">
      <w:pPr>
        <w:spacing w:after="0" w:line="480" w:lineRule="auto"/>
        <w:jc w:val="center"/>
        <w:rPr>
          <w:rFonts w:ascii="Times New Roman" w:eastAsia="Times New Roman" w:hAnsi="Times New Roman" w:cs="Times New Roman"/>
          <w:sz w:val="24"/>
          <w:szCs w:val="24"/>
          <w:lang w:eastAsia="en-IN"/>
        </w:rPr>
      </w:pPr>
      <w:r w:rsidRPr="00C313B1">
        <w:rPr>
          <w:rFonts w:ascii="Times New Roman" w:eastAsia="Times New Roman" w:hAnsi="Times New Roman" w:cs="Times New Roman"/>
          <w:b/>
          <w:sz w:val="24"/>
          <w:szCs w:val="24"/>
          <w:lang w:eastAsia="en-IN"/>
        </w:rPr>
        <w:t>Fig.S1.</w:t>
      </w:r>
      <w:r w:rsidRPr="00C313B1">
        <w:rPr>
          <w:rFonts w:ascii="Times New Roman" w:eastAsia="Times New Roman" w:hAnsi="Times New Roman" w:cs="Times New Roman"/>
          <w:sz w:val="24"/>
          <w:szCs w:val="24"/>
          <w:lang w:eastAsia="en-IN"/>
        </w:rPr>
        <w:t xml:space="preserve"> Percentage of cell viability with respect to control. Note ‘*’ indicates difference in percentage noted with respect to control (***p&lt;0.001)</w:t>
      </w:r>
    </w:p>
    <w:p w:rsidR="00984A3C" w:rsidRDefault="00DA7ECB" w:rsidP="00DA7ECB">
      <w:pPr>
        <w:jc w:val="center"/>
        <w:rPr>
          <w:rStyle w:val="Hyperlink"/>
          <w:rFonts w:ascii="Times New Roman" w:hAnsi="Times New Roman" w:cs="Times New Roman"/>
          <w:color w:val="auto"/>
          <w:sz w:val="24"/>
          <w:szCs w:val="24"/>
          <w:u w:val="none"/>
        </w:rPr>
      </w:pPr>
      <w:r w:rsidRPr="00DA7ECB">
        <w:rPr>
          <w:rStyle w:val="Hyperlink"/>
          <w:rFonts w:ascii="Times New Roman" w:hAnsi="Times New Roman" w:cs="Times New Roman"/>
          <w:noProof/>
          <w:color w:val="auto"/>
          <w:sz w:val="24"/>
          <w:szCs w:val="24"/>
          <w:u w:val="none"/>
          <w:lang w:eastAsia="en-IN"/>
        </w:rPr>
        <w:drawing>
          <wp:inline distT="0" distB="0" distL="0" distR="0">
            <wp:extent cx="5507354" cy="4667250"/>
            <wp:effectExtent l="0" t="0" r="0" b="0"/>
            <wp:docPr id="3" name="Picture 3" descr="D:\Research\PhD\GO work\Finals\Morpholog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search\PhD\GO work\Finals\Morphology.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9564" cy="4677598"/>
                    </a:xfrm>
                    <a:prstGeom prst="rect">
                      <a:avLst/>
                    </a:prstGeom>
                    <a:noFill/>
                    <a:ln>
                      <a:noFill/>
                    </a:ln>
                  </pic:spPr>
                </pic:pic>
              </a:graphicData>
            </a:graphic>
          </wp:inline>
        </w:drawing>
      </w:r>
    </w:p>
    <w:p w:rsidR="00DA7ECB" w:rsidRDefault="00892AF3" w:rsidP="008F2A54">
      <w:pPr>
        <w:spacing w:line="480" w:lineRule="auto"/>
        <w:jc w:val="center"/>
        <w:rPr>
          <w:rStyle w:val="Hyperlink"/>
          <w:rFonts w:ascii="Times New Roman" w:hAnsi="Times New Roman" w:cs="Times New Roman"/>
          <w:color w:val="auto"/>
          <w:sz w:val="24"/>
          <w:szCs w:val="24"/>
          <w:u w:val="none"/>
        </w:rPr>
      </w:pPr>
      <w:r w:rsidRPr="00892AF3">
        <w:rPr>
          <w:rStyle w:val="Hyperlink"/>
          <w:rFonts w:ascii="Times New Roman" w:hAnsi="Times New Roman" w:cs="Times New Roman"/>
          <w:b/>
          <w:color w:val="auto"/>
          <w:sz w:val="24"/>
          <w:szCs w:val="24"/>
          <w:u w:val="none"/>
        </w:rPr>
        <w:lastRenderedPageBreak/>
        <w:t>Fig.S2.</w:t>
      </w:r>
      <w:r w:rsidRPr="00892AF3">
        <w:rPr>
          <w:rStyle w:val="Hyperlink"/>
          <w:rFonts w:ascii="Times New Roman" w:hAnsi="Times New Roman" w:cs="Times New Roman"/>
          <w:color w:val="auto"/>
          <w:sz w:val="24"/>
          <w:szCs w:val="24"/>
          <w:u w:val="none"/>
        </w:rPr>
        <w:t xml:space="preserve"> Light microscopic images (40x magnification) of </w:t>
      </w:r>
      <w:r w:rsidRPr="00892AF3">
        <w:rPr>
          <w:rStyle w:val="Hyperlink"/>
          <w:rFonts w:ascii="Times New Roman" w:hAnsi="Times New Roman" w:cs="Times New Roman"/>
          <w:i/>
          <w:color w:val="auto"/>
          <w:sz w:val="24"/>
          <w:szCs w:val="24"/>
          <w:u w:val="none"/>
        </w:rPr>
        <w:t>Scenedesmus obliquus</w:t>
      </w:r>
      <w:r w:rsidRPr="00892AF3">
        <w:rPr>
          <w:rStyle w:val="Hyperlink"/>
          <w:rFonts w:ascii="Times New Roman" w:hAnsi="Times New Roman" w:cs="Times New Roman"/>
          <w:color w:val="auto"/>
          <w:sz w:val="24"/>
          <w:szCs w:val="24"/>
          <w:u w:val="none"/>
        </w:rPr>
        <w:t>. after 72h</w:t>
      </w:r>
      <w:r>
        <w:rPr>
          <w:rStyle w:val="Hyperlink"/>
          <w:rFonts w:ascii="Times New Roman" w:hAnsi="Times New Roman" w:cs="Times New Roman"/>
          <w:color w:val="auto"/>
          <w:sz w:val="24"/>
          <w:szCs w:val="24"/>
          <w:u w:val="none"/>
        </w:rPr>
        <w:t xml:space="preserve"> exposure to (A) Control (B) 10 mg </w:t>
      </w:r>
      <w:r w:rsidRPr="00892AF3">
        <w:rPr>
          <w:rStyle w:val="Hyperlink"/>
          <w:rFonts w:ascii="Times New Roman" w:hAnsi="Times New Roman" w:cs="Times New Roman"/>
          <w:color w:val="auto"/>
          <w:sz w:val="24"/>
          <w:szCs w:val="24"/>
          <w:u w:val="none"/>
        </w:rPr>
        <w:t>L</w:t>
      </w:r>
      <w:r w:rsidRPr="00892AF3">
        <w:rPr>
          <w:rStyle w:val="Hyperlink"/>
          <w:rFonts w:ascii="Times New Roman" w:hAnsi="Times New Roman" w:cs="Times New Roman"/>
          <w:color w:val="auto"/>
          <w:sz w:val="24"/>
          <w:szCs w:val="24"/>
          <w:u w:val="none"/>
          <w:vertAlign w:val="superscript"/>
        </w:rPr>
        <w:t>-1</w:t>
      </w:r>
      <w:r>
        <w:rPr>
          <w:rStyle w:val="Hyperlink"/>
          <w:rFonts w:ascii="Times New Roman" w:hAnsi="Times New Roman" w:cs="Times New Roman"/>
          <w:color w:val="auto"/>
          <w:sz w:val="24"/>
          <w:szCs w:val="24"/>
          <w:u w:val="none"/>
        </w:rPr>
        <w:t xml:space="preserve"> GO</w:t>
      </w:r>
      <w:r w:rsidRPr="00892AF3">
        <w:rPr>
          <w:rStyle w:val="Hyperlink"/>
          <w:rFonts w:ascii="Times New Roman" w:hAnsi="Times New Roman" w:cs="Times New Roman"/>
          <w:color w:val="auto"/>
          <w:sz w:val="24"/>
          <w:szCs w:val="24"/>
          <w:u w:val="none"/>
        </w:rPr>
        <w:t xml:space="preserve"> (C) 1 mg</w:t>
      </w:r>
      <w:r>
        <w:rPr>
          <w:rStyle w:val="Hyperlink"/>
          <w:rFonts w:ascii="Times New Roman" w:hAnsi="Times New Roman" w:cs="Times New Roman"/>
          <w:color w:val="auto"/>
          <w:sz w:val="24"/>
          <w:szCs w:val="24"/>
          <w:u w:val="none"/>
        </w:rPr>
        <w:t xml:space="preserve"> </w:t>
      </w:r>
      <w:r w:rsidRPr="00892AF3">
        <w:rPr>
          <w:rStyle w:val="Hyperlink"/>
          <w:rFonts w:ascii="Times New Roman" w:hAnsi="Times New Roman" w:cs="Times New Roman"/>
          <w:color w:val="auto"/>
          <w:sz w:val="24"/>
          <w:szCs w:val="24"/>
          <w:u w:val="none"/>
        </w:rPr>
        <w:t>L</w:t>
      </w:r>
      <w:r w:rsidRPr="00892AF3">
        <w:rPr>
          <w:rStyle w:val="Hyperlink"/>
          <w:rFonts w:ascii="Times New Roman" w:hAnsi="Times New Roman" w:cs="Times New Roman"/>
          <w:color w:val="auto"/>
          <w:sz w:val="24"/>
          <w:szCs w:val="24"/>
          <w:u w:val="none"/>
          <w:vertAlign w:val="superscript"/>
        </w:rPr>
        <w:t>-1</w:t>
      </w:r>
      <w:r>
        <w:rPr>
          <w:rStyle w:val="Hyperlink"/>
          <w:rFonts w:ascii="Times New Roman" w:hAnsi="Times New Roman" w:cs="Times New Roman"/>
          <w:color w:val="auto"/>
          <w:sz w:val="24"/>
          <w:szCs w:val="24"/>
          <w:u w:val="none"/>
        </w:rPr>
        <w:t xml:space="preserve"> FNPs (D) 10 mg </w:t>
      </w:r>
      <w:r w:rsidRPr="00892AF3">
        <w:rPr>
          <w:rStyle w:val="Hyperlink"/>
          <w:rFonts w:ascii="Times New Roman" w:hAnsi="Times New Roman" w:cs="Times New Roman"/>
          <w:color w:val="auto"/>
          <w:sz w:val="24"/>
          <w:szCs w:val="24"/>
          <w:u w:val="none"/>
        </w:rPr>
        <w:t>L</w:t>
      </w:r>
      <w:r w:rsidRPr="00892AF3">
        <w:rPr>
          <w:rStyle w:val="Hyperlink"/>
          <w:rFonts w:ascii="Times New Roman" w:hAnsi="Times New Roman" w:cs="Times New Roman"/>
          <w:color w:val="auto"/>
          <w:sz w:val="24"/>
          <w:szCs w:val="24"/>
          <w:u w:val="none"/>
          <w:vertAlign w:val="superscript"/>
        </w:rPr>
        <w:t>-1</w:t>
      </w:r>
      <w:r>
        <w:rPr>
          <w:rStyle w:val="Hyperlink"/>
          <w:rFonts w:ascii="Times New Roman" w:hAnsi="Times New Roman" w:cs="Times New Roman"/>
          <w:color w:val="auto"/>
          <w:sz w:val="24"/>
          <w:szCs w:val="24"/>
          <w:u w:val="none"/>
        </w:rPr>
        <w:t xml:space="preserve"> GO + 1 mg </w:t>
      </w:r>
      <w:r w:rsidRPr="00892AF3">
        <w:rPr>
          <w:rStyle w:val="Hyperlink"/>
          <w:rFonts w:ascii="Times New Roman" w:hAnsi="Times New Roman" w:cs="Times New Roman"/>
          <w:color w:val="auto"/>
          <w:sz w:val="24"/>
          <w:szCs w:val="24"/>
          <w:u w:val="none"/>
        </w:rPr>
        <w:t>L</w:t>
      </w:r>
      <w:r w:rsidRPr="00892AF3">
        <w:rPr>
          <w:rStyle w:val="Hyperlink"/>
          <w:rFonts w:ascii="Times New Roman" w:hAnsi="Times New Roman" w:cs="Times New Roman"/>
          <w:color w:val="auto"/>
          <w:sz w:val="24"/>
          <w:szCs w:val="24"/>
          <w:u w:val="none"/>
          <w:vertAlign w:val="superscript"/>
        </w:rPr>
        <w:t>-1</w:t>
      </w:r>
      <w:r w:rsidRPr="00892AF3">
        <w:rPr>
          <w:rStyle w:val="Hyperlink"/>
          <w:rFonts w:ascii="Times New Roman" w:hAnsi="Times New Roman" w:cs="Times New Roman"/>
          <w:color w:val="auto"/>
          <w:sz w:val="24"/>
          <w:szCs w:val="24"/>
          <w:u w:val="none"/>
        </w:rPr>
        <w:t xml:space="preserve"> FNPs. Circles show aggregation of </w:t>
      </w:r>
      <w:r w:rsidRPr="00892AF3">
        <w:rPr>
          <w:rStyle w:val="Hyperlink"/>
          <w:rFonts w:ascii="Times New Roman" w:hAnsi="Times New Roman" w:cs="Times New Roman"/>
          <w:i/>
          <w:color w:val="auto"/>
          <w:sz w:val="24"/>
          <w:szCs w:val="24"/>
          <w:u w:val="none"/>
        </w:rPr>
        <w:t>Scenedesmus sp</w:t>
      </w:r>
      <w:r w:rsidRPr="00892AF3">
        <w:rPr>
          <w:rStyle w:val="Hyperlink"/>
          <w:rFonts w:ascii="Times New Roman" w:hAnsi="Times New Roman" w:cs="Times New Roman"/>
          <w:color w:val="auto"/>
          <w:sz w:val="24"/>
          <w:szCs w:val="24"/>
          <w:u w:val="none"/>
        </w:rPr>
        <w:t>.</w:t>
      </w:r>
    </w:p>
    <w:p w:rsidR="00035B0B" w:rsidRDefault="00035B0B" w:rsidP="00035B0B">
      <w:pPr>
        <w:jc w:val="both"/>
        <w:rPr>
          <w:rStyle w:val="Hyperlink"/>
          <w:rFonts w:ascii="Times New Roman" w:hAnsi="Times New Roman" w:cs="Times New Roman"/>
          <w:b/>
          <w:color w:val="auto"/>
          <w:sz w:val="24"/>
          <w:szCs w:val="24"/>
          <w:u w:val="none"/>
        </w:rPr>
      </w:pPr>
      <w:r w:rsidRPr="00035B0B">
        <w:rPr>
          <w:rStyle w:val="Hyperlink"/>
          <w:rFonts w:ascii="Times New Roman" w:hAnsi="Times New Roman" w:cs="Times New Roman"/>
          <w:b/>
          <w:color w:val="auto"/>
          <w:sz w:val="24"/>
          <w:szCs w:val="24"/>
          <w:u w:val="none"/>
        </w:rPr>
        <w:t>Tables:</w:t>
      </w:r>
    </w:p>
    <w:p w:rsidR="00035B0B" w:rsidRPr="00035B0B" w:rsidRDefault="00035B0B" w:rsidP="00035B0B">
      <w:pPr>
        <w:jc w:val="both"/>
        <w:rPr>
          <w:rStyle w:val="Hyperlink"/>
          <w:rFonts w:ascii="Times New Roman" w:hAnsi="Times New Roman" w:cs="Times New Roman"/>
          <w:b/>
          <w:color w:val="auto"/>
          <w:sz w:val="24"/>
          <w:szCs w:val="24"/>
          <w:u w:val="none"/>
        </w:rPr>
      </w:pPr>
      <w:r w:rsidRPr="00035B0B">
        <w:rPr>
          <w:rStyle w:val="Hyperlink"/>
          <w:rFonts w:ascii="Times New Roman" w:hAnsi="Times New Roman" w:cs="Times New Roman"/>
          <w:b/>
          <w:color w:val="auto"/>
          <w:sz w:val="24"/>
          <w:szCs w:val="24"/>
          <w:u w:val="none"/>
        </w:rPr>
        <w:t>Table S1:</w:t>
      </w:r>
      <w:r>
        <w:rPr>
          <w:rStyle w:val="Hyperlink"/>
          <w:rFonts w:ascii="Times New Roman" w:hAnsi="Times New Roman" w:cs="Times New Roman"/>
          <w:color w:val="auto"/>
          <w:sz w:val="24"/>
          <w:szCs w:val="24"/>
          <w:u w:val="none"/>
        </w:rPr>
        <w:t xml:space="preserve"> </w:t>
      </w:r>
      <w:r w:rsidRPr="00035B0B">
        <w:rPr>
          <w:rStyle w:val="Hyperlink"/>
          <w:rFonts w:ascii="Times New Roman" w:hAnsi="Times New Roman" w:cs="Times New Roman"/>
          <w:color w:val="auto"/>
          <w:sz w:val="24"/>
          <w:szCs w:val="24"/>
          <w:u w:val="none"/>
        </w:rPr>
        <w:t>Independent ac</w:t>
      </w:r>
      <w:r>
        <w:rPr>
          <w:rStyle w:val="Hyperlink"/>
          <w:rFonts w:ascii="Times New Roman" w:hAnsi="Times New Roman" w:cs="Times New Roman"/>
          <w:color w:val="auto"/>
          <w:sz w:val="24"/>
          <w:szCs w:val="24"/>
          <w:u w:val="none"/>
        </w:rPr>
        <w:t>tion model for the mixture GO</w:t>
      </w:r>
      <w:r w:rsidR="009459BC">
        <w:rPr>
          <w:rStyle w:val="Hyperlink"/>
          <w:rFonts w:ascii="Times New Roman" w:hAnsi="Times New Roman" w:cs="Times New Roman"/>
          <w:color w:val="auto"/>
          <w:sz w:val="24"/>
          <w:szCs w:val="24"/>
          <w:u w:val="none"/>
        </w:rPr>
        <w:t xml:space="preserve"> and FNPs</w:t>
      </w:r>
    </w:p>
    <w:tbl>
      <w:tblPr>
        <w:tblStyle w:val="TableGrid"/>
        <w:tblpPr w:leftFromText="180" w:rightFromText="180" w:vertAnchor="page" w:horzAnchor="margin" w:tblpXSpec="center" w:tblpY="4456"/>
        <w:tblW w:w="10641" w:type="dxa"/>
        <w:tblLook w:val="04A0" w:firstRow="1" w:lastRow="0" w:firstColumn="1" w:lastColumn="0" w:noHBand="0" w:noVBand="1"/>
      </w:tblPr>
      <w:tblGrid>
        <w:gridCol w:w="1980"/>
        <w:gridCol w:w="1843"/>
        <w:gridCol w:w="1417"/>
        <w:gridCol w:w="1440"/>
        <w:gridCol w:w="1626"/>
        <w:gridCol w:w="892"/>
        <w:gridCol w:w="1443"/>
      </w:tblGrid>
      <w:tr w:rsidR="008F2A54" w:rsidRPr="0080613A" w:rsidTr="008F2A54">
        <w:trPr>
          <w:trHeight w:val="1020"/>
        </w:trPr>
        <w:tc>
          <w:tcPr>
            <w:tcW w:w="1980" w:type="dxa"/>
            <w:vAlign w:val="center"/>
          </w:tcPr>
          <w:p w:rsidR="008F2A54" w:rsidRPr="00A23FE8" w:rsidRDefault="008F2A54" w:rsidP="008F2A54">
            <w:pPr>
              <w:spacing w:line="480" w:lineRule="auto"/>
              <w:jc w:val="center"/>
              <w:rPr>
                <w:rFonts w:ascii="Times New Roman" w:hAnsi="Times New Roman" w:cs="Times New Roman"/>
                <w:b/>
                <w:sz w:val="24"/>
                <w:szCs w:val="24"/>
              </w:rPr>
            </w:pPr>
            <w:r w:rsidRPr="00A23FE8">
              <w:rPr>
                <w:rFonts w:ascii="Times New Roman" w:hAnsi="Times New Roman" w:cs="Times New Roman"/>
                <w:b/>
                <w:sz w:val="24"/>
                <w:szCs w:val="24"/>
              </w:rPr>
              <w:t>Concentration of FNP (mg L</w:t>
            </w:r>
            <w:r w:rsidRPr="00A23FE8">
              <w:rPr>
                <w:rFonts w:ascii="Times New Roman" w:hAnsi="Times New Roman" w:cs="Times New Roman"/>
                <w:b/>
                <w:sz w:val="24"/>
                <w:szCs w:val="24"/>
                <w:vertAlign w:val="superscript"/>
              </w:rPr>
              <w:t>-1</w:t>
            </w:r>
            <w:r w:rsidRPr="00A23FE8">
              <w:rPr>
                <w:rFonts w:ascii="Times New Roman" w:hAnsi="Times New Roman" w:cs="Times New Roman"/>
                <w:b/>
                <w:sz w:val="24"/>
                <w:szCs w:val="24"/>
              </w:rPr>
              <w:t>)</w:t>
            </w:r>
          </w:p>
        </w:tc>
        <w:tc>
          <w:tcPr>
            <w:tcW w:w="1843" w:type="dxa"/>
            <w:vAlign w:val="center"/>
          </w:tcPr>
          <w:p w:rsidR="008F2A54" w:rsidRPr="00A23FE8" w:rsidRDefault="008F2A54" w:rsidP="008F2A54">
            <w:pPr>
              <w:spacing w:line="480" w:lineRule="auto"/>
              <w:jc w:val="center"/>
              <w:rPr>
                <w:rFonts w:ascii="Times New Roman" w:hAnsi="Times New Roman" w:cs="Times New Roman"/>
                <w:b/>
                <w:sz w:val="24"/>
                <w:szCs w:val="24"/>
              </w:rPr>
            </w:pPr>
            <w:r w:rsidRPr="00A23FE8">
              <w:rPr>
                <w:rFonts w:ascii="Times New Roman" w:hAnsi="Times New Roman" w:cs="Times New Roman"/>
                <w:b/>
                <w:sz w:val="24"/>
                <w:szCs w:val="24"/>
              </w:rPr>
              <w:t>Concentration of GO</w:t>
            </w:r>
            <w:r w:rsidRPr="00A23FE8">
              <w:rPr>
                <w:rFonts w:ascii="Times New Roman" w:hAnsi="Times New Roman" w:cs="Times New Roman"/>
                <w:b/>
                <w:sz w:val="24"/>
                <w:szCs w:val="24"/>
                <w:vertAlign w:val="subscript"/>
              </w:rPr>
              <w:t xml:space="preserve"> </w:t>
            </w:r>
            <w:r w:rsidRPr="00A23FE8">
              <w:rPr>
                <w:rFonts w:ascii="Times New Roman" w:hAnsi="Times New Roman" w:cs="Times New Roman"/>
                <w:b/>
                <w:sz w:val="24"/>
                <w:szCs w:val="24"/>
              </w:rPr>
              <w:t>(mg L</w:t>
            </w:r>
            <w:r w:rsidRPr="00A23FE8">
              <w:rPr>
                <w:rFonts w:ascii="Times New Roman" w:hAnsi="Times New Roman" w:cs="Times New Roman"/>
                <w:b/>
                <w:sz w:val="24"/>
                <w:szCs w:val="24"/>
                <w:vertAlign w:val="superscript"/>
              </w:rPr>
              <w:t>-1</w:t>
            </w:r>
            <w:r w:rsidRPr="00A23FE8">
              <w:rPr>
                <w:rFonts w:ascii="Times New Roman" w:hAnsi="Times New Roman" w:cs="Times New Roman"/>
                <w:b/>
                <w:sz w:val="24"/>
                <w:szCs w:val="24"/>
              </w:rPr>
              <w:t>)</w:t>
            </w:r>
          </w:p>
        </w:tc>
        <w:tc>
          <w:tcPr>
            <w:tcW w:w="1417" w:type="dxa"/>
            <w:vAlign w:val="center"/>
          </w:tcPr>
          <w:p w:rsidR="008F2A54" w:rsidRPr="00A23FE8" w:rsidRDefault="008F2A54" w:rsidP="008F2A54">
            <w:pPr>
              <w:spacing w:line="480" w:lineRule="auto"/>
              <w:jc w:val="center"/>
              <w:rPr>
                <w:rFonts w:ascii="Times New Roman" w:hAnsi="Times New Roman" w:cs="Times New Roman"/>
                <w:b/>
                <w:sz w:val="24"/>
                <w:szCs w:val="24"/>
              </w:rPr>
            </w:pPr>
            <w:r w:rsidRPr="00A23FE8">
              <w:rPr>
                <w:rFonts w:ascii="Times New Roman" w:hAnsi="Times New Roman" w:cs="Times New Roman"/>
                <w:b/>
                <w:sz w:val="24"/>
                <w:szCs w:val="24"/>
              </w:rPr>
              <w:t>Observed toxicity (%)</w:t>
            </w:r>
          </w:p>
        </w:tc>
        <w:tc>
          <w:tcPr>
            <w:tcW w:w="1440" w:type="dxa"/>
            <w:vAlign w:val="center"/>
          </w:tcPr>
          <w:p w:rsidR="008F2A54" w:rsidRPr="00A23FE8" w:rsidRDefault="008F2A54" w:rsidP="008F2A54">
            <w:pPr>
              <w:spacing w:line="480" w:lineRule="auto"/>
              <w:jc w:val="center"/>
              <w:rPr>
                <w:rFonts w:ascii="Times New Roman" w:hAnsi="Times New Roman" w:cs="Times New Roman"/>
                <w:b/>
                <w:sz w:val="24"/>
                <w:szCs w:val="24"/>
              </w:rPr>
            </w:pPr>
            <w:r w:rsidRPr="00A23FE8">
              <w:rPr>
                <w:rFonts w:ascii="Times New Roman" w:hAnsi="Times New Roman" w:cs="Times New Roman"/>
                <w:b/>
                <w:sz w:val="24"/>
                <w:szCs w:val="24"/>
              </w:rPr>
              <w:t>Expected toxicity (%)</w:t>
            </w:r>
          </w:p>
        </w:tc>
        <w:tc>
          <w:tcPr>
            <w:tcW w:w="1626" w:type="dxa"/>
            <w:vAlign w:val="center"/>
          </w:tcPr>
          <w:p w:rsidR="008F2A54" w:rsidRPr="00A23FE8" w:rsidRDefault="008F2A54" w:rsidP="008F2A54">
            <w:pPr>
              <w:spacing w:line="480" w:lineRule="auto"/>
              <w:jc w:val="center"/>
              <w:rPr>
                <w:rFonts w:ascii="Times New Roman" w:hAnsi="Times New Roman" w:cs="Times New Roman"/>
                <w:b/>
                <w:sz w:val="24"/>
                <w:szCs w:val="24"/>
              </w:rPr>
            </w:pPr>
            <w:r w:rsidRPr="00A23FE8">
              <w:rPr>
                <w:rFonts w:ascii="Times New Roman" w:hAnsi="Times New Roman" w:cs="Times New Roman"/>
                <w:b/>
                <w:sz w:val="24"/>
                <w:szCs w:val="24"/>
              </w:rPr>
              <w:t>Ratio of Inhibition (R</w:t>
            </w:r>
            <w:r w:rsidRPr="00A23FE8">
              <w:rPr>
                <w:rFonts w:ascii="Times New Roman" w:hAnsi="Times New Roman" w:cs="Times New Roman"/>
                <w:b/>
                <w:sz w:val="24"/>
                <w:szCs w:val="24"/>
                <w:vertAlign w:val="subscript"/>
              </w:rPr>
              <w:t>I</w:t>
            </w:r>
            <w:r w:rsidRPr="00A23FE8">
              <w:rPr>
                <w:rFonts w:ascii="Times New Roman" w:hAnsi="Times New Roman" w:cs="Times New Roman"/>
                <w:b/>
                <w:sz w:val="24"/>
                <w:szCs w:val="24"/>
              </w:rPr>
              <w:t>)</w:t>
            </w:r>
          </w:p>
        </w:tc>
        <w:tc>
          <w:tcPr>
            <w:tcW w:w="892" w:type="dxa"/>
            <w:vAlign w:val="center"/>
          </w:tcPr>
          <w:p w:rsidR="008F2A54" w:rsidRPr="00A23FE8" w:rsidRDefault="008F2A54" w:rsidP="008F2A54">
            <w:pPr>
              <w:spacing w:line="480" w:lineRule="auto"/>
              <w:jc w:val="center"/>
              <w:rPr>
                <w:rFonts w:ascii="Times New Roman" w:hAnsi="Times New Roman" w:cs="Times New Roman"/>
                <w:b/>
                <w:sz w:val="24"/>
                <w:szCs w:val="24"/>
              </w:rPr>
            </w:pPr>
            <w:r w:rsidRPr="00A23FE8">
              <w:rPr>
                <w:rFonts w:ascii="Times New Roman" w:hAnsi="Times New Roman" w:cs="Times New Roman"/>
                <w:b/>
                <w:sz w:val="24"/>
                <w:szCs w:val="24"/>
              </w:rPr>
              <w:t>P value</w:t>
            </w:r>
          </w:p>
        </w:tc>
        <w:tc>
          <w:tcPr>
            <w:tcW w:w="1443" w:type="dxa"/>
            <w:vAlign w:val="center"/>
          </w:tcPr>
          <w:p w:rsidR="008F2A54" w:rsidRPr="00A23FE8" w:rsidRDefault="008F2A54" w:rsidP="008F2A54">
            <w:pPr>
              <w:spacing w:line="480" w:lineRule="auto"/>
              <w:jc w:val="center"/>
              <w:rPr>
                <w:rFonts w:ascii="Times New Roman" w:hAnsi="Times New Roman" w:cs="Times New Roman"/>
                <w:b/>
                <w:sz w:val="24"/>
                <w:szCs w:val="24"/>
              </w:rPr>
            </w:pPr>
            <w:r w:rsidRPr="00A23FE8">
              <w:rPr>
                <w:rFonts w:ascii="Times New Roman" w:hAnsi="Times New Roman" w:cs="Times New Roman"/>
                <w:b/>
                <w:sz w:val="24"/>
                <w:szCs w:val="24"/>
              </w:rPr>
              <w:t>Nature of interaction</w:t>
            </w:r>
          </w:p>
        </w:tc>
      </w:tr>
      <w:tr w:rsidR="008F2A54" w:rsidRPr="0080613A" w:rsidTr="008F2A54">
        <w:trPr>
          <w:trHeight w:val="635"/>
        </w:trPr>
        <w:tc>
          <w:tcPr>
            <w:tcW w:w="1980" w:type="dxa"/>
            <w:vMerge w:val="restart"/>
            <w:vAlign w:val="center"/>
          </w:tcPr>
          <w:p w:rsidR="008F2A54" w:rsidRPr="0080613A" w:rsidRDefault="008F2A54" w:rsidP="008F2A54">
            <w:pPr>
              <w:spacing w:line="480" w:lineRule="auto"/>
              <w:jc w:val="center"/>
              <w:rPr>
                <w:rFonts w:ascii="Times New Roman" w:hAnsi="Times New Roman" w:cs="Times New Roman"/>
                <w:sz w:val="24"/>
                <w:szCs w:val="24"/>
              </w:rPr>
            </w:pPr>
            <w:r w:rsidRPr="0080613A">
              <w:rPr>
                <w:rFonts w:ascii="Times New Roman" w:hAnsi="Times New Roman" w:cs="Times New Roman"/>
                <w:sz w:val="24"/>
                <w:szCs w:val="24"/>
              </w:rPr>
              <w:t>1</w:t>
            </w:r>
          </w:p>
        </w:tc>
        <w:tc>
          <w:tcPr>
            <w:tcW w:w="1843"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417"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44.29</w:t>
            </w:r>
          </w:p>
        </w:tc>
        <w:tc>
          <w:tcPr>
            <w:tcW w:w="1440"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50.5</w:t>
            </w:r>
          </w:p>
        </w:tc>
        <w:tc>
          <w:tcPr>
            <w:tcW w:w="1626"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0.88 ± 0.17</w:t>
            </w:r>
          </w:p>
        </w:tc>
        <w:tc>
          <w:tcPr>
            <w:tcW w:w="892" w:type="dxa"/>
            <w:vAlign w:val="center"/>
          </w:tcPr>
          <w:p w:rsidR="008F2A54" w:rsidRPr="0080613A" w:rsidRDefault="008F2A54" w:rsidP="008F2A54">
            <w:pPr>
              <w:spacing w:line="480" w:lineRule="auto"/>
              <w:jc w:val="center"/>
              <w:rPr>
                <w:rFonts w:ascii="Times New Roman" w:hAnsi="Times New Roman" w:cs="Times New Roman"/>
                <w:sz w:val="24"/>
                <w:szCs w:val="24"/>
              </w:rPr>
            </w:pPr>
            <w:r w:rsidRPr="0080613A">
              <w:rPr>
                <w:rFonts w:ascii="Times New Roman" w:hAnsi="Times New Roman" w:cs="Times New Roman"/>
                <w:sz w:val="24"/>
                <w:szCs w:val="24"/>
              </w:rPr>
              <w:t>&gt;0.05</w:t>
            </w:r>
          </w:p>
        </w:tc>
        <w:tc>
          <w:tcPr>
            <w:tcW w:w="1443" w:type="dxa"/>
            <w:vAlign w:val="center"/>
          </w:tcPr>
          <w:p w:rsidR="008F2A54" w:rsidRPr="0080613A" w:rsidRDefault="008F2A54" w:rsidP="008F2A54">
            <w:pPr>
              <w:spacing w:line="480" w:lineRule="auto"/>
              <w:jc w:val="center"/>
              <w:rPr>
                <w:rFonts w:ascii="Times New Roman" w:hAnsi="Times New Roman" w:cs="Times New Roman"/>
                <w:sz w:val="24"/>
                <w:szCs w:val="24"/>
              </w:rPr>
            </w:pPr>
            <w:r w:rsidRPr="0080613A">
              <w:rPr>
                <w:rFonts w:ascii="Times New Roman" w:hAnsi="Times New Roman" w:cs="Times New Roman"/>
                <w:sz w:val="24"/>
                <w:szCs w:val="24"/>
              </w:rPr>
              <w:t>Additive</w:t>
            </w:r>
          </w:p>
        </w:tc>
      </w:tr>
      <w:tr w:rsidR="008F2A54" w:rsidRPr="0080613A" w:rsidTr="008F2A54">
        <w:trPr>
          <w:trHeight w:val="615"/>
        </w:trPr>
        <w:tc>
          <w:tcPr>
            <w:tcW w:w="1980" w:type="dxa"/>
            <w:vMerge/>
            <w:vAlign w:val="center"/>
          </w:tcPr>
          <w:p w:rsidR="008F2A54" w:rsidRPr="0080613A" w:rsidRDefault="008F2A54" w:rsidP="008F2A54">
            <w:pPr>
              <w:spacing w:line="480" w:lineRule="auto"/>
              <w:jc w:val="center"/>
              <w:rPr>
                <w:rFonts w:ascii="Times New Roman" w:hAnsi="Times New Roman" w:cs="Times New Roman"/>
                <w:sz w:val="24"/>
                <w:szCs w:val="24"/>
              </w:rPr>
            </w:pPr>
          </w:p>
        </w:tc>
        <w:tc>
          <w:tcPr>
            <w:tcW w:w="1843"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56.04</w:t>
            </w:r>
          </w:p>
        </w:tc>
        <w:tc>
          <w:tcPr>
            <w:tcW w:w="1440"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60.45</w:t>
            </w:r>
          </w:p>
        </w:tc>
        <w:tc>
          <w:tcPr>
            <w:tcW w:w="1626"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0.93 ± 0.13</w:t>
            </w:r>
          </w:p>
        </w:tc>
        <w:tc>
          <w:tcPr>
            <w:tcW w:w="892" w:type="dxa"/>
            <w:vAlign w:val="center"/>
          </w:tcPr>
          <w:p w:rsidR="008F2A54" w:rsidRPr="0080613A" w:rsidRDefault="008F2A54" w:rsidP="008F2A54">
            <w:pPr>
              <w:spacing w:line="480" w:lineRule="auto"/>
              <w:jc w:val="center"/>
              <w:rPr>
                <w:rFonts w:ascii="Times New Roman" w:hAnsi="Times New Roman" w:cs="Times New Roman"/>
                <w:sz w:val="24"/>
                <w:szCs w:val="24"/>
              </w:rPr>
            </w:pPr>
            <w:r w:rsidRPr="0080613A">
              <w:rPr>
                <w:rFonts w:ascii="Times New Roman" w:hAnsi="Times New Roman" w:cs="Times New Roman"/>
                <w:sz w:val="24"/>
                <w:szCs w:val="24"/>
              </w:rPr>
              <w:t>&gt;0.05</w:t>
            </w:r>
          </w:p>
        </w:tc>
        <w:tc>
          <w:tcPr>
            <w:tcW w:w="1443" w:type="dxa"/>
            <w:vAlign w:val="center"/>
          </w:tcPr>
          <w:p w:rsidR="008F2A54" w:rsidRPr="0080613A" w:rsidRDefault="008F2A54" w:rsidP="008F2A54">
            <w:pPr>
              <w:spacing w:line="480" w:lineRule="auto"/>
              <w:jc w:val="center"/>
              <w:rPr>
                <w:rFonts w:ascii="Times New Roman" w:hAnsi="Times New Roman" w:cs="Times New Roman"/>
                <w:sz w:val="24"/>
                <w:szCs w:val="24"/>
              </w:rPr>
            </w:pPr>
            <w:r w:rsidRPr="0080613A">
              <w:rPr>
                <w:rFonts w:ascii="Times New Roman" w:hAnsi="Times New Roman" w:cs="Times New Roman"/>
                <w:sz w:val="24"/>
                <w:szCs w:val="24"/>
              </w:rPr>
              <w:t>Additive</w:t>
            </w:r>
          </w:p>
        </w:tc>
      </w:tr>
      <w:tr w:rsidR="008F2A54" w:rsidRPr="0080613A" w:rsidTr="008F2A54">
        <w:trPr>
          <w:trHeight w:val="599"/>
        </w:trPr>
        <w:tc>
          <w:tcPr>
            <w:tcW w:w="1980" w:type="dxa"/>
            <w:vMerge/>
            <w:vAlign w:val="center"/>
          </w:tcPr>
          <w:p w:rsidR="008F2A54" w:rsidRPr="0080613A" w:rsidRDefault="008F2A54" w:rsidP="008F2A54">
            <w:pPr>
              <w:spacing w:line="480" w:lineRule="auto"/>
              <w:jc w:val="center"/>
              <w:rPr>
                <w:rFonts w:ascii="Times New Roman" w:hAnsi="Times New Roman" w:cs="Times New Roman"/>
                <w:sz w:val="24"/>
                <w:szCs w:val="24"/>
              </w:rPr>
            </w:pPr>
          </w:p>
        </w:tc>
        <w:tc>
          <w:tcPr>
            <w:tcW w:w="1843"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417"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73.72</w:t>
            </w:r>
          </w:p>
        </w:tc>
        <w:tc>
          <w:tcPr>
            <w:tcW w:w="1440"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81.78</w:t>
            </w:r>
          </w:p>
        </w:tc>
        <w:tc>
          <w:tcPr>
            <w:tcW w:w="1626" w:type="dxa"/>
            <w:vAlign w:val="center"/>
          </w:tcPr>
          <w:p w:rsidR="008F2A54" w:rsidRPr="0080613A" w:rsidRDefault="008F2A54" w:rsidP="008F2A54">
            <w:pPr>
              <w:spacing w:line="480" w:lineRule="auto"/>
              <w:jc w:val="center"/>
              <w:rPr>
                <w:rFonts w:ascii="Times New Roman" w:hAnsi="Times New Roman" w:cs="Times New Roman"/>
                <w:sz w:val="24"/>
                <w:szCs w:val="24"/>
              </w:rPr>
            </w:pPr>
            <w:r>
              <w:rPr>
                <w:rFonts w:ascii="Times New Roman" w:hAnsi="Times New Roman" w:cs="Times New Roman"/>
                <w:sz w:val="24"/>
                <w:szCs w:val="24"/>
              </w:rPr>
              <w:t>0.90 ± 0.06</w:t>
            </w:r>
          </w:p>
        </w:tc>
        <w:tc>
          <w:tcPr>
            <w:tcW w:w="892" w:type="dxa"/>
            <w:vAlign w:val="center"/>
          </w:tcPr>
          <w:p w:rsidR="008F2A54" w:rsidRPr="0080613A" w:rsidRDefault="008F2A54" w:rsidP="008F2A54">
            <w:pPr>
              <w:spacing w:line="480" w:lineRule="auto"/>
              <w:jc w:val="center"/>
              <w:rPr>
                <w:rFonts w:ascii="Times New Roman" w:hAnsi="Times New Roman" w:cs="Times New Roman"/>
                <w:sz w:val="24"/>
                <w:szCs w:val="24"/>
              </w:rPr>
            </w:pPr>
            <w:r w:rsidRPr="0080613A">
              <w:rPr>
                <w:rFonts w:ascii="Times New Roman" w:hAnsi="Times New Roman" w:cs="Times New Roman"/>
                <w:sz w:val="24"/>
                <w:szCs w:val="24"/>
              </w:rPr>
              <w:t>&gt;0.05</w:t>
            </w:r>
          </w:p>
        </w:tc>
        <w:tc>
          <w:tcPr>
            <w:tcW w:w="1443" w:type="dxa"/>
            <w:vAlign w:val="center"/>
          </w:tcPr>
          <w:p w:rsidR="008F2A54" w:rsidRPr="0080613A" w:rsidRDefault="008F2A54" w:rsidP="008F2A54">
            <w:pPr>
              <w:spacing w:line="480" w:lineRule="auto"/>
              <w:jc w:val="center"/>
              <w:rPr>
                <w:rFonts w:ascii="Times New Roman" w:hAnsi="Times New Roman" w:cs="Times New Roman"/>
                <w:sz w:val="24"/>
                <w:szCs w:val="24"/>
              </w:rPr>
            </w:pPr>
            <w:r w:rsidRPr="0080613A">
              <w:rPr>
                <w:rFonts w:ascii="Times New Roman" w:hAnsi="Times New Roman" w:cs="Times New Roman"/>
                <w:sz w:val="24"/>
                <w:szCs w:val="24"/>
              </w:rPr>
              <w:t>Additive</w:t>
            </w:r>
          </w:p>
        </w:tc>
      </w:tr>
    </w:tbl>
    <w:p w:rsidR="00035B0B" w:rsidRDefault="00035B0B" w:rsidP="00035B0B">
      <w:pPr>
        <w:jc w:val="both"/>
        <w:rPr>
          <w:rStyle w:val="Hyperlink"/>
          <w:rFonts w:ascii="Times New Roman" w:hAnsi="Times New Roman" w:cs="Times New Roman"/>
          <w:color w:val="auto"/>
          <w:sz w:val="24"/>
          <w:szCs w:val="24"/>
          <w:u w:val="none"/>
        </w:rPr>
      </w:pPr>
    </w:p>
    <w:p w:rsidR="00035B0B" w:rsidRDefault="00035B0B" w:rsidP="00035B0B">
      <w:pPr>
        <w:jc w:val="both"/>
        <w:rPr>
          <w:rStyle w:val="Hyperlink"/>
          <w:rFonts w:ascii="Times New Roman" w:hAnsi="Times New Roman" w:cs="Times New Roman"/>
          <w:color w:val="auto"/>
          <w:sz w:val="24"/>
          <w:szCs w:val="24"/>
          <w:u w:val="none"/>
        </w:rPr>
      </w:pPr>
    </w:p>
    <w:p w:rsidR="00C313B1" w:rsidRDefault="00C313B1" w:rsidP="001768F5">
      <w:pPr>
        <w:rPr>
          <w:rStyle w:val="Hyperlink"/>
          <w:rFonts w:ascii="Times New Roman" w:hAnsi="Times New Roman" w:cs="Times New Roman"/>
          <w:color w:val="auto"/>
          <w:sz w:val="24"/>
          <w:szCs w:val="24"/>
          <w:u w:val="none"/>
        </w:rPr>
      </w:pPr>
    </w:p>
    <w:p w:rsidR="001341FB" w:rsidRDefault="001341FB" w:rsidP="001768F5">
      <w:pPr>
        <w:rPr>
          <w:rFonts w:ascii="Times New Roman" w:hAnsi="Times New Roman" w:cs="Times New Roman"/>
          <w:sz w:val="24"/>
          <w:szCs w:val="24"/>
        </w:rPr>
      </w:pPr>
    </w:p>
    <w:p w:rsidR="002E0434" w:rsidRDefault="002E0434">
      <w:pPr>
        <w:rPr>
          <w:rFonts w:ascii="Times New Roman" w:hAnsi="Times New Roman" w:cs="Times New Roman"/>
          <w:b/>
          <w:sz w:val="24"/>
          <w:szCs w:val="24"/>
        </w:rPr>
      </w:pPr>
      <w:r>
        <w:rPr>
          <w:rFonts w:ascii="Times New Roman" w:hAnsi="Times New Roman" w:cs="Times New Roman"/>
          <w:b/>
          <w:sz w:val="24"/>
          <w:szCs w:val="24"/>
        </w:rPr>
        <w:br w:type="page"/>
      </w:r>
    </w:p>
    <w:p w:rsidR="001341FB" w:rsidRPr="00F512D9" w:rsidRDefault="00F512D9" w:rsidP="001768F5">
      <w:pPr>
        <w:rPr>
          <w:rFonts w:ascii="Times New Roman" w:hAnsi="Times New Roman" w:cs="Times New Roman"/>
          <w:b/>
          <w:sz w:val="24"/>
          <w:szCs w:val="24"/>
        </w:rPr>
      </w:pPr>
      <w:r w:rsidRPr="00F512D9">
        <w:rPr>
          <w:rFonts w:ascii="Times New Roman" w:hAnsi="Times New Roman" w:cs="Times New Roman"/>
          <w:b/>
          <w:sz w:val="24"/>
          <w:szCs w:val="24"/>
        </w:rPr>
        <w:lastRenderedPageBreak/>
        <w:t>References</w:t>
      </w:r>
    </w:p>
    <w:p w:rsidR="00EC0B85" w:rsidRPr="008F2A54" w:rsidRDefault="001341FB" w:rsidP="008F2A54">
      <w:pPr>
        <w:pStyle w:val="EndNoteBibliography"/>
        <w:spacing w:after="0" w:line="480" w:lineRule="auto"/>
        <w:jc w:val="both"/>
        <w:rPr>
          <w:rFonts w:ascii="Times New Roman" w:hAnsi="Times New Roman" w:cs="Times New Roman"/>
        </w:rPr>
      </w:pPr>
      <w:r w:rsidRPr="008F2A54">
        <w:rPr>
          <w:rFonts w:ascii="Times New Roman" w:hAnsi="Times New Roman" w:cs="Times New Roman"/>
          <w:sz w:val="24"/>
          <w:szCs w:val="24"/>
        </w:rPr>
        <w:fldChar w:fldCharType="begin"/>
      </w:r>
      <w:r w:rsidRPr="008F2A54">
        <w:rPr>
          <w:rFonts w:ascii="Times New Roman" w:hAnsi="Times New Roman" w:cs="Times New Roman"/>
          <w:sz w:val="24"/>
          <w:szCs w:val="24"/>
        </w:rPr>
        <w:instrText xml:space="preserve"> ADDIN EN.REFLIST </w:instrText>
      </w:r>
      <w:r w:rsidRPr="008F2A54">
        <w:rPr>
          <w:rFonts w:ascii="Times New Roman" w:hAnsi="Times New Roman" w:cs="Times New Roman"/>
          <w:sz w:val="24"/>
          <w:szCs w:val="24"/>
        </w:rPr>
        <w:fldChar w:fldCharType="separate"/>
      </w:r>
      <w:r w:rsidR="00EC0B85" w:rsidRPr="008F2A54">
        <w:rPr>
          <w:rFonts w:ascii="Times New Roman" w:hAnsi="Times New Roman" w:cs="Times New Roman"/>
        </w:rPr>
        <w:t>1.</w:t>
      </w:r>
      <w:r w:rsidR="00EC0B85" w:rsidRPr="008F2A54">
        <w:rPr>
          <w:rFonts w:ascii="Times New Roman" w:hAnsi="Times New Roman" w:cs="Times New Roman"/>
        </w:rPr>
        <w:tab/>
        <w:t>Giri S, Mukherjee A. Ageing with algal EPS reduces the toxic effects of polystyrene nanoplastics in freshwater microalgae Scenedesmus obliquus. Journal of Environmental Chemical Engineering. 2021;9(5):105978.</w:t>
      </w:r>
    </w:p>
    <w:p w:rsidR="00EC0B85" w:rsidRPr="008F2A54" w:rsidRDefault="00EC0B85" w:rsidP="008F2A54">
      <w:pPr>
        <w:pStyle w:val="EndNoteBibliography"/>
        <w:spacing w:after="0" w:line="480" w:lineRule="auto"/>
        <w:jc w:val="both"/>
        <w:rPr>
          <w:rFonts w:ascii="Times New Roman" w:hAnsi="Times New Roman" w:cs="Times New Roman"/>
        </w:rPr>
      </w:pPr>
      <w:r w:rsidRPr="008F2A54">
        <w:rPr>
          <w:rFonts w:ascii="Times New Roman" w:hAnsi="Times New Roman" w:cs="Times New Roman"/>
        </w:rPr>
        <w:t>2.</w:t>
      </w:r>
      <w:r w:rsidRPr="008F2A54">
        <w:rPr>
          <w:rFonts w:ascii="Times New Roman" w:hAnsi="Times New Roman" w:cs="Times New Roman"/>
        </w:rPr>
        <w:tab/>
        <w:t>Natarajan L, Jenifer MA, Chandrasekaran N, Suraishkumar G, Mukherjee A. Polystyrene nanoplastics diminish the toxic effects of Nano-TiO2 in marine algae Chlorella sp. Environmental Research. 2022;204:112400.</w:t>
      </w:r>
    </w:p>
    <w:p w:rsidR="00EC0B85" w:rsidRPr="008F2A54" w:rsidRDefault="00EC0B85" w:rsidP="008F2A54">
      <w:pPr>
        <w:pStyle w:val="EndNoteBibliography"/>
        <w:spacing w:after="0" w:line="480" w:lineRule="auto"/>
        <w:jc w:val="both"/>
        <w:rPr>
          <w:rFonts w:ascii="Times New Roman" w:hAnsi="Times New Roman" w:cs="Times New Roman"/>
        </w:rPr>
      </w:pPr>
      <w:r w:rsidRPr="008F2A54">
        <w:rPr>
          <w:rFonts w:ascii="Times New Roman" w:hAnsi="Times New Roman" w:cs="Times New Roman"/>
        </w:rPr>
        <w:t>3.</w:t>
      </w:r>
      <w:r w:rsidRPr="008F2A54">
        <w:rPr>
          <w:rFonts w:ascii="Times New Roman" w:hAnsi="Times New Roman" w:cs="Times New Roman"/>
        </w:rPr>
        <w:tab/>
        <w:t>Romanowska-Duda Z, Grzesik M, Janas R. Maximal efficiency of PSII as a marker of sorghum development fertilized with waste from a biomass biodigestion to methane. Frontiers in Plant Science. 2019;9:1920.</w:t>
      </w:r>
    </w:p>
    <w:p w:rsidR="00EC0B85" w:rsidRPr="008F2A54" w:rsidRDefault="00EC0B85" w:rsidP="008F2A54">
      <w:pPr>
        <w:pStyle w:val="EndNoteBibliography"/>
        <w:spacing w:after="0" w:line="480" w:lineRule="auto"/>
        <w:jc w:val="both"/>
        <w:rPr>
          <w:rFonts w:ascii="Times New Roman" w:hAnsi="Times New Roman" w:cs="Times New Roman"/>
        </w:rPr>
      </w:pPr>
      <w:r w:rsidRPr="008F2A54">
        <w:rPr>
          <w:rFonts w:ascii="Times New Roman" w:hAnsi="Times New Roman" w:cs="Times New Roman"/>
        </w:rPr>
        <w:t>4.</w:t>
      </w:r>
      <w:r w:rsidRPr="008F2A54">
        <w:rPr>
          <w:rFonts w:ascii="Times New Roman" w:hAnsi="Times New Roman" w:cs="Times New Roman"/>
        </w:rPr>
        <w:tab/>
        <w:t>Kono Y. Generation of Superoxide Radical during Autoxidation of Hydroxylamine and an Assay for Superoxide Dismutase 1978.</w:t>
      </w:r>
    </w:p>
    <w:p w:rsidR="00EC0B85" w:rsidRPr="008F2A54" w:rsidRDefault="00EC0B85" w:rsidP="008F2A54">
      <w:pPr>
        <w:pStyle w:val="EndNoteBibliography"/>
        <w:spacing w:after="0" w:line="480" w:lineRule="auto"/>
        <w:jc w:val="both"/>
        <w:rPr>
          <w:rFonts w:ascii="Times New Roman" w:hAnsi="Times New Roman" w:cs="Times New Roman"/>
        </w:rPr>
      </w:pPr>
      <w:r w:rsidRPr="008F2A54">
        <w:rPr>
          <w:rFonts w:ascii="Times New Roman" w:hAnsi="Times New Roman" w:cs="Times New Roman"/>
        </w:rPr>
        <w:t>5.</w:t>
      </w:r>
      <w:r w:rsidRPr="008F2A54">
        <w:rPr>
          <w:rFonts w:ascii="Times New Roman" w:hAnsi="Times New Roman" w:cs="Times New Roman"/>
        </w:rPr>
        <w:tab/>
        <w:t>Abbott WS. A method of computing the effectiveness of an insecticide. J econ Entomol. 1925;18(2):265-7.</w:t>
      </w:r>
    </w:p>
    <w:p w:rsidR="00EC0B85" w:rsidRPr="008F2A54" w:rsidRDefault="00EC0B85" w:rsidP="008F2A54">
      <w:pPr>
        <w:pStyle w:val="EndNoteBibliography"/>
        <w:spacing w:line="480" w:lineRule="auto"/>
        <w:jc w:val="both"/>
        <w:rPr>
          <w:rFonts w:ascii="Times New Roman" w:hAnsi="Times New Roman" w:cs="Times New Roman"/>
        </w:rPr>
      </w:pPr>
      <w:r w:rsidRPr="008F2A54">
        <w:rPr>
          <w:rFonts w:ascii="Times New Roman" w:hAnsi="Times New Roman" w:cs="Times New Roman"/>
        </w:rPr>
        <w:t>6.</w:t>
      </w:r>
      <w:r w:rsidRPr="008F2A54">
        <w:rPr>
          <w:rFonts w:ascii="Times New Roman" w:hAnsi="Times New Roman" w:cs="Times New Roman"/>
        </w:rPr>
        <w:tab/>
        <w:t>Zhu Z-l, Wang S-c, Zhao F-f, Wang S-g, Liu F-f, Liu G-z. Joint toxicity of microplastics with triclosan to marine microalgae Skeletonema costatum. Environmental pollution. 2019;246:509-17.</w:t>
      </w:r>
    </w:p>
    <w:p w:rsidR="00DB0692" w:rsidRPr="00E87C83" w:rsidRDefault="001341FB" w:rsidP="008F2A54">
      <w:pPr>
        <w:spacing w:line="480" w:lineRule="auto"/>
        <w:jc w:val="both"/>
        <w:rPr>
          <w:rFonts w:ascii="Times New Roman" w:hAnsi="Times New Roman" w:cs="Times New Roman"/>
          <w:sz w:val="24"/>
          <w:szCs w:val="24"/>
        </w:rPr>
      </w:pPr>
      <w:r w:rsidRPr="008F2A54">
        <w:rPr>
          <w:rFonts w:ascii="Times New Roman" w:hAnsi="Times New Roman" w:cs="Times New Roman"/>
          <w:sz w:val="24"/>
          <w:szCs w:val="24"/>
        </w:rPr>
        <w:fldChar w:fldCharType="end"/>
      </w:r>
    </w:p>
    <w:sectPr w:rsidR="00DB0692" w:rsidRPr="00E87C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WwNDS3NDQ2MLY0MTFS0lEKTi0uzszPAykwrgUA7nV/g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v20rsr6fzevhewptu52zavxv5vzewxrtfa&quot;&gt;My EndNote Library&lt;record-ids&gt;&lt;item&gt;61&lt;/item&gt;&lt;item&gt;109&lt;/item&gt;&lt;item&gt;206&lt;/item&gt;&lt;item&gt;593&lt;/item&gt;&lt;item&gt;635&lt;/item&gt;&lt;item&gt;1009&lt;/item&gt;&lt;/record-ids&gt;&lt;/item&gt;&lt;/Libraries&gt;"/>
  </w:docVars>
  <w:rsids>
    <w:rsidRoot w:val="00BC0B46"/>
    <w:rsid w:val="00021CA1"/>
    <w:rsid w:val="00035B0B"/>
    <w:rsid w:val="000716AD"/>
    <w:rsid w:val="000762AF"/>
    <w:rsid w:val="000C632C"/>
    <w:rsid w:val="000F4E04"/>
    <w:rsid w:val="00116E3B"/>
    <w:rsid w:val="001341FB"/>
    <w:rsid w:val="001768F5"/>
    <w:rsid w:val="001B27C8"/>
    <w:rsid w:val="00246FD0"/>
    <w:rsid w:val="00263F69"/>
    <w:rsid w:val="002E0434"/>
    <w:rsid w:val="002F6F79"/>
    <w:rsid w:val="004604A3"/>
    <w:rsid w:val="004A155B"/>
    <w:rsid w:val="004C2BFC"/>
    <w:rsid w:val="005A46B3"/>
    <w:rsid w:val="006344E8"/>
    <w:rsid w:val="006F2031"/>
    <w:rsid w:val="00727730"/>
    <w:rsid w:val="00892AF3"/>
    <w:rsid w:val="008F2A54"/>
    <w:rsid w:val="009300AA"/>
    <w:rsid w:val="009459BC"/>
    <w:rsid w:val="00961968"/>
    <w:rsid w:val="00961BAA"/>
    <w:rsid w:val="00984A3C"/>
    <w:rsid w:val="00A23FE8"/>
    <w:rsid w:val="00B07A57"/>
    <w:rsid w:val="00B251A9"/>
    <w:rsid w:val="00B42FD8"/>
    <w:rsid w:val="00BC0B46"/>
    <w:rsid w:val="00C313B1"/>
    <w:rsid w:val="00C57EEC"/>
    <w:rsid w:val="00CB5F1B"/>
    <w:rsid w:val="00DA7ECB"/>
    <w:rsid w:val="00DB0692"/>
    <w:rsid w:val="00DE3F86"/>
    <w:rsid w:val="00E45CD2"/>
    <w:rsid w:val="00E87C83"/>
    <w:rsid w:val="00EC0B85"/>
    <w:rsid w:val="00F030A0"/>
    <w:rsid w:val="00F47DC3"/>
    <w:rsid w:val="00F512D9"/>
    <w:rsid w:val="00FE28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6E6211-0367-47D9-83F5-ACC75F41D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8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8F5"/>
    <w:rPr>
      <w:color w:val="0563C1" w:themeColor="hyperlink"/>
      <w:u w:val="single"/>
    </w:rPr>
  </w:style>
  <w:style w:type="paragraph" w:customStyle="1" w:styleId="EndNoteBibliographyTitle">
    <w:name w:val="EndNote Bibliography Title"/>
    <w:basedOn w:val="Normal"/>
    <w:link w:val="EndNoteBibliographyTitleChar"/>
    <w:rsid w:val="001341F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341FB"/>
    <w:rPr>
      <w:rFonts w:ascii="Calibri" w:hAnsi="Calibri" w:cs="Calibri"/>
      <w:noProof/>
      <w:lang w:val="en-US"/>
    </w:rPr>
  </w:style>
  <w:style w:type="paragraph" w:customStyle="1" w:styleId="EndNoteBibliography">
    <w:name w:val="EndNote Bibliography"/>
    <w:basedOn w:val="Normal"/>
    <w:link w:val="EndNoteBibliographyChar"/>
    <w:rsid w:val="001341F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341FB"/>
    <w:rPr>
      <w:rFonts w:ascii="Calibri" w:hAnsi="Calibri" w:cs="Calibri"/>
      <w:noProof/>
      <w:lang w:val="en-US"/>
    </w:rPr>
  </w:style>
  <w:style w:type="table" w:styleId="TableGrid">
    <w:name w:val="Table Grid"/>
    <w:basedOn w:val="TableNormal"/>
    <w:uiPriority w:val="39"/>
    <w:rsid w:val="00035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88613">
      <w:bodyDiv w:val="1"/>
      <w:marLeft w:val="0"/>
      <w:marRight w:val="0"/>
      <w:marTop w:val="0"/>
      <w:marBottom w:val="0"/>
      <w:divBdr>
        <w:top w:val="none" w:sz="0" w:space="0" w:color="auto"/>
        <w:left w:val="none" w:sz="0" w:space="0" w:color="auto"/>
        <w:bottom w:val="none" w:sz="0" w:space="0" w:color="auto"/>
        <w:right w:val="none" w:sz="0" w:space="0" w:color="auto"/>
      </w:divBdr>
    </w:div>
    <w:div w:id="447285172">
      <w:bodyDiv w:val="1"/>
      <w:marLeft w:val="0"/>
      <w:marRight w:val="0"/>
      <w:marTop w:val="0"/>
      <w:marBottom w:val="0"/>
      <w:divBdr>
        <w:top w:val="none" w:sz="0" w:space="0" w:color="auto"/>
        <w:left w:val="none" w:sz="0" w:space="0" w:color="auto"/>
        <w:bottom w:val="none" w:sz="0" w:space="0" w:color="auto"/>
        <w:right w:val="none" w:sz="0" w:space="0" w:color="auto"/>
      </w:divBdr>
    </w:div>
    <w:div w:id="144627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hyperlink" Target="mailto:amitav@vit.ac.in" TargetMode="External"/><Relationship Id="rId4" Type="http://schemas.openxmlformats.org/officeDocument/2006/relationships/hyperlink" Target="mailto:amit.mookerjea@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753</TotalTime>
  <Pages>7</Pages>
  <Words>1936</Words>
  <Characters>11040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Soupam Das</dc:creator>
  <cp:keywords/>
  <dc:description/>
  <cp:lastModifiedBy>Soupam Das</cp:lastModifiedBy>
  <cp:revision>31</cp:revision>
  <dcterms:created xsi:type="dcterms:W3CDTF">2024-03-16T19:43:00Z</dcterms:created>
  <dcterms:modified xsi:type="dcterms:W3CDTF">2024-03-28T06:48:00Z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99a7bb73f2aaa60564e3887d23a2e175bad52f73bcc2c2905ae6591738a223b8</vt:lpwstr>
  </property>
</Properties>
</file>