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480" w:lineRule="auto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Achieving Record External Quantum Efficiency of 10.14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%</w:t>
      </w:r>
      <w:r>
        <w:rPr>
          <w:rFonts w:ascii="Times New Roman" w:eastAsia="MS Mincho" w:hAnsi="Times New Roman" w:cs="Times New Roman" w:hint="eastAsia"/>
          <w:b/>
          <w:bCs/>
          <w:kern w:val="0"/>
          <w:sz w:val="24"/>
          <w:szCs w:val="24"/>
          <w:lang w:val="de-DE" w:eastAsia="ja-JP"/>
        </w:rPr>
        <w:t xml:space="preserve">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 xml:space="preserve">in Non-Doped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 xml:space="preserve">Single-Emissive-Layer White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Organic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 xml:space="preserve"> Light-Emitting Diodes</w:t>
      </w:r>
      <w:r>
        <w:rPr>
          <w:rFonts w:ascii="Times New Roman" w:eastAsia="MS Mincho" w:hAnsi="Times New Roman" w:cs="Times New Roman" w:hint="eastAsia"/>
          <w:b/>
          <w:bCs/>
          <w:kern w:val="0"/>
          <w:sz w:val="24"/>
          <w:szCs w:val="24"/>
          <w:lang w:eastAsia="ja-JP"/>
        </w:rPr>
        <w:t xml:space="preserve"> Utilizing Hot Exciton Mechanism</w:t>
      </w:r>
      <w:bookmarkStart w:id="0" w:name="_GoBack"/>
      <w:bookmarkEnd w:id="0"/>
    </w:p>
    <w:p>
      <w:pPr>
        <w:spacing w:line="480" w:lineRule="auto"/>
      </w:pPr>
    </w:p>
    <w:p>
      <w:pPr>
        <w:pStyle w:val="Addresses"/>
        <w:spacing w:line="480" w:lineRule="auto"/>
        <w:jc w:val="both"/>
        <w:rPr>
          <w:bCs/>
        </w:rPr>
      </w:pPr>
      <w:r>
        <w:rPr>
          <w:bCs/>
        </w:rPr>
        <w:t>Futong Liu</w:t>
      </w:r>
      <w:r>
        <w:rPr>
          <w:bCs/>
          <w:vertAlign w:val="superscript"/>
        </w:rPr>
        <w:t>1</w:t>
      </w:r>
      <w:r>
        <w:rPr>
          <w:bCs/>
        </w:rPr>
        <w:t>, Hui Liu</w:t>
      </w:r>
      <w:r>
        <w:rPr>
          <w:bCs/>
          <w:vertAlign w:val="superscript"/>
        </w:rPr>
        <w:t>1</w:t>
      </w:r>
      <w:r>
        <w:rPr>
          <w:bCs/>
        </w:rPr>
        <w:t>, Yichao Chen</w:t>
      </w:r>
      <w:r>
        <w:rPr>
          <w:bCs/>
          <w:vertAlign w:val="superscript"/>
        </w:rPr>
        <w:t>2</w:t>
      </w:r>
      <w:r>
        <w:rPr>
          <w:bCs/>
        </w:rPr>
        <w:t>, Xin He</w:t>
      </w:r>
      <w:r>
        <w:rPr>
          <w:bCs/>
          <w:vertAlign w:val="superscript"/>
        </w:rPr>
        <w:t>2</w:t>
      </w:r>
      <w:r>
        <w:rPr>
          <w:bCs/>
        </w:rPr>
        <w:t>, Zhuang Cheng</w:t>
      </w:r>
      <w:r>
        <w:rPr>
          <w:bCs/>
          <w:vertAlign w:val="superscript"/>
        </w:rPr>
        <w:t>1</w:t>
      </w:r>
      <w:r>
        <w:rPr>
          <w:bCs/>
        </w:rPr>
        <w:t>, Xiaobo Ma</w:t>
      </w:r>
      <w:r>
        <w:rPr>
          <w:bCs/>
          <w:vertAlign w:val="superscript"/>
        </w:rPr>
        <w:t>1</w:t>
      </w:r>
      <w:r>
        <w:rPr>
          <w:bCs/>
        </w:rPr>
        <w:t xml:space="preserve"> Xianfeng Qiao</w:t>
      </w:r>
      <w:r>
        <w:rPr>
          <w:bCs/>
          <w:vertAlign w:val="superscript"/>
        </w:rPr>
        <w:t>2*</w:t>
      </w:r>
      <w:r>
        <w:rPr>
          <w:bCs/>
        </w:rPr>
        <w:t>, Dongge Ma</w:t>
      </w:r>
      <w:r>
        <w:rPr>
          <w:bCs/>
          <w:vertAlign w:val="superscript"/>
        </w:rPr>
        <w:t>2</w:t>
      </w:r>
      <w:r>
        <w:rPr>
          <w:bCs/>
        </w:rPr>
        <w:t>, and Ping Lu</w:t>
      </w:r>
      <w:r>
        <w:rPr>
          <w:bCs/>
          <w:vertAlign w:val="superscript"/>
        </w:rPr>
        <w:t>1*</w:t>
      </w:r>
    </w:p>
    <w:p>
      <w:pPr>
        <w:pStyle w:val="Addresses"/>
        <w:spacing w:line="480" w:lineRule="auto"/>
        <w:jc w:val="both"/>
        <w:rPr>
          <w:bCs/>
        </w:rPr>
      </w:pPr>
    </w:p>
    <w:p>
      <w:pPr>
        <w:pStyle w:val="Addresses"/>
        <w:spacing w:line="480" w:lineRule="auto"/>
        <w:jc w:val="both"/>
        <w:rPr>
          <w:bCs/>
        </w:rPr>
      </w:pPr>
      <w:r>
        <w:rPr>
          <w:bCs/>
          <w:vertAlign w:val="superscript"/>
        </w:rPr>
        <w:t>1</w:t>
      </w:r>
      <w:r>
        <w:rPr>
          <w:bCs/>
        </w:rPr>
        <w:t>State Key Laboratory of Supramolecular Structure and Materials, Department of Chemistry, Jilin University, Changchun, 130012, P. R. China</w:t>
      </w:r>
    </w:p>
    <w:p>
      <w:pPr>
        <w:pStyle w:val="Addresses"/>
        <w:spacing w:line="480" w:lineRule="auto"/>
        <w:jc w:val="both"/>
        <w:rPr>
          <w:bCs/>
        </w:rPr>
      </w:pPr>
      <w:r>
        <w:rPr>
          <w:bCs/>
          <w:vertAlign w:val="superscript"/>
        </w:rPr>
        <w:t>2</w:t>
      </w:r>
      <w:r>
        <w:rPr>
          <w:bCs/>
        </w:rPr>
        <w:t>State Key Laboratory of Luminescent Materials and Devices, South China University of Technology, Guangzhou, 510640, P. R. China</w:t>
      </w:r>
    </w:p>
    <w:p>
      <w:pPr>
        <w:pStyle w:val="Addresses"/>
        <w:spacing w:line="480" w:lineRule="auto"/>
        <w:rPr>
          <w:bCs/>
        </w:rPr>
      </w:pPr>
      <w:r>
        <w:rPr>
          <w:bCs/>
        </w:rPr>
        <w:t xml:space="preserve">Correspondence: Xianfeng Qiao </w:t>
      </w:r>
      <w:r>
        <w:rPr>
          <w:rFonts w:eastAsiaTheme="minorEastAsia" w:hint="eastAsia"/>
          <w:bCs/>
          <w:lang w:eastAsia="zh-CN"/>
        </w:rPr>
        <w:t>(</w:t>
      </w:r>
      <w:r>
        <w:rPr>
          <w:bCs/>
        </w:rPr>
        <w:t>msxqiao@scut.edu.cn</w:t>
      </w:r>
      <w:r>
        <w:rPr>
          <w:rFonts w:eastAsiaTheme="minorEastAsia"/>
          <w:bCs/>
          <w:lang w:eastAsia="zh-CN"/>
        </w:rPr>
        <w:t>)</w:t>
      </w:r>
      <w:r>
        <w:rPr>
          <w:bCs/>
        </w:rPr>
        <w:t>; Ping Lu (lup@jlu.edu.cn)</w:t>
      </w:r>
    </w:p>
    <w:p>
      <w:pPr>
        <w:spacing w:line="480" w:lineRule="auto"/>
      </w:pPr>
    </w:p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Methods</w:t>
      </w:r>
    </w:p>
    <w:p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General measurements</w:t>
      </w:r>
    </w:p>
    <w:p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the reagents and solvents were used as received without further purification.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and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 NMR were recorded by Bruker AVANCE 500 spectrometer at 500 MHz or 125 MHz with tetramethylsilane (TMS) as the internal standard and CD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or CDCl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as solvent. Elemental analysis was carried out on a Flash EA 1112, CHNSO elemental analysis instrument. MALDI-TOF-MS mass spectra were obtained from an AXIMA-CFRTM plus instrument. Thermal gravimetric analysis (TGA) was performed on a Perkin-Elmer thermal analysis system from 30 °C to 900 °C. Differential scanning </w:t>
      </w:r>
      <w:r>
        <w:rPr>
          <w:rFonts w:ascii="Times New Roman" w:hAnsi="Times New Roman" w:cs="Times New Roman"/>
          <w:sz w:val="24"/>
          <w:szCs w:val="24"/>
        </w:rPr>
        <w:lastRenderedPageBreak/>
        <w:t>calorimetry (DSC) was measured by NETZSCH (DSC-204) unit from 30 °C to 400 °C. Cyclic voltammetry (CV) were measured by using BAS 100B/W electrochemical analyzer with standard one-compartment, three-electrode electrochemical cell. The working electrode was a glass-carbon disk electrode. The counter electrode was a Pt wire. The reference electrode was Ag/Ag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. Ferrocenium/ferrocene (Fc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/Fc) redox couple was used as the internal standard and the formal potential of Fc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/Fc is 4.8 eV below vacuum. All potentials relative to Ag/Ag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electrode obtained from CV measurement were eventually referenced against Fc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/Fc to calculate HOMO/LUMO levels. As a result, the Ag/Ag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electrode is just a pseudo reference. The HOMO/LUMO levels are calculated according to the following formalism: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HOMO = - (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bscript"/>
        </w:rPr>
        <w:t>ox</w:t>
      </w:r>
      <w:r>
        <w:rPr>
          <w:rFonts w:ascii="Times New Roman" w:hAnsi="Times New Roman" w:cs="Times New Roman"/>
          <w:sz w:val="24"/>
          <w:szCs w:val="24"/>
        </w:rPr>
        <w:t xml:space="preserve"> vs. Fc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/Fc + 4.8) eV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LUMO = - (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bscript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 vs. Fc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/Fc + 4.8) eV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the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bscript"/>
        </w:rPr>
        <w:t>ox</w:t>
      </w:r>
      <w:r>
        <w:rPr>
          <w:rFonts w:ascii="Times New Roman" w:hAnsi="Times New Roman" w:cs="Times New Roman"/>
          <w:sz w:val="24"/>
          <w:szCs w:val="24"/>
        </w:rPr>
        <w:t xml:space="preserve"> vs. Fc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/Fc and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bscript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 vs. Fc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/Fc are oxidation and reduction onset potentials relative to Fc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/Fc reference, respectively. UV-vis and fluorescence spectra were recorded on a Shimadzu UV-3100 spectrophotometer using 1 cm path length quartz cells. The fluorescence lifetime and photoluminescence quantum efficiency (PLQY) of solid film were measured by FLS920 Spectrometer. The PLQY of different solutions were determined by using 0.1 M quinoline sulfate as a reference (PLQY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0.546) and were calculated by using the following formula: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3314" w:dyaOrig="8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3pt;height:43.2pt" o:ole="">
            <v:imagedata r:id="rId7" o:title=""/>
          </v:shape>
          <o:OLEObject Type="Embed" ProgID="Equation.KSEE3" ShapeID="_x0000_i1025" DrawAspect="Content" ObjectID="_1773148178" r:id="rId8"/>
        </w:objec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 xml:space="preserve">Where Q is the PLQY, A is the value of absorbance, I is the intensity of excitation source, n is the refractive index of solvent, D is the area of emission spectra, λ is the </w:t>
      </w:r>
      <w:r>
        <w:rPr>
          <w:rFonts w:ascii="Times New Roman" w:hAnsi="Times New Roman" w:cs="Times New Roman"/>
          <w:sz w:val="24"/>
          <w:szCs w:val="24"/>
        </w:rPr>
        <w:lastRenderedPageBreak/>
        <w:t>corresponding wavelength. The subscript r stands for the reference while x stands for test subject. The excitation wavelength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365 nm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</w:rPr>
        <w:t>Device fabrications and measurement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</w:p>
    <w:p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ITO coated glasses with a sheet resistance of 20 Ω square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were used as the substrate and cleaned by deionized water, isopropyl alcohol, acetone and toluene. Then the ITO glasses were irradiated in UV-zone for 30 min. The deposition system for organic and metal deposition has a base pressure lower than 5×10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>
        <w:rPr>
          <w:rFonts w:ascii="Times New Roman" w:hAnsi="Times New Roman" w:cs="Times New Roman"/>
          <w:sz w:val="24"/>
          <w:szCs w:val="24"/>
        </w:rPr>
        <w:t xml:space="preserve"> mbar. The hole injecting layer HATCN was deposited at 0.1 Å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 The deposition rate of all other organic layers was 1.0 Å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 The electron injecting layer LiF was deposited at a rate of 0.1 Å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and then the capping Al metal layer was deposited at a rate of 4.0 Å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 The EL characteristics were measured using a Keithley 2400 programmable electrometer and a PR-650 Spectroscan spectrometer under ambient condition.</w:t>
      </w:r>
    </w:p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Computational Details</w:t>
      </w:r>
    </w:p>
    <w:p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</w:rPr>
        <w:t>The ground-state (S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) and the lowest singlet excited state (S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) geometries were optimized at the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B3LYP/6-31G(d, p) level, which is a common method to provide molecular geometries and the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optimized outcome is in good agreement with the experiment result. The HOMO/LUMO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distributions are calculated on the basis of optimized S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state. The high excitation energy levels of both singlet and triplet states were calculated using TD-M062X/6-31G(d, p)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method on the basis of the optimized configuration of S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, respectively. For the purpose of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investigating the properties of excited-states, natural transition orbitals (NTOs) of absorption were evaluated for the ten lowest excited-states, involving both singlet and triplet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states under TD-M062X/6-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31G(d, p) level. This approach provides the most compact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representation of the electronic transitions in terms of an expansion into single particle orbitals by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diagonalizing the transition density matrix associated with each excitation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Lippert-Mataga calculatio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n</w:t>
      </w:r>
    </w:p>
    <w:p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properties of ground state (S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) and the lowest singlet excited state (S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) can be better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understood through solvatochromic experiment. One reliable way to explore the influence of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solvent environment on the optical property of our sample is by using the Lippert-Mataga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equation, a model that describes the interactions between the solvent and the dipole moment of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solute:</w:t>
      </w:r>
    </w:p>
    <w:p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hc</m:t>
          </m:r>
          <m:d>
            <m:d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=hc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-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f(ε,n)</m:t>
          </m:r>
        </m:oMath>
      </m:oMathPara>
    </w:p>
    <w:p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where f is the orientational polarizability of solvents, μe is the dipole moment of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excited state, μg is the dipole moment of ground state; a is the solvent cavity (Onsager)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radius, derived from the Avogadro number (N),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molecular weight (M), and density (d = 1.0 g cm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−3</w:t>
      </w:r>
      <w:r>
        <w:rPr>
          <w:rFonts w:ascii="Times New Roman" w:hAnsi="Times New Roman" w:cs="Times New Roman"/>
          <w:bCs/>
          <w:sz w:val="24"/>
          <w:szCs w:val="24"/>
        </w:rPr>
        <w:t>); ε and n are the solvent dielectric and the solvent refractive index, respectively. f(ε,n) and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 can be calculated respectively as follows:</w:t>
      </w:r>
    </w:p>
    <w:p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ε, n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ε-1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2ε+1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den>
          </m:f>
        </m:oMath>
      </m:oMathPara>
    </w:p>
    <w:p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a=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4N</m:t>
                  </m:r>
                  <m: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π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e>
            <m:sup>
              <m:f>
                <m:fPr>
                  <m:type m:val="li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sup>
          </m:sSup>
        </m:oMath>
      </m:oMathPara>
      <w:bookmarkStart w:id="1" w:name="_Toc15562954"/>
    </w:p>
    <w:p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>
      <w:pPr>
        <w:spacing w:line="480" w:lineRule="auto"/>
        <w:rPr>
          <w:rFonts w:ascii="Times New Roman" w:hAnsi="Times New Roman" w:cs="Times New Roman"/>
          <w:b/>
          <w:sz w:val="28"/>
          <w:szCs w:val="24"/>
          <w:lang w:val="en-GB"/>
        </w:rPr>
      </w:pPr>
      <w:r>
        <w:rPr>
          <w:rFonts w:ascii="Times New Roman" w:hAnsi="Times New Roman" w:cs="Times New Roman"/>
          <w:b/>
          <w:sz w:val="28"/>
          <w:szCs w:val="24"/>
        </w:rPr>
        <w:t>Synthesis of Materials</w:t>
      </w:r>
      <w:bookmarkEnd w:id="1"/>
    </w:p>
    <w:p>
      <w:pPr>
        <w:widowControl/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All the reagents and solvents used for the syntheses were purchased from Aldrich and Acros and used as received.</w:t>
      </w:r>
    </w:p>
    <w:p>
      <w:pPr>
        <w:widowControl/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>The precursors PyAnBr, PhPIB, DPhPIB, PPIB, and PyPIB</w:t>
      </w:r>
      <w:r>
        <w:rPr>
          <w:rFonts w:ascii="Times New Roman" w:hAnsi="Times New Roman" w:cs="Times New Roman"/>
          <w:bCs/>
          <w:sz w:val="24"/>
          <w:szCs w:val="24"/>
        </w:rPr>
        <w:t xml:space="preserve"> were prepared in high yield by referring to the reported literatures.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1-3</w:t>
      </w:r>
    </w:p>
    <w:p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</w:pP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Synthesis of 1-phenyl-2-(4-(10-(pyren-1-yl)anthracen-9-yl)phenyl)-1H-benzo[d]imidazole (PhAnPy):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In a 100 mL round flask, a mixture of PyAnBr (457 mg, 1 mmol), PhPIB (396 mg, 1 mmol), K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CO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(2.76 g, 20 mmol), Pd(PPh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)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4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(23 mg, 0.02 mmol), 10 mL distilled water and 20 mL toluene was stirred and refluxed at 90 °C under 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protection for 48 hours. The mixture was washed three times with 30 ml water and extracted with dichloromethane. The organic phase was collected and dried by anhydrous Na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SO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4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, and then the solvent was evaporated. The residue was purified via column chromatography eluting with petroleum ether-dichloromethane (1:1, v/v) mixtures to afford yellow solid. (430 mg, yield: 67%). 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H NMR (500 MHz, CD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Cl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) δ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(ppm):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8.48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7.7 Hz, 1H), 8.36 – 8.30 (m, 2H), 8.27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9.0 Hz, 1H), 8.20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7.4 Hz, 1H), 8.15 – 8.06 (m, 2H), 7.98 – 7.90 (m, 3H), 7.89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9.2 Hz, 1H), 7.82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8.8 Hz, 2H), 7.68 (t,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7.6 Hz, 2H), 7.64 – 7.53 (m, 5H), 7.46 – 7.35 (m, 8H), 7.28 – 7.22 (m, 2H).</w:t>
      </w:r>
      <w:r>
        <w:rPr>
          <w:rFonts w:ascii="Times New Roman" w:eastAsia="MS Mincho" w:hAnsi="Times New Roman" w:cs="Times New Roman" w:hint="eastAsia"/>
          <w:kern w:val="0"/>
          <w:sz w:val="24"/>
          <w:szCs w:val="24"/>
          <w:lang w:val="en-GB" w:eastAsia="en-US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GB" w:eastAsia="en-US"/>
        </w:rPr>
        <w:t>13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C NMR (126 MHz, CDCl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) δ (ppm): 138.81, 137.31, 137.01, 136.57, 135.83, 134.03, 133.08, 131.60, 131.48, 131.12, 130.92, 130.07, 129.78, 129.57, 129.43, 129.11, 128.92, 128.64, 127.86, 127.55, 127.27, 126.83, 126.18, 125.73, 125.30, 124.95, 124.77, 123.65, 123.32, 119.89, 110.64.</w:t>
      </w:r>
      <w:r>
        <w:rPr>
          <w:rFonts w:ascii="Times New Roman" w:eastAsia="MS Mincho" w:hAnsi="Times New Roman" w:cs="Times New Roman" w:hint="eastAsia"/>
          <w:kern w:val="0"/>
          <w:sz w:val="24"/>
          <w:szCs w:val="24"/>
          <w:lang w:val="en-GB" w:eastAsia="en-US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MALDI-TOF (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val="en-GB" w:eastAsia="en-US"/>
        </w:rPr>
        <w:t>m/z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): Calcd for C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49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H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30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, 646.79; Found: 646.42 [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val="en-GB" w:eastAsia="en-US"/>
        </w:rPr>
        <w:t>M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GB" w:eastAsia="en-US"/>
        </w:rPr>
        <w:t>+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]. Elem. Anal. Calcd (%) for C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49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H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30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: C, 90.99; H, 4.68; N, 4.33. Found: C, 91.02; H, 4.70; N, 3.29.</w:t>
      </w:r>
    </w:p>
    <w:p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</w:pP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Synthesis of 1,4,5-triphenyl-2-(4-(10-(pyren-1-yl)anthracen-9-yl)phenyl)-1H-imidazole (DPhAnPy)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: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DPhAnPy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was synthesized according to the same procedure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lastRenderedPageBreak/>
        <w:t xml:space="preserve">as for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PhAnPy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by using DPhPIB (498 mg, 1 mmol) instead PhPIB. yellow solid (532 mg, yield: 71%). 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H NMR (500 MHz, CD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Cl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) δ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(ppm):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8.48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7.8 Hz, 1H), 8.33 (dd,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8.0, 6.3 Hz, 2H), 8.27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9.0 Hz, 1H), 8.20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7.3 Hz, 1H), 8.15 – 8.07 (m, 2H), 7.88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9.2 Hz, 1H), 7.85 – 7.75 (m, 4H), 7.71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7.3 Hz, 2H), 7.56 (dd,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7.9, 1.5 Hz, 1H), 7.50 (dd,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7.9, 1.5 Hz, 1H), 7.47 – 7.19 (m, 20H).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en-US"/>
        </w:rPr>
        <w:t xml:space="preserve"> 13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C NMR (126 MHz, CDCl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)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δ (ppm):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146.74, 139.28, 137.12, 136.96, 135.62, 134.03, 131.43, 131.17, 130.93, 129.85, 129.46, 129.27, 129.04, 128.60, 128.48, 128.23, 127.78, 127.53, 127.22, 126.93, 126.17, 125.78, 125.28, 124.95, 124.78.</w:t>
      </w:r>
      <w:r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en-US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MALDI-TOF (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val="en-GB" w:eastAsia="en-US"/>
        </w:rPr>
        <w:t>m/z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): Calcd for C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57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H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36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, 748.93; Found: 748.62 [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val="en-GB" w:eastAsia="en-US"/>
        </w:rPr>
        <w:t>M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GB" w:eastAsia="en-US"/>
        </w:rPr>
        <w:t>+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]. Elem. Anal. Calcd (%) for C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57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H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36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: C, 91.41; H, 4.85; N, 3.74. Found: C, 91.42; H, 4.80; N, 3.76.</w:t>
      </w:r>
    </w:p>
    <w:p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</w:pP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Synthesis of 1-phenyl-2-(4-(10-(pyren-1-yl)anthracen-9-yl)phenyl)-1H-phenanthro[9,10-d]imidazole (PIAnPy)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: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PIAnPy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was synthesized according to the same procedure as for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PhAnPy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by using PPIB (496 mg, 1 mmol) instead PhPIB. yellow solid (498 mg, yield: 67%). 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H NMR (500 MHz, CD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Cl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) δ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(ppm):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8.89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6.6 Hz, 1H), 8.83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6.8 Hz, 1H), 8.68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6.8 Hz, 1H), 8.49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6.2 Hz, 1H), 8.33 (dd,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6.4, 4.6 Hz, 2H), 8.28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7.2 Hz, 1H), 8.20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5.9 Hz, 1H), 8.15 – 8.07 (m, 2H), 8.00 (s, 2H), 7.88 (t,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7.2 Hz, 2H), 7.78 (m, 8H), 7.64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5.6 Hz, 2H), 7.58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5.7 Hz, 1H), 7.47 – 7.36 (m, 6H), 7.33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6.4 Hz, 1H), 7.30 – 7.22 (m, 2H).</w:t>
      </w:r>
      <w:r>
        <w:rPr>
          <w:rFonts w:ascii="Times New Roman" w:eastAsia="MS Mincho" w:hAnsi="Times New Roman" w:cs="Times New Roman" w:hint="eastAsia"/>
          <w:kern w:val="0"/>
          <w:sz w:val="24"/>
          <w:szCs w:val="24"/>
          <w:lang w:val="en-GB" w:eastAsia="en-US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en-US"/>
        </w:rPr>
        <w:t>13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C NMR (126 MHz, CDCl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)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δ (ppm):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136.73, 135.73, 134.07, 131.48, 131.09, 130.91, 130.34, 130.12, 129.81, 129.45, 129.25, 128.44, 127.78, 127.51, 127.24, 126.94, 126.43, 126.17, 125.75, 125.49, 125.05, 124.94, 124.77, 124.22, 123.19, 123.02, 120.98.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MALDI-TOF (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val="en-GB" w:eastAsia="en-US"/>
        </w:rPr>
        <w:t>m/z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): Calcd for C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57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H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34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, 746.91; Found: 746.72 [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val="en-GB" w:eastAsia="en-US"/>
        </w:rPr>
        <w:t>M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GB" w:eastAsia="en-US"/>
        </w:rPr>
        <w:t>+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]. Elem. Anal.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lastRenderedPageBreak/>
        <w:t>Calcd (%) for C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57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H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34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: C, 91.66; H, 4.59; N, 3.75. Found: C, 91.69; H, 4.58; N, 3.73.</w:t>
      </w:r>
    </w:p>
    <w:p>
      <w:pPr>
        <w:spacing w:line="480" w:lineRule="auto"/>
        <w:rPr>
          <w:rFonts w:ascii="Times New Roman" w:eastAsia="MS Mincho" w:hAnsi="Times New Roman" w:cs="Times New Roman"/>
          <w:w w:val="108"/>
          <w:kern w:val="0"/>
          <w:sz w:val="24"/>
          <w:szCs w:val="24"/>
          <w:lang w:val="en-GB" w:eastAsia="en-US"/>
        </w:rPr>
        <w:sectPr>
          <w:pgSz w:w="11906" w:h="16838" w:code="9"/>
          <w:pgMar w:top="1440" w:right="1797" w:bottom="1440" w:left="1797" w:header="851" w:footer="992" w:gutter="0"/>
          <w:lnNumType w:countBy="1"/>
          <w:cols w:space="425"/>
          <w:docGrid w:type="lines" w:linePitch="312"/>
        </w:sectPr>
      </w:pP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Synthesis of 9-phenyl-10-(4-(10-(pyren-1-yl)anthracen-9-yl)phenyl)-9H-pyreno[4,5-d]imidazole (PyIAnPy)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: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PyIAnPy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was synthesized according to the same procedure as for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en-GB" w:eastAsia="en-US"/>
        </w:rPr>
        <w:t>PhAnPy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 by using PyPIB (520 mg, 1 mmol) instead PhPIB. yellow solid (480 mg, yield: 62%). 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H NMR (500 MHz, CD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Cl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) δ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 xml:space="preserve">(ppm):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8.54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6.2 Hz, 1H), 8.49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6.2 Hz, 1H), 8.36 – 8.30 (m, 3H), 8.26 (dd,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12.4, 6.6 Hz, 2H), 8.21 (dd,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6.5, 3.8 Hz, 2H), 8.19 – 8.01 (m, 6H), 7.90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7.4 Hz, 1H), 7.88 – 7.80 (m, 7H), 7.77 (t,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6.2 Hz, 1H), 7.66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6.3 Hz, 1H), 7.60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6.5 Hz, 1H), 7.56 (d, </w:t>
      </w:r>
      <w:r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en-US"/>
        </w:rPr>
        <w:t>J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= 6.2 Hz, 1H), 7.45 – 7.39 (m, 5H), 7.29 – 7.23 (m, 2H).</w:t>
      </w:r>
      <w:r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en-US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en-US"/>
        </w:rPr>
        <w:t>13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C NMR (126 MHz, CDCl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de-DE" w:eastAsia="en-US"/>
        </w:rPr>
        <w:t>3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)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δ (ppm):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134.07, 132.28, 131.75, 131.55, 131.10, 130.93, 130.38, 129.83, 129.51, 129.33, 128.04, 127.83, 127.75, 127.64, 127.52, 127.26, 126.95, 126.57, 126.18, 125.76, 125.51, 125.37, 125.23, 124.94, 124.78, 124.56, 123.70, 122.99, 118.11.</w:t>
      </w:r>
      <w:r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en-US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MALDI-TOF (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val="en-GB" w:eastAsia="en-US"/>
        </w:rPr>
        <w:t>m/z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): Calcd for C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59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H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34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, 770.94; Found: 770.83 [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val="en-GB" w:eastAsia="en-US"/>
        </w:rPr>
        <w:t>M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GB" w:eastAsia="en-US"/>
        </w:rPr>
        <w:t>+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]. Elem. Anal. Calcd (%) for C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59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H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34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N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val="en-GB" w:eastAsia="en-US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GB" w:eastAsia="en-US"/>
        </w:rPr>
        <w:t>: C, 91.92; H, 4.45; N, 3.63. Found: C, 91.88; H, 4.46; N, 3.65</w:t>
      </w:r>
      <w:r>
        <w:rPr>
          <w:rFonts w:ascii="Times New Roman" w:eastAsia="MS Mincho" w:hAnsi="Times New Roman" w:cs="Times New Roman" w:hint="eastAsia"/>
          <w:w w:val="108"/>
          <w:kern w:val="0"/>
          <w:sz w:val="24"/>
          <w:szCs w:val="24"/>
          <w:lang w:val="en-GB" w:eastAsia="en-US"/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sz w:val="28"/>
          <w:szCs w:val="24"/>
          <w:lang w:val="en-GB"/>
        </w:rPr>
      </w:pPr>
      <w:r>
        <w:rPr>
          <w:rFonts w:ascii="Times New Roman" w:hAnsi="Times New Roman" w:cs="Times New Roman" w:hint="eastAsia"/>
          <w:b/>
          <w:sz w:val="28"/>
          <w:szCs w:val="24"/>
          <w:lang w:val="en-GB"/>
        </w:rPr>
        <w:lastRenderedPageBreak/>
        <w:t>Supplementary Figures</w:t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3040" cy="3724275"/>
            <wp:effectExtent l="0" t="0" r="381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3" b="29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74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H NMR spectra of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in deuterated CD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3040" cy="3714115"/>
            <wp:effectExtent l="0" t="0" r="381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3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9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S2.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H NMR spectra of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in deuterated CD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5273675" cy="3703955"/>
            <wp:effectExtent l="0" t="0" r="317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0" b="38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43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S3.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H NMR spectra of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in deuterated CD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3675" cy="3714115"/>
            <wp:effectExtent l="0" t="0" r="3175" b="63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0" b="16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6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S4.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H NMR spectra of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in deuterated CD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23460" cy="2433955"/>
            <wp:effectExtent l="0" t="0" r="0" b="444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0" t="18413" r="15862" b="30519"/>
                    <a:stretch>
                      <a:fillRect/>
                    </a:stretch>
                  </pic:blipFill>
                  <pic:spPr>
                    <a:xfrm>
                      <a:off x="0" y="0"/>
                      <a:ext cx="4824000" cy="24345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S5.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(a) Thermogravimetric analysis (TGA) and (b) differential scanning calorimetry (DSC) profiles of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75535" cy="2496185"/>
            <wp:effectExtent l="0" t="0" r="5715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000" cy="24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S6.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Cyclic voltammograms for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79950" cy="4491355"/>
            <wp:effectExtent l="0" t="0" r="6350" b="444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8" t="3003" r="16057" b="3874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4918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S7.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Solvation effects on UV-vis absorption of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(a),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(b),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(c),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(d).</w:t>
      </w:r>
    </w:p>
    <w:p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79950" cy="4478655"/>
            <wp:effectExtent l="0" t="0" r="635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4" t="3265" r="16254" b="3758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4789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S8.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Solvatochromic PL spectra of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(a),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(b),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(c),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(d).</w:t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633316" cy="3175686"/>
            <wp:effectExtent l="0" t="0" r="0" b="5715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419" cy="318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S9.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Linear correlation of orientation polarization (</w:t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>f</w:t>
      </w:r>
      <w:r>
        <w:rPr>
          <w:rFonts w:ascii="Times New Roman" w:hAnsi="Times New Roman" w:cs="Times New Roman"/>
          <w:sz w:val="24"/>
          <w:szCs w:val="24"/>
          <w:lang w:val="de-DE"/>
        </w:rPr>
        <w:t>) of solvent</w:t>
      </w:r>
      <w:r>
        <w:rPr>
          <w:rFonts w:ascii="Times New Roman" w:hAnsi="Times New Roman" w:cs="Times New Roman" w:hint="eastAsia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media with the Stokes shift (υ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a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− υ</w:t>
      </w:r>
      <w:r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f</w:t>
      </w:r>
      <w:r>
        <w:rPr>
          <w:rFonts w:ascii="Times New Roman" w:hAnsi="Times New Roman" w:cs="Times New Roman"/>
          <w:sz w:val="24"/>
          <w:szCs w:val="24"/>
          <w:lang w:val="de-DE"/>
        </w:rPr>
        <w:t>; a: absorbed light; f: fluorescence)</w:t>
      </w:r>
      <w:r>
        <w:rPr>
          <w:rFonts w:ascii="Times New Roman" w:hAnsi="Times New Roman" w:cs="Times New Roman" w:hint="eastAsia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for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and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>.</w:t>
      </w:r>
    </w:p>
    <w:p>
      <w:pPr>
        <w:spacing w:before="120" w:after="120"/>
        <w:jc w:val="center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4679950" cy="4497705"/>
            <wp:effectExtent l="0" t="0" r="635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8" t="3263" r="16646" b="3617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4977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S10.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Lifetime measurement of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(a),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(b),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(c),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(d) in different solvents with concentration of 1.0 × 10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-5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M.</w:t>
      </w: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79950" cy="4655185"/>
            <wp:effectExtent l="0" t="0" r="635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9" t="3264" r="16352" b="3093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65525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S11</w:t>
      </w:r>
      <w:r>
        <w:rPr>
          <w:rFonts w:ascii="Times New Roman" w:hAnsi="Times New Roman" w:cs="Times New Roman"/>
          <w:sz w:val="24"/>
          <w:szCs w:val="24"/>
          <w:lang w:val="de-DE"/>
        </w:rPr>
        <w:t>. (a) P</w:t>
      </w:r>
      <w:r>
        <w:rPr>
          <w:rFonts w:ascii="Times New Roman" w:hAnsi="Times New Roman" w:cs="Times New Roman" w:hint="eastAsia"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solution fluorescence spectrum,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and PtOEP, and PtOEP phosphorescence spectra at 77 K (5</w:t>
      </w:r>
      <w:r>
        <w:rPr>
          <w:rFonts w:ascii="Times New Roman" w:hAnsi="Times New Roman" w:cs="Times New Roman" w:hint="eastAsia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ms-delayed); (b)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; (c)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; (d)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095625" cy="2435225"/>
            <wp:effectExtent l="0" t="0" r="9525" b="3175"/>
            <wp:docPr id="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5" t="5201" r="24013" b="12200"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43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S12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The Schematic of the photophysical dynamics in the PtOEP &amp;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solution.</w:t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79950" cy="2254885"/>
            <wp:effectExtent l="0" t="0" r="635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5" t="23113" r="16352" b="28564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2549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S13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Time-resolved emission decay curves of (a)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(b)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obtained from the vacuum-deposited 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>neat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films.</w:t>
      </w: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79040" cy="2339975"/>
            <wp:effectExtent l="0" t="0" r="0" b="317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87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S14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The emission spectrum of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in the single crystals.</w:t>
      </w:r>
    </w:p>
    <w:p>
      <w:pPr>
        <w:spacing w:before="120" w:after="120"/>
        <w:jc w:val="center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702175" cy="220980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" t="16730" r="6130" b="26248"/>
                    <a:stretch>
                      <a:fillRect/>
                    </a:stretch>
                  </pic:blipFill>
                  <pic:spPr>
                    <a:xfrm>
                      <a:off x="0" y="0"/>
                      <a:ext cx="4731534" cy="22233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S15.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>Energy level diagram and the chemical structures of the used materials in the devices.</w:t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79950" cy="2278380"/>
            <wp:effectExtent l="0" t="0" r="635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1" t="23114" r="11062" b="28437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2788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S16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Normalized EL spectra of (a)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and (b)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at different voltages.</w:t>
      </w: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5875" cy="364363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"/>
                    <a:stretch>
                      <a:fillRect/>
                    </a:stretch>
                  </pic:blipFill>
                  <pic:spPr>
                    <a:xfrm>
                      <a:off x="0" y="0"/>
                      <a:ext cx="2556000" cy="364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S17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PL of neat films and EL of the non-doped devices for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and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114300" distR="114300">
            <wp:extent cx="2386216" cy="2340000"/>
            <wp:effectExtent l="0" t="0" r="0" b="3175"/>
            <wp:docPr id="2" name="图片 2" descr="Graph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raph1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6216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S18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Normalized EL spectra of 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>electron-only device (EOD),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hole-only device (HOD)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>single-layer device (SLD)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27855" cy="4338320"/>
            <wp:effectExtent l="0" t="0" r="0" b="508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2" t="2743" r="16744" b="2709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43388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S19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The transient EL decay curves of non-doped device based on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(a),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(b),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(c),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(d) at different voltages</w:t>
      </w: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47925" cy="3319145"/>
            <wp:effectExtent l="0" t="0" r="0" b="0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4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331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S20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Luminescence-current density curve of non-doped devices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and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87900" cy="406273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2" t="989" r="25763" b="6134"/>
                    <a:stretch>
                      <a:fillRect/>
                    </a:stretch>
                  </pic:blipFill>
                  <pic:spPr>
                    <a:xfrm>
                      <a:off x="0" y="0"/>
                      <a:ext cx="4788000" cy="40629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bCs/>
          <w:sz w:val="24"/>
          <w:szCs w:val="24"/>
          <w:lang w:val="de-DE"/>
        </w:rPr>
        <w:sectPr>
          <w:pgSz w:w="11906" w:h="16838" w:code="9"/>
          <w:pgMar w:top="1440" w:right="1797" w:bottom="1440" w:left="1797" w:header="851" w:footer="992" w:gutter="0"/>
          <w:lnNumType w:countBy="1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S21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Calculated singlet and triplet energy levels of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(a),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(b),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(c),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(d)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>.</w:t>
      </w:r>
    </w:p>
    <w:p>
      <w:pPr>
        <w:spacing w:line="40" w:lineRule="atLeast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120640" cy="2080260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t="8100" b="21751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20811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0" w:lineRule="atLeast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>
            <wp:extent cx="5097780" cy="2080260"/>
            <wp:effectExtent l="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" t="9089" b="20766"/>
                    <a:stretch>
                      <a:fillRect/>
                    </a:stretch>
                  </pic:blipFill>
                  <pic:spPr>
                    <a:xfrm>
                      <a:off x="0" y="0"/>
                      <a:ext cx="5098464" cy="20810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Figure S22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Natural transition orbital (NTO) analysis of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(a),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DP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hAnPy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(b),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(c), and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PyI</w:t>
      </w:r>
      <w:r>
        <w:rPr>
          <w:rFonts w:ascii="Times New Roman" w:hAnsi="Times New Roman" w:cs="Times New Roman" w:hint="eastAsia"/>
          <w:b/>
          <w:sz w:val="24"/>
          <w:szCs w:val="24"/>
          <w:lang w:val="de-DE"/>
        </w:rPr>
        <w:t>AnPy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(d)</w:t>
      </w:r>
      <w:r>
        <w:rPr>
          <w:rFonts w:ascii="Times New Roman" w:hAnsi="Times New Roman" w:cs="Times New Roman" w:hint="eastAsia"/>
          <w:sz w:val="24"/>
          <w:szCs w:val="24"/>
          <w:lang w:val="de-DE"/>
        </w:rPr>
        <w:t>.</w:t>
      </w: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  <w:sectPr>
          <w:pgSz w:w="11906" w:h="16838" w:code="9"/>
          <w:pgMar w:top="1440" w:right="1797" w:bottom="1440" w:left="1797" w:header="851" w:footer="992" w:gutter="0"/>
          <w:lnNumType w:countBy="1"/>
          <w:cols w:space="425"/>
          <w:docGrid w:type="lines" w:linePitch="312"/>
        </w:sectPr>
      </w:pP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lastRenderedPageBreak/>
        <w:t>Table S1.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Summary of the representative pure-blue nondoped fluorescent OLEDs.</w:t>
      </w:r>
    </w:p>
    <w:tbl>
      <w:tblPr>
        <w:tblW w:w="5085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1278"/>
        <w:gridCol w:w="993"/>
        <w:gridCol w:w="1419"/>
        <w:gridCol w:w="1077"/>
      </w:tblGrid>
      <w:tr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E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mitter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V</w:t>
            </w:r>
            <w:r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on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(V)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CE</w:t>
            </w:r>
            <w:r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max</w:t>
            </w:r>
          </w:p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(cd A</w:t>
            </w:r>
            <w:r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EQE</w:t>
            </w:r>
            <w:r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max/1000</w:t>
            </w:r>
          </w:p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(%)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ELλ</w:t>
            </w:r>
            <w:r>
              <w:rPr>
                <w:rFonts w:ascii="Times New Roman" w:hAnsi="Times New Roman" w:cs="Times New Roman"/>
                <w:szCs w:val="21"/>
                <w:vertAlign w:val="subscript"/>
                <w:lang w:val="de-DE"/>
              </w:rPr>
              <w:t>max</w:t>
            </w:r>
          </w:p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(nm)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CIE</w:t>
            </w:r>
          </w:p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(x, y)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Ref.</w:t>
            </w:r>
          </w:p>
        </w:tc>
      </w:tr>
      <w:tr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PhAnPy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10.64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10.24/9.63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452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(0.16, 0.14)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This work</w:t>
            </w:r>
          </w:p>
        </w:tc>
      </w:tr>
      <w:tr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DPhAnPy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11.09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8.27/7.68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452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(0.17, 0.17)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This work</w:t>
            </w:r>
          </w:p>
        </w:tc>
      </w:tr>
      <w:tr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PyPPA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9.16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8.47/6.81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464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(0.14, 0.13)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4</w:t>
            </w:r>
          </w:p>
        </w:tc>
      </w:tr>
      <w:tr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PI-Py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5.88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5.11/5.10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448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(0.15, 0.14)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5</w:t>
            </w:r>
          </w:p>
        </w:tc>
      </w:tr>
      <w:tr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PPI-An-NPPI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7.68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7.75/7.61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456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(0.15, 0.11)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6</w:t>
            </w:r>
          </w:p>
        </w:tc>
      </w:tr>
      <w:tr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bookmarkStart w:id="2" w:name="OLE_LINK1"/>
            <w:r>
              <w:rPr>
                <w:rFonts w:ascii="Times New Roman" w:hAnsi="Times New Roman" w:cs="Times New Roman"/>
                <w:szCs w:val="21"/>
                <w:lang w:val="en-GB"/>
              </w:rPr>
              <w:t>3-PCZCFOXZ</w:t>
            </w:r>
            <w:bookmarkEnd w:id="2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7.9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8.5/8.5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441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(0.149, 0.110)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7</w:t>
            </w:r>
          </w:p>
        </w:tc>
      </w:tr>
      <w:tr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PAC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12.37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10.48/7.53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458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 xml:space="preserve">0.15, </w:t>
            </w:r>
            <w:bookmarkStart w:id="3" w:name="OLE_LINK2"/>
            <w:r>
              <w:rPr>
                <w:rFonts w:ascii="Times New Roman" w:hAnsi="Times New Roman" w:cs="Times New Roman"/>
                <w:szCs w:val="21"/>
                <w:lang w:val="de-DE"/>
              </w:rPr>
              <w:t>0.13</w:t>
            </w:r>
            <w:bookmarkEnd w:id="3"/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8</w:t>
            </w:r>
          </w:p>
        </w:tc>
      </w:tr>
      <w:tr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bookmarkStart w:id="4" w:name="OLE_LINK3"/>
            <w:r>
              <w:rPr>
                <w:rFonts w:ascii="Times New Roman" w:hAnsi="Times New Roman" w:cs="Times New Roman"/>
                <w:szCs w:val="21"/>
                <w:lang w:val="en-GB"/>
              </w:rPr>
              <w:t>BITPI</w:t>
            </w:r>
            <w:bookmarkEnd w:id="4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6.8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7.1/6.6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452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0.15, 0.13</w:t>
            </w: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9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TBPMCN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10.5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7.8/5.6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(0.16, 0.16)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10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TPE-TADC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6.81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5.71/4.41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451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(0.165, 0.141)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11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PICNAnCz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9.07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9.05/7.88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448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0.16,0.11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2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TPAATPE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9.4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6.97/5.96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(0.15, 0.16)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3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2CzPh-CNNPI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.09/4.07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454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.154,0.143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4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PT-1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6.63/5.78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(0.149, 0.114)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5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TPP-PPI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6.44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6.62/6.05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40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(0.15, 0.11)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6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DPAC-AnPCN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7.26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6.04/5.31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464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0.15, 0.15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7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PIAnTPh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7.13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6.87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/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6.40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456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(0.15,0.12)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8</w:t>
            </w:r>
          </w:p>
        </w:tc>
      </w:tr>
      <w:tr>
        <w:trPr>
          <w:trHeight w:val="39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DPF-AnCN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6.7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7.1/6.6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447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  <w:lang w:val="de-DE"/>
              </w:rPr>
              <w:t>(0.149, 0.104)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>
              <w:rPr>
                <w:rFonts w:ascii="Times New Roman" w:hAnsi="Times New Roman" w:cs="Times New Roman" w:hint="eastAsia"/>
                <w:szCs w:val="21"/>
                <w:lang w:val="de-DE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de-DE"/>
              </w:rPr>
              <w:t>9</w:t>
            </w:r>
          </w:p>
        </w:tc>
      </w:tr>
    </w:tbl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/>
        <w:rPr>
          <w:rFonts w:ascii="Times New Roman" w:hAnsi="Times New Roman" w:cs="Times New Roman"/>
          <w:sz w:val="24"/>
          <w:szCs w:val="24"/>
          <w:lang w:val="de-DE"/>
        </w:rPr>
      </w:pPr>
    </w:p>
    <w:p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lastRenderedPageBreak/>
        <w:t>Table S2.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Summary of the representative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single-component WOLEDs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tbl>
      <w:tblPr>
        <w:tblW w:w="4949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134"/>
        <w:gridCol w:w="992"/>
        <w:gridCol w:w="1559"/>
        <w:gridCol w:w="1281"/>
      </w:tblGrid>
      <w:tr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mitter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evice Structure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max</w:t>
            </w:r>
          </w:p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(cd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max</w:t>
            </w:r>
          </w:p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CIE</w:t>
            </w:r>
          </w:p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(x, y)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Ref.</w:t>
            </w:r>
          </w:p>
        </w:tc>
      </w:tr>
      <w:tr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PIAnPy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0448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10.14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(0.35, 0.26)</w:t>
            </w:r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This work</w:t>
            </w:r>
          </w:p>
        </w:tc>
      </w:tr>
      <w:tr>
        <w:trPr>
          <w:jc w:val="center"/>
        </w:trPr>
        <w:tc>
          <w:tcPr>
            <w:tcW w:w="1843" w:type="dxa"/>
            <w:tcBorders>
              <w:top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PyIAnPy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8471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8.83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(0.40, 0.32)</w:t>
            </w:r>
          </w:p>
        </w:tc>
        <w:tc>
          <w:tcPr>
            <w:tcW w:w="1281" w:type="dxa"/>
            <w:tcBorders>
              <w:top w:val="nil"/>
            </w:tcBorders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This work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800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(0.31, 0.42)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20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(E)-CPEY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395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(0.32, 0.33)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21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4a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396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2.71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(0.31, 0.36)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22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(0.34, 0.36)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23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DPAA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2320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(0.29, 0.34)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24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1,6 DAP-TP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-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(0.37, 0.31)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25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Cz9PhAn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50000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(0.30, 0.33)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26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(0.38, 0.40)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27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3180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(0.33, 0.34)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28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TPEPA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-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3.12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(0.30, 0.32)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29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2CzAn-TPE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7000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5.0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(0.21, 0.26)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30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PCTrPE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420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0.61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(0.29, 0.34)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31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Cz-DBF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(0.32, 0.27)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32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W1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092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(0.34, 0.29)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3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III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65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(0.26, 0.35)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4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t-MTTH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230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(0.29, 0.33)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5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PTZ-BP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042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(0.34, 0.46)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6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hCz-Te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05.2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.25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(0.34, 0.33)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7</w:t>
            </w:r>
          </w:p>
        </w:tc>
      </w:tr>
      <w:tr>
        <w:trPr>
          <w:jc w:val="center"/>
        </w:trPr>
        <w:tc>
          <w:tcPr>
            <w:tcW w:w="1843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  <w:lang w:val="en-GB"/>
              </w:rPr>
              <w:t>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XylBA-Cz</w:t>
            </w:r>
          </w:p>
        </w:tc>
        <w:tc>
          <w:tcPr>
            <w:tcW w:w="1418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Doped</w:t>
            </w:r>
          </w:p>
        </w:tc>
        <w:tc>
          <w:tcPr>
            <w:tcW w:w="1134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21.4</w:t>
            </w:r>
          </w:p>
        </w:tc>
        <w:tc>
          <w:tcPr>
            <w:tcW w:w="992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.49</w:t>
            </w:r>
          </w:p>
        </w:tc>
        <w:tc>
          <w:tcPr>
            <w:tcW w:w="1559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(0.31, 0.33)</w:t>
            </w:r>
          </w:p>
        </w:tc>
        <w:tc>
          <w:tcPr>
            <w:tcW w:w="1281" w:type="dxa"/>
          </w:tcPr>
          <w:p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8</w:t>
            </w:r>
          </w:p>
        </w:tc>
      </w:tr>
    </w:tbl>
    <w:p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Tao, S. et al. A triphenylamine derivative as a single-emitting component for highly-efficient white electroluminescent devices. </w:t>
      </w:r>
      <w:r>
        <w:rPr>
          <w:rFonts w:cs="Times New Roman"/>
          <w:i/>
          <w:kern w:val="0"/>
          <w:szCs w:val="24"/>
        </w:rPr>
        <w:t>J. Mater. Chem.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18</w:t>
      </w:r>
      <w:r>
        <w:rPr>
          <w:rFonts w:cs="Times New Roman"/>
          <w:kern w:val="0"/>
          <w:szCs w:val="24"/>
        </w:rPr>
        <w:t>, 3981-3984, (2008).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Zhang, R. et al. Dipolar 1,3,6,8-tetrasubstituted pyrene-based blue emitters containing electro-transporting benzimidazole moieties: Syntheses, structures, optical properties, electrochemistry and electroluminescence. </w:t>
      </w:r>
      <w:r>
        <w:rPr>
          <w:rFonts w:cs="Times New Roman"/>
          <w:i/>
          <w:kern w:val="0"/>
          <w:szCs w:val="24"/>
        </w:rPr>
        <w:t>Dye. Pigm.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152</w:t>
      </w:r>
      <w:r>
        <w:rPr>
          <w:rFonts w:cs="Times New Roman"/>
          <w:kern w:val="0"/>
          <w:szCs w:val="24"/>
        </w:rPr>
        <w:t>, 1-13, (2018).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Liu, F. et al. Triphenylene-Based Emitters with Hybridized Local and Charge-Transfer Characteristics for Efficient Nondoped Blue OLEDs with a Narrowband Emission and a Small Efficiency Roll-Off. </w:t>
      </w:r>
      <w:r>
        <w:rPr>
          <w:rFonts w:cs="Times New Roman"/>
          <w:i/>
          <w:kern w:val="0"/>
          <w:szCs w:val="24"/>
        </w:rPr>
        <w:t>ACS Appl. Mater. Interfaces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15</w:t>
      </w:r>
      <w:r>
        <w:rPr>
          <w:rFonts w:cs="Times New Roman"/>
          <w:kern w:val="0"/>
          <w:szCs w:val="24"/>
        </w:rPr>
        <w:t>, 47307-47316, (2023).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Liu, Y. et al. Pyrene[4,5-d]imidazole-Based Derivatives with Hybridized Local and Charge-Transfer State for Highly Efficient Blue and White Organic Light-Emitting Diodes with Low Efficiency Roll-Off. </w:t>
      </w:r>
      <w:r>
        <w:rPr>
          <w:rFonts w:cs="Times New Roman"/>
          <w:i/>
          <w:kern w:val="0"/>
          <w:szCs w:val="24"/>
        </w:rPr>
        <w:t>ACS Appl. Mater. Interfaces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12</w:t>
      </w:r>
      <w:r>
        <w:rPr>
          <w:rFonts w:cs="Times New Roman"/>
          <w:kern w:val="0"/>
          <w:szCs w:val="24"/>
        </w:rPr>
        <w:t>, 16715-16725, (2020).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Shan, T. et al. Highly efficient and stable pure blue nondoped organic light-emitting diodes at high luminance based on phenanthroimidazole-pyrene derivative enabled by triplei-triplet annihilation. </w:t>
      </w:r>
      <w:r>
        <w:rPr>
          <w:rFonts w:cs="Times New Roman"/>
          <w:i/>
          <w:kern w:val="0"/>
          <w:szCs w:val="24"/>
        </w:rPr>
        <w:t>Dye. Pigm.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142</w:t>
      </w:r>
      <w:r>
        <w:rPr>
          <w:rFonts w:cs="Times New Roman"/>
          <w:kern w:val="0"/>
          <w:szCs w:val="24"/>
        </w:rPr>
        <w:t>, 189-197, (2017).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Liu, B. et al. Productive harvesting of triplet excitons in anthracene-based emitters toward high-performance deep-blue nondoped organic light-emitting diodes. </w:t>
      </w:r>
      <w:r>
        <w:rPr>
          <w:rFonts w:cs="Times New Roman"/>
          <w:i/>
          <w:kern w:val="0"/>
          <w:szCs w:val="24"/>
        </w:rPr>
        <w:t>Mater. Today Chem.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23</w:t>
      </w:r>
      <w:r>
        <w:rPr>
          <w:rFonts w:cs="Times New Roman"/>
          <w:kern w:val="0"/>
          <w:szCs w:val="24"/>
        </w:rPr>
        <w:t>, 100630, 100630 (2022).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lastRenderedPageBreak/>
        <w:t xml:space="preserve">Wang, R. et al. Efficient Non-Doped Blue Electro-fluorescence with Boosted and Balanced Carrier Mobilities. </w:t>
      </w:r>
      <w:r>
        <w:rPr>
          <w:rFonts w:cs="Times New Roman"/>
          <w:i/>
          <w:kern w:val="0"/>
          <w:szCs w:val="24"/>
        </w:rPr>
        <w:t>Adv. Funct. Mater.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32</w:t>
      </w:r>
      <w:r>
        <w:rPr>
          <w:rFonts w:cs="Times New Roman"/>
          <w:kern w:val="0"/>
          <w:szCs w:val="24"/>
        </w:rPr>
        <w:t xml:space="preserve">, 2201143, (2022). 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Xu, Y. et al. Highly Efficient Blue Fluorescent OLEDs Based on Upper Level Triplet–Singlet Intersystem Crossing. </w:t>
      </w:r>
      <w:r>
        <w:rPr>
          <w:rFonts w:cs="Times New Roman"/>
          <w:i/>
          <w:kern w:val="0"/>
          <w:szCs w:val="24"/>
        </w:rPr>
        <w:t>Adv. Mater.</w:t>
      </w:r>
      <w:r>
        <w:rPr>
          <w:rFonts w:cs="Times New Roman"/>
          <w:b/>
          <w:kern w:val="0"/>
          <w:szCs w:val="24"/>
        </w:rPr>
        <w:t xml:space="preserve"> 31</w:t>
      </w:r>
      <w:r>
        <w:rPr>
          <w:rFonts w:cs="Times New Roman"/>
          <w:kern w:val="0"/>
          <w:szCs w:val="24"/>
        </w:rPr>
        <w:t xml:space="preserve">, 1807388, (2019). 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Chen, W.-C. et al. Highly Efficient Deep-Blue Electroluminescence from a Charge-Transfer Emitter with Stable Donor Skeleton. </w:t>
      </w:r>
      <w:r>
        <w:rPr>
          <w:rFonts w:cs="Times New Roman"/>
          <w:i/>
          <w:kern w:val="0"/>
          <w:szCs w:val="24"/>
        </w:rPr>
        <w:t>ACS Appl. Mater. Interfaces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9</w:t>
      </w:r>
      <w:r>
        <w:rPr>
          <w:rFonts w:cs="Times New Roman"/>
          <w:kern w:val="0"/>
          <w:szCs w:val="24"/>
        </w:rPr>
        <w:t xml:space="preserve">, 7331-7338, (2017). 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Zhang, S. et al. Achieving a Significantly Increased Efficiency in Nondoped Pure Blue Fluorescent OLED: A Quasi-Equivalent Hybridized Excited State. </w:t>
      </w:r>
      <w:r>
        <w:rPr>
          <w:rFonts w:cs="Times New Roman"/>
          <w:i/>
          <w:kern w:val="0"/>
          <w:szCs w:val="24"/>
        </w:rPr>
        <w:t>Adv. Funct. Mater.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25</w:t>
      </w:r>
      <w:r>
        <w:rPr>
          <w:rFonts w:cs="Times New Roman"/>
          <w:kern w:val="0"/>
          <w:szCs w:val="24"/>
        </w:rPr>
        <w:t>, 1755-1762, (2015).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Li, Y. et al. Creation of Efficient Blue Aggregation-Induced Emission Luminogens for High-Performance Nondoped Blue OLEDs and Hybrid White OLEDs. </w:t>
      </w:r>
      <w:r>
        <w:rPr>
          <w:rFonts w:cs="Times New Roman"/>
          <w:i/>
          <w:kern w:val="0"/>
          <w:szCs w:val="24"/>
        </w:rPr>
        <w:t>ACS Appl. Mater. Interfaces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11</w:t>
      </w:r>
      <w:r>
        <w:rPr>
          <w:rFonts w:cs="Times New Roman"/>
          <w:kern w:val="0"/>
          <w:szCs w:val="24"/>
        </w:rPr>
        <w:t>, 17592-17601, (2019).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Lv, X. et al. High external quantum efficiency and low efficiency roll-off achieved simultaneously in nondoped pure-blue organic light-emitting diodes based on a hot-exciton fluorescent material. </w:t>
      </w:r>
      <w:r>
        <w:rPr>
          <w:rFonts w:cs="Times New Roman"/>
          <w:i/>
          <w:kern w:val="0"/>
          <w:szCs w:val="24"/>
        </w:rPr>
        <w:t>Chem. Eng. J.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408</w:t>
      </w:r>
      <w:r>
        <w:rPr>
          <w:rFonts w:cs="Times New Roman"/>
          <w:kern w:val="0"/>
          <w:szCs w:val="24"/>
        </w:rPr>
        <w:t>, 127333, (2021).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Liu, F. et al. Novel blue fluorescent materials for high-performance nondoped blue OLEDs and hybrid pure white OLEDs with ultrahigh color rendering index. </w:t>
      </w:r>
      <w:r>
        <w:rPr>
          <w:rFonts w:cs="Times New Roman"/>
          <w:i/>
          <w:kern w:val="0"/>
          <w:szCs w:val="24"/>
        </w:rPr>
        <w:t>Nano Energy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68</w:t>
      </w:r>
      <w:r>
        <w:rPr>
          <w:rFonts w:cs="Times New Roman"/>
          <w:kern w:val="0"/>
          <w:szCs w:val="24"/>
        </w:rPr>
        <w:t>, 104325, (2020).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Zhang, H. et al. A Multifunctional Blue-Emitting Material Designed via Tuning Distribution of Hybridized Excited-State for High-Performance Blue and Host-Sensitized OLEDs. </w:t>
      </w:r>
      <w:r>
        <w:rPr>
          <w:rFonts w:cs="Times New Roman"/>
          <w:i/>
          <w:kern w:val="0"/>
          <w:szCs w:val="24"/>
        </w:rPr>
        <w:t>Adv. Funct. Mater.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30</w:t>
      </w:r>
      <w:r>
        <w:rPr>
          <w:rFonts w:cs="Times New Roman"/>
          <w:kern w:val="0"/>
          <w:szCs w:val="24"/>
        </w:rPr>
        <w:t>, 2002323, (2020).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lastRenderedPageBreak/>
        <w:t xml:space="preserve">Li, B. et al. Critical Role of High-Lying Triplet States for Efficient Excitons Utilization in High-Performance Non-Doped Deep-Blue Fluorescent and Hybrid White Organic Light-Emitting Diodes. </w:t>
      </w:r>
      <w:r>
        <w:rPr>
          <w:rFonts w:cs="Times New Roman"/>
          <w:i/>
          <w:kern w:val="0"/>
          <w:szCs w:val="24"/>
        </w:rPr>
        <w:t xml:space="preserve">Adv. Opt. Mater. </w:t>
      </w:r>
      <w:r>
        <w:rPr>
          <w:rFonts w:cs="Times New Roman"/>
          <w:b/>
          <w:kern w:val="0"/>
          <w:szCs w:val="24"/>
        </w:rPr>
        <w:t>10</w:t>
      </w:r>
      <w:r>
        <w:rPr>
          <w:rFonts w:cs="Times New Roman"/>
          <w:kern w:val="0"/>
          <w:szCs w:val="24"/>
        </w:rPr>
        <w:t>, 2101724, (2022).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Cao, C. et al. A novel D–π–A blue fluorophore based on [1,2,4]triazolo[1,5-a]pyridine as an electron acceptor and its application in organic light-emitting diodes. </w:t>
      </w:r>
      <w:r>
        <w:rPr>
          <w:rFonts w:cs="Times New Roman"/>
          <w:i/>
          <w:kern w:val="0"/>
          <w:szCs w:val="24"/>
        </w:rPr>
        <w:t>Mater. Chem. Front.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3</w:t>
      </w:r>
      <w:r>
        <w:rPr>
          <w:rFonts w:cs="Times New Roman"/>
          <w:kern w:val="0"/>
          <w:szCs w:val="24"/>
        </w:rPr>
        <w:t>, 1071-1079, (2019).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He, X. et al. Efficient Nondoped Pure Blue Organic Light-Emitting Diodes Based on an Anthracene and 9,9-Diphenyl-9,10-dihydroacridine Derivative. </w:t>
      </w:r>
      <w:r>
        <w:rPr>
          <w:rFonts w:cs="Times New Roman"/>
          <w:i/>
          <w:kern w:val="0"/>
          <w:szCs w:val="24"/>
        </w:rPr>
        <w:t>Chem. Asian J.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15</w:t>
      </w:r>
      <w:r>
        <w:rPr>
          <w:rFonts w:cs="Times New Roman"/>
          <w:kern w:val="0"/>
          <w:szCs w:val="24"/>
        </w:rPr>
        <w:t>, 163-168, 201901376 (2020).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Liu, F. et al. Anthracene-based emitters for highly efficient deep blue organic light-emitting diodes with narrow emission spectrum. </w:t>
      </w:r>
      <w:r>
        <w:rPr>
          <w:rFonts w:cs="Times New Roman"/>
          <w:i/>
          <w:kern w:val="0"/>
          <w:szCs w:val="24"/>
        </w:rPr>
        <w:t>Chem. Eng. J.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426</w:t>
      </w:r>
      <w:r>
        <w:rPr>
          <w:rFonts w:cs="Times New Roman"/>
          <w:kern w:val="0"/>
          <w:szCs w:val="24"/>
        </w:rPr>
        <w:t>, 131351, (2021).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Xing, L. et al. Anthracene-based fluorescent emitters toward superior-efficiency nondoped TTA-OLEDs with deep blue emission and low efficiency roll-off. </w:t>
      </w:r>
      <w:r>
        <w:rPr>
          <w:rFonts w:cs="Times New Roman"/>
          <w:i/>
          <w:kern w:val="0"/>
          <w:szCs w:val="24"/>
        </w:rPr>
        <w:t>Chem. Eng. J.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421</w:t>
      </w:r>
      <w:r>
        <w:rPr>
          <w:rFonts w:cs="Times New Roman"/>
          <w:kern w:val="0"/>
          <w:szCs w:val="24"/>
        </w:rPr>
        <w:t>, 127748, (2021).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 w:hint="eastAsia"/>
          <w:kern w:val="0"/>
          <w:szCs w:val="24"/>
        </w:rPr>
        <w:t>Mazzeo, M. et al. Bright White Organic Light</w:t>
      </w:r>
      <w:r>
        <w:rPr>
          <w:rFonts w:cs="Times New Roman" w:hint="eastAsia"/>
          <w:kern w:val="0"/>
          <w:szCs w:val="24"/>
        </w:rPr>
        <w:t>‐</w:t>
      </w:r>
      <w:r>
        <w:rPr>
          <w:rFonts w:cs="Times New Roman" w:hint="eastAsia"/>
          <w:kern w:val="0"/>
          <w:szCs w:val="24"/>
        </w:rPr>
        <w:t xml:space="preserve">Emitting Devices from a Single Active Molecular Material. </w:t>
      </w:r>
      <w:r>
        <w:rPr>
          <w:rFonts w:cs="Times New Roman" w:hint="eastAsia"/>
          <w:i/>
          <w:kern w:val="0"/>
          <w:szCs w:val="24"/>
        </w:rPr>
        <w:t>Adv. Mater.</w:t>
      </w:r>
      <w:r>
        <w:rPr>
          <w:rFonts w:cs="Times New Roman" w:hint="eastAsia"/>
          <w:kern w:val="0"/>
          <w:szCs w:val="24"/>
        </w:rPr>
        <w:t xml:space="preserve"> </w:t>
      </w:r>
      <w:r>
        <w:rPr>
          <w:rFonts w:cs="Times New Roman" w:hint="eastAsia"/>
          <w:b/>
          <w:kern w:val="0"/>
          <w:szCs w:val="24"/>
        </w:rPr>
        <w:t>17</w:t>
      </w:r>
      <w:r>
        <w:rPr>
          <w:rFonts w:cs="Times New Roman" w:hint="eastAsia"/>
          <w:kern w:val="0"/>
          <w:szCs w:val="24"/>
        </w:rPr>
        <w:t>, 34-39, (2005).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Liu, Y., Nishiura, M., Wang, Y. &amp; Hou, Z. π-Conjugated Aromatic Enynes as a Single-Emitting Component for White Electroluminescence. </w:t>
      </w:r>
      <w:r>
        <w:rPr>
          <w:rFonts w:cs="Times New Roman"/>
          <w:i/>
          <w:kern w:val="0"/>
          <w:szCs w:val="24"/>
        </w:rPr>
        <w:t>J. Am. Chem. Soc.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128</w:t>
      </w:r>
      <w:r>
        <w:rPr>
          <w:rFonts w:cs="Times New Roman"/>
          <w:kern w:val="0"/>
          <w:szCs w:val="24"/>
        </w:rPr>
        <w:t>, 5592-5593, (2006).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Wang, L. et al. Novel host materials for single-component white organic light-emitting diodes based on 9-naphthylanthracene derivatives. </w:t>
      </w:r>
      <w:r>
        <w:rPr>
          <w:rFonts w:cs="Times New Roman"/>
          <w:i/>
          <w:kern w:val="0"/>
          <w:szCs w:val="24"/>
        </w:rPr>
        <w:t>J. Mater. Chem.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18</w:t>
      </w:r>
      <w:r>
        <w:rPr>
          <w:rFonts w:cs="Times New Roman"/>
          <w:kern w:val="0"/>
          <w:szCs w:val="24"/>
        </w:rPr>
        <w:t xml:space="preserve">, </w:t>
      </w:r>
      <w:r>
        <w:rPr>
          <w:rFonts w:cs="Times New Roman"/>
          <w:kern w:val="0"/>
          <w:szCs w:val="24"/>
        </w:rPr>
        <w:lastRenderedPageBreak/>
        <w:t>4529-4536, (2008).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Adhikari, R. M. et al. Ethynylphenyl-Linked Carbazoles as a Single-Emitting Component for White Organic Light-Emitting Diodes. </w:t>
      </w:r>
      <w:r>
        <w:rPr>
          <w:rFonts w:cs="Times New Roman"/>
          <w:i/>
          <w:kern w:val="0"/>
          <w:szCs w:val="24"/>
        </w:rPr>
        <w:t>Chem. Mater.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21</w:t>
      </w:r>
      <w:r>
        <w:rPr>
          <w:rFonts w:cs="Times New Roman"/>
          <w:kern w:val="0"/>
          <w:szCs w:val="24"/>
        </w:rPr>
        <w:t>, 4638-4644, (2009).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Tao, S. et al. A triphenylamine derivative as a single-emitting component for highly-efficient white electroluminescent devices. </w:t>
      </w:r>
      <w:r>
        <w:rPr>
          <w:rFonts w:cs="Times New Roman"/>
          <w:i/>
          <w:kern w:val="0"/>
          <w:szCs w:val="24"/>
        </w:rPr>
        <w:t>J. Mater. Chem.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18</w:t>
      </w:r>
      <w:r>
        <w:rPr>
          <w:rFonts w:cs="Times New Roman"/>
          <w:kern w:val="0"/>
          <w:szCs w:val="24"/>
        </w:rPr>
        <w:t>, 3981-3984, (2008).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Lee, J. et al. Excimer formation in organic emitter films associated with a molecular orientation promoted by steric hindrance. </w:t>
      </w:r>
      <w:r>
        <w:rPr>
          <w:rFonts w:cs="Times New Roman"/>
          <w:i/>
          <w:kern w:val="0"/>
          <w:szCs w:val="24"/>
        </w:rPr>
        <w:t>Chem. Commun.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50</w:t>
      </w:r>
      <w:r>
        <w:rPr>
          <w:rFonts w:cs="Times New Roman"/>
          <w:kern w:val="0"/>
          <w:szCs w:val="24"/>
        </w:rPr>
        <w:t>, 14145-14148, (2014).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Chen, Y. H. et al. Insight into the mechanism and outcoupling enhancement of excimer-associated white light generation. </w:t>
      </w:r>
      <w:r>
        <w:rPr>
          <w:rFonts w:cs="Times New Roman"/>
          <w:i/>
          <w:kern w:val="0"/>
          <w:szCs w:val="24"/>
        </w:rPr>
        <w:t>Chem. Sci.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7</w:t>
      </w:r>
      <w:r>
        <w:rPr>
          <w:rFonts w:cs="Times New Roman"/>
          <w:kern w:val="0"/>
          <w:szCs w:val="24"/>
        </w:rPr>
        <w:t>, 3556-3563, (2016).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Reid, B. L. et al. Blue emitting C2-symmetrical dibenzothiazolyl substituted pyrrole, furan and thiophene. </w:t>
      </w:r>
      <w:r>
        <w:rPr>
          <w:rFonts w:cs="Times New Roman"/>
          <w:i/>
          <w:kern w:val="0"/>
          <w:szCs w:val="24"/>
        </w:rPr>
        <w:t>J. Mater. Chem. C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</w:t>
      </w:r>
      <w:r>
        <w:rPr>
          <w:rFonts w:cs="Times New Roman"/>
          <w:kern w:val="0"/>
          <w:szCs w:val="24"/>
        </w:rPr>
        <w:t>, 2209, (2013).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Liu, D., Zhang, Z., Zhang, H. &amp; Wang, Y. A novel approach towards white photoluminescence and electroluminescence by controlled protonation of a blue fluorophore. </w:t>
      </w:r>
      <w:r>
        <w:rPr>
          <w:rFonts w:cs="Times New Roman"/>
          <w:i/>
          <w:kern w:val="0"/>
          <w:szCs w:val="24"/>
        </w:rPr>
        <w:t>Chem. Commun.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49</w:t>
      </w:r>
      <w:r>
        <w:rPr>
          <w:rFonts w:cs="Times New Roman"/>
          <w:kern w:val="0"/>
          <w:szCs w:val="24"/>
        </w:rPr>
        <w:t>, 10001, (2013).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 w:hint="eastAsia"/>
          <w:kern w:val="0"/>
          <w:szCs w:val="24"/>
        </w:rPr>
        <w:t>Li, X. et al. Multiphotoluminescence from a Triphenylamine Derivative and Its Application in White Organic Light</w:t>
      </w:r>
      <w:r>
        <w:rPr>
          <w:rFonts w:cs="Times New Roman" w:hint="eastAsia"/>
          <w:kern w:val="0"/>
          <w:szCs w:val="24"/>
        </w:rPr>
        <w:t>‐</w:t>
      </w:r>
      <w:r>
        <w:rPr>
          <w:rFonts w:cs="Times New Roman" w:hint="eastAsia"/>
          <w:kern w:val="0"/>
          <w:szCs w:val="24"/>
        </w:rPr>
        <w:t xml:space="preserve">Emitting Diodes Based on a Single Emissive Layer. </w:t>
      </w:r>
      <w:r>
        <w:rPr>
          <w:rFonts w:cs="Times New Roman" w:hint="eastAsia"/>
          <w:i/>
          <w:kern w:val="0"/>
          <w:szCs w:val="24"/>
        </w:rPr>
        <w:t>Adv. Mater.</w:t>
      </w:r>
      <w:r>
        <w:rPr>
          <w:rFonts w:cs="Times New Roman" w:hint="eastAsia"/>
          <w:kern w:val="0"/>
          <w:szCs w:val="24"/>
        </w:rPr>
        <w:t xml:space="preserve"> </w:t>
      </w:r>
      <w:r>
        <w:rPr>
          <w:rFonts w:cs="Times New Roman" w:hint="eastAsia"/>
          <w:b/>
          <w:kern w:val="0"/>
          <w:szCs w:val="24"/>
        </w:rPr>
        <w:t>31</w:t>
      </w:r>
      <w:r>
        <w:rPr>
          <w:rFonts w:cs="Times New Roman" w:hint="eastAsia"/>
          <w:kern w:val="0"/>
          <w:szCs w:val="24"/>
        </w:rPr>
        <w:t>, 1900613, (2019).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 w:hint="eastAsia"/>
          <w:kern w:val="0"/>
          <w:szCs w:val="24"/>
        </w:rPr>
        <w:t>Zhang, J. et al. AIEgen configuration transition and aggregation enable dual prompt emission for single</w:t>
      </w:r>
      <w:r>
        <w:rPr>
          <w:rFonts w:cs="Times New Roman" w:hint="eastAsia"/>
          <w:kern w:val="0"/>
          <w:szCs w:val="24"/>
        </w:rPr>
        <w:t>‐</w:t>
      </w:r>
      <w:r>
        <w:rPr>
          <w:rFonts w:cs="Times New Roman" w:hint="eastAsia"/>
          <w:kern w:val="0"/>
          <w:szCs w:val="24"/>
        </w:rPr>
        <w:t xml:space="preserve">component nondoped white OLEDs. </w:t>
      </w:r>
      <w:r>
        <w:rPr>
          <w:rFonts w:cs="Times New Roman" w:hint="eastAsia"/>
          <w:i/>
          <w:kern w:val="0"/>
          <w:szCs w:val="24"/>
        </w:rPr>
        <w:t>Aggregate</w:t>
      </w:r>
      <w:r>
        <w:rPr>
          <w:rFonts w:cs="Times New Roman" w:hint="eastAsia"/>
          <w:kern w:val="0"/>
          <w:szCs w:val="24"/>
        </w:rPr>
        <w:t>, e410, (2023).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lastRenderedPageBreak/>
        <w:t xml:space="preserve">Chatsirisupachai, J. et al. Unique dual fluorescence emission in the solid state from a small molecule based on phenanthrocarbazole with an AIE luminogen as a single-molecule white-light emissive material. </w:t>
      </w:r>
      <w:r>
        <w:rPr>
          <w:rFonts w:cs="Times New Roman"/>
          <w:i/>
          <w:kern w:val="0"/>
          <w:szCs w:val="24"/>
        </w:rPr>
        <w:t>Mater. Chem. Front.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5</w:t>
      </w:r>
      <w:r>
        <w:rPr>
          <w:rFonts w:cs="Times New Roman"/>
          <w:kern w:val="0"/>
          <w:szCs w:val="24"/>
        </w:rPr>
        <w:t>, 2361-2372, (2021).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Tabata, K., Yamada, T., Kita, H. &amp; Yamamoto, Y. Carbazole–Dibenzofuran Dyads as Metal‐Free Single‐Component White‐Color Photoemitters. </w:t>
      </w:r>
      <w:r>
        <w:rPr>
          <w:rFonts w:cs="Times New Roman"/>
          <w:i/>
          <w:kern w:val="0"/>
          <w:szCs w:val="24"/>
        </w:rPr>
        <w:t>Adv. Funct. Mater.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29</w:t>
      </w:r>
      <w:r>
        <w:rPr>
          <w:rFonts w:cs="Times New Roman"/>
          <w:kern w:val="0"/>
          <w:szCs w:val="24"/>
        </w:rPr>
        <w:t>, 1805824, (2018).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Park, S. et al. A White-Light-Emitting Molecule: Frustrated Energy Transfer between Constituent Emitting Centers. </w:t>
      </w:r>
      <w:r>
        <w:rPr>
          <w:rFonts w:cs="Times New Roman"/>
          <w:i/>
          <w:kern w:val="0"/>
          <w:szCs w:val="24"/>
        </w:rPr>
        <w:t>J. Am. Chem. Soc.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131</w:t>
      </w:r>
      <w:r>
        <w:rPr>
          <w:rFonts w:cs="Times New Roman"/>
          <w:kern w:val="0"/>
          <w:szCs w:val="24"/>
        </w:rPr>
        <w:t>, 14043-14049, (2009).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Tang, K.-C. et al. Fine Tuning the Energetics of Excited-State Intramolecular Proton Transfer (ESIPT): White Light Generation in A Single ESIPT System. </w:t>
      </w:r>
      <w:r>
        <w:rPr>
          <w:rFonts w:cs="Times New Roman"/>
          <w:i/>
          <w:kern w:val="0"/>
          <w:szCs w:val="24"/>
        </w:rPr>
        <w:t>J. Am. Chem. Soc.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133</w:t>
      </w:r>
      <w:r>
        <w:rPr>
          <w:rFonts w:cs="Times New Roman"/>
          <w:kern w:val="0"/>
          <w:szCs w:val="24"/>
        </w:rPr>
        <w:t>, 17738-17745, (2011).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Zhang, Z. et al. Control of the Reversibility of Excited-State Intramolecular Proton Transfer (ESIPT) Reaction: Host-Polarity Tuning White Organic Light Emitting Diode on a New Thiazolo[5,4-d]thiazole ESIPT System. </w:t>
      </w:r>
      <w:r>
        <w:rPr>
          <w:rFonts w:cs="Times New Roman"/>
          <w:i/>
          <w:kern w:val="0"/>
          <w:szCs w:val="24"/>
        </w:rPr>
        <w:t>Chem. Mater.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28</w:t>
      </w:r>
      <w:r>
        <w:rPr>
          <w:rFonts w:cs="Times New Roman"/>
          <w:kern w:val="0"/>
          <w:szCs w:val="24"/>
        </w:rPr>
        <w:t>, 8815-8824, (2016).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Li, C. et al. An Organic Emitter Displaying Dual Emissions and Efficient Delayed Fluorescence White OLEDs. </w:t>
      </w:r>
      <w:r>
        <w:rPr>
          <w:rFonts w:cs="Times New Roman"/>
          <w:i/>
          <w:kern w:val="0"/>
          <w:szCs w:val="24"/>
        </w:rPr>
        <w:t>Adv. Opt. Mater.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7</w:t>
      </w:r>
      <w:r>
        <w:rPr>
          <w:rFonts w:cs="Times New Roman"/>
          <w:kern w:val="0"/>
          <w:szCs w:val="24"/>
        </w:rPr>
        <w:t>, 1801667, (2019).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Chen, H. et al. Toward Achieving Single-Molecule White Electroluminescence from Dual Emission of Fluorescence and Phosphorescence. </w:t>
      </w:r>
      <w:r>
        <w:rPr>
          <w:rFonts w:cs="Times New Roman"/>
          <w:i/>
          <w:kern w:val="0"/>
          <w:szCs w:val="24"/>
        </w:rPr>
        <w:t>Chem. Mater.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32</w:t>
      </w:r>
      <w:r>
        <w:rPr>
          <w:rFonts w:cs="Times New Roman"/>
          <w:kern w:val="0"/>
          <w:szCs w:val="24"/>
        </w:rPr>
        <w:t>, 4038-4044, (2020).</w:t>
      </w:r>
    </w:p>
    <w:p>
      <w:pPr>
        <w:pStyle w:val="a6"/>
        <w:numPr>
          <w:ilvl w:val="0"/>
          <w:numId w:val="2"/>
        </w:numPr>
        <w:spacing w:line="480" w:lineRule="auto"/>
        <w:ind w:firstLineChars="0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 xml:space="preserve">Liu, M. et al. Boron‐Containing Molecules with Fluorescence‐Phosphorescence </w:t>
      </w:r>
      <w:r>
        <w:rPr>
          <w:rFonts w:cs="Times New Roman"/>
          <w:kern w:val="0"/>
          <w:szCs w:val="24"/>
        </w:rPr>
        <w:lastRenderedPageBreak/>
        <w:t xml:space="preserve">Dual‐Emission for Mechanochromism and Single Molecular White Light‐Emitting Diodes. </w:t>
      </w:r>
      <w:r>
        <w:rPr>
          <w:rFonts w:cs="Times New Roman"/>
          <w:i/>
          <w:kern w:val="0"/>
          <w:szCs w:val="24"/>
        </w:rPr>
        <w:t>Adv. Opt. Mater.</w:t>
      </w:r>
      <w:r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b/>
          <w:kern w:val="0"/>
          <w:szCs w:val="24"/>
        </w:rPr>
        <w:t>11</w:t>
      </w:r>
      <w:r>
        <w:rPr>
          <w:rFonts w:cs="Times New Roman"/>
          <w:kern w:val="0"/>
          <w:szCs w:val="24"/>
        </w:rPr>
        <w:t>, 2202918, (2023).</w:t>
      </w:r>
    </w:p>
    <w:p>
      <w:pPr>
        <w:spacing w:line="480" w:lineRule="auto"/>
        <w:rPr>
          <w:rFonts w:cs="Times New Roman"/>
          <w:kern w:val="0"/>
          <w:szCs w:val="24"/>
        </w:rPr>
      </w:pPr>
    </w:p>
    <w:p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>
      <w:pgSz w:w="11906" w:h="16838" w:code="9"/>
      <w:pgMar w:top="1440" w:right="1797" w:bottom="1440" w:left="1797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3360E"/>
    <w:multiLevelType w:val="hybridMultilevel"/>
    <w:tmpl w:val="194CFC1C"/>
    <w:lvl w:ilvl="0" w:tplc="6F86C006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F43351B"/>
    <w:multiLevelType w:val="hybridMultilevel"/>
    <w:tmpl w:val="43965C1A"/>
    <w:lvl w:ilvl="0" w:tplc="B288A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chartTrackingRefBased/>
  <w15:docId w15:val="{31245BCA-F7D9-4020-8310-F6FEB45C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Title2">
    <w:name w:val="Title2"/>
    <w:basedOn w:val="a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AuthorsFull">
    <w:name w:val="Authors Full"/>
    <w:basedOn w:val="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fontstyle01">
    <w:name w:val="fontstyle01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RSCB08CHeadingIn-line">
    <w:name w:val="RSC B08 C Heading (In-line)"/>
    <w:link w:val="RSCB08CHeadingIn-lineChar"/>
    <w:qFormat/>
    <w:pPr>
      <w:spacing w:line="276" w:lineRule="auto"/>
    </w:pPr>
    <w:rPr>
      <w:rFonts w:ascii="等线" w:eastAsia="等线" w:hAnsi="等线" w:cs="Times New Roman"/>
      <w:b/>
      <w:kern w:val="0"/>
      <w:sz w:val="18"/>
      <w:lang w:val="en-GB" w:eastAsia="en-US"/>
    </w:rPr>
  </w:style>
  <w:style w:type="character" w:customStyle="1" w:styleId="RSCB08CHeadingIn-lineChar">
    <w:name w:val="RSC B08 C Heading (In-line) Char"/>
    <w:link w:val="RSCB08CHeadingIn-line"/>
    <w:rPr>
      <w:rFonts w:ascii="等线" w:eastAsia="等线" w:hAnsi="等线" w:cs="Times New Roman"/>
      <w:b/>
      <w:kern w:val="0"/>
      <w:sz w:val="18"/>
      <w:lang w:val="en-GB" w:eastAsia="en-US"/>
    </w:rPr>
  </w:style>
  <w:style w:type="character" w:customStyle="1" w:styleId="2Char">
    <w:name w:val="标题 2 Char"/>
    <w:basedOn w:val="a0"/>
    <w:link w:val="2"/>
    <w:uiPriority w:val="9"/>
    <w:rPr>
      <w:rFonts w:ascii="Times New Roman" w:eastAsiaTheme="majorEastAsia" w:hAnsi="Times New Roman" w:cstheme="majorBidi"/>
      <w:b/>
      <w:bCs/>
      <w:sz w:val="32"/>
      <w:szCs w:val="32"/>
    </w:rPr>
  </w:style>
  <w:style w:type="paragraph" w:customStyle="1" w:styleId="P1">
    <w:name w:val="P1"/>
    <w:basedOn w:val="a"/>
    <w:qFormat/>
    <w:pPr>
      <w:widowControl/>
      <w:spacing w:line="225" w:lineRule="exact"/>
      <w:jc w:val="left"/>
    </w:pPr>
    <w:rPr>
      <w:rFonts w:ascii="Arial" w:eastAsia="MS Mincho" w:hAnsi="Arial" w:cs="Times New Roman"/>
      <w:kern w:val="0"/>
      <w:sz w:val="17"/>
      <w:szCs w:val="24"/>
      <w:lang w:eastAsia="ja-JP"/>
    </w:rPr>
  </w:style>
  <w:style w:type="paragraph" w:customStyle="1" w:styleId="SchemeCaption">
    <w:name w:val="SchemeCaption"/>
    <w:basedOn w:val="a"/>
    <w:pPr>
      <w:widowControl/>
      <w:spacing w:before="230" w:after="460"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styleId="a6">
    <w:name w:val="List Paragraph"/>
    <w:basedOn w:val="a"/>
    <w:link w:val="Char1"/>
    <w:uiPriority w:val="34"/>
    <w:qFormat/>
    <w:pPr>
      <w:ind w:firstLineChars="200" w:firstLine="420"/>
    </w:pPr>
    <w:rPr>
      <w:rFonts w:ascii="Times New Roman" w:hAnsi="Times New Roman"/>
      <w:sz w:val="24"/>
    </w:rPr>
  </w:style>
  <w:style w:type="character" w:customStyle="1" w:styleId="Char1">
    <w:name w:val="列出段落 Char"/>
    <w:basedOn w:val="a0"/>
    <w:link w:val="a6"/>
    <w:uiPriority w:val="34"/>
    <w:rPr>
      <w:rFonts w:ascii="Times New Roman" w:hAnsi="Times New Roman"/>
      <w:sz w:val="24"/>
    </w:rPr>
  </w:style>
  <w:style w:type="paragraph" w:customStyle="1" w:styleId="TableFoot">
    <w:name w:val="TableFoot"/>
    <w:basedOn w:val="a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before="60" w:after="60"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table" w:styleId="a7">
    <w:name w:val="Table Grid"/>
    <w:basedOn w:val="a1"/>
    <w:uiPriority w:val="3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Caption"/>
    <w:basedOn w:val="a"/>
    <w:qFormat/>
    <w:pPr>
      <w:widowControl/>
      <w:spacing w:after="120"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customStyle="1" w:styleId="EndNoteBibliography">
    <w:name w:val="EndNote Bibliography"/>
    <w:basedOn w:val="a"/>
    <w:link w:val="EndNoteBibliographyChar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hAnsi="Calibri" w:cs="Calibri"/>
      <w:noProof/>
      <w:sz w:val="20"/>
    </w:rPr>
  </w:style>
  <w:style w:type="character" w:styleId="a8">
    <w:name w:val="line number"/>
    <w:basedOn w:val="a0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image" Target="media/image1.wmf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30</Pages>
  <Words>3314</Words>
  <Characters>18891</Characters>
  <Application>Microsoft Office Word</Application>
  <DocSecurity>0</DocSecurity>
  <Lines>157</Lines>
  <Paragraphs>44</Paragraphs>
  <ScaleCrop>false</ScaleCrop>
  <Company/>
  <LinksUpToDate>false</LinksUpToDate>
  <CharactersWithSpaces>22161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solid</dc:creator>
  <cp:keywords/>
  <dc:description/>
  <cp:lastModifiedBy>solid</cp:lastModifiedBy>
  <cp:revision>22</cp:revision>
  <dcterms:created xsi:type="dcterms:W3CDTF">2019-08-02T02:44:00Z</dcterms:created>
  <dcterms:modified xsi:type="dcterms:W3CDTF">2024-03-28T08:23:00Z</dcterms:modified>
</cp:coreProperties>
</file>