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AD413" w14:textId="0D36843D" w:rsidR="007B01EE" w:rsidRPr="00775E7D" w:rsidRDefault="00FF10DF" w:rsidP="007B01EE">
      <w:pPr>
        <w:spacing w:line="480" w:lineRule="auto"/>
        <w:ind w:firstLine="120"/>
        <w:textAlignment w:val="baseline"/>
        <w:rPr>
          <w:rFonts w:eastAsia="Meiryo UI"/>
          <w:color w:val="000000" w:themeColor="text1"/>
          <w:szCs w:val="24"/>
        </w:rPr>
      </w:pPr>
      <w:r>
        <w:rPr>
          <w:rFonts w:eastAsia="Meiryo UI"/>
          <w:color w:val="000000" w:themeColor="text1"/>
          <w:szCs w:val="24"/>
        </w:rPr>
        <w:t xml:space="preserve">Supplemental </w:t>
      </w:r>
      <w:r w:rsidR="007B01EE" w:rsidRPr="00775E7D">
        <w:rPr>
          <w:rFonts w:eastAsia="Meiryo UI"/>
          <w:color w:val="000000" w:themeColor="text1"/>
          <w:szCs w:val="24"/>
        </w:rPr>
        <w:t xml:space="preserve">Table </w:t>
      </w:r>
      <w:r>
        <w:rPr>
          <w:rFonts w:eastAsia="Meiryo UI"/>
          <w:color w:val="000000" w:themeColor="text1"/>
          <w:szCs w:val="24"/>
        </w:rPr>
        <w:t>1</w:t>
      </w:r>
      <w:r w:rsidR="007B01EE" w:rsidRPr="00775E7D">
        <w:rPr>
          <w:rFonts w:eastAsia="Meiryo UI"/>
          <w:color w:val="000000" w:themeColor="text1"/>
          <w:szCs w:val="24"/>
        </w:rPr>
        <w:t xml:space="preserve"> Literature review of studies using ABPC+CTRX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"/>
        <w:gridCol w:w="2100"/>
        <w:gridCol w:w="1887"/>
        <w:gridCol w:w="2475"/>
        <w:gridCol w:w="2205"/>
      </w:tblGrid>
      <w:tr w:rsidR="007B01EE" w:rsidRPr="00775E7D" w14:paraId="0776F4E9" w14:textId="77777777" w:rsidTr="007A7445">
        <w:trPr>
          <w:trHeight w:val="300"/>
        </w:trPr>
        <w:tc>
          <w:tcPr>
            <w:tcW w:w="3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4F7692B3" w14:textId="77777777" w:rsidR="007B01EE" w:rsidRPr="00775E7D" w:rsidRDefault="007B01EE" w:rsidP="007A7445">
            <w:pPr>
              <w:spacing w:line="480" w:lineRule="auto"/>
              <w:jc w:val="center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1 </w:t>
            </w:r>
          </w:p>
        </w:tc>
        <w:tc>
          <w:tcPr>
            <w:tcW w:w="21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2E6C6E7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A. Ramos-Martinez, et al, 2020</w:t>
            </w:r>
            <w:r>
              <w:rPr>
                <w:rFonts w:eastAsia="ＭＳ Ｐゴシック"/>
                <w:color w:val="000000" w:themeColor="text1"/>
                <w:szCs w:val="24"/>
              </w:rPr>
              <w:t xml:space="preserve"> </w:t>
            </w:r>
            <w:r w:rsidRPr="00775E7D">
              <w:rPr>
                <w:rFonts w:eastAsia="ＭＳ Ｐゴシック"/>
                <w:color w:val="000000" w:themeColor="text1"/>
                <w:szCs w:val="24"/>
                <w:shd w:val="clear" w:color="auto" w:fill="E1E3E6"/>
              </w:rPr>
              <w:t>[1]</w:t>
            </w:r>
            <w:r w:rsidRPr="00775E7D">
              <w:rPr>
                <w:rFonts w:eastAsia="ＭＳ Ｐゴシック"/>
                <w:color w:val="000000" w:themeColor="text1"/>
                <w:szCs w:val="24"/>
              </w:rPr>
              <w:t>/non-randomized prospective cohort study</w:t>
            </w:r>
            <w:r w:rsidRPr="00775E7D">
              <w:rPr>
                <w:rFonts w:eastAsia="ＭＳ Ｐゴシック"/>
                <w:i/>
                <w:iCs/>
                <w:color w:val="000000" w:themeColor="text1"/>
                <w:szCs w:val="24"/>
              </w:rPr>
              <w:t>/E. faecalis</w:t>
            </w:r>
            <w:r w:rsidRPr="00775E7D">
              <w:rPr>
                <w:rFonts w:eastAsia="ＭＳ Ｐゴシック"/>
                <w:color w:val="000000" w:themeColor="text1"/>
                <w:szCs w:val="24"/>
              </w:rPr>
              <w:t xml:space="preserve"> NVE </w:t>
            </w: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3A6958A5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767A8BC7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ABPC 2gq4h plus CTRX2gq12hr for 4 weeks (39)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514954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2gq4h plus CTRX2gq12hr for 6 weeks (70) </w:t>
            </w:r>
          </w:p>
        </w:tc>
      </w:tr>
      <w:tr w:rsidR="007B01EE" w:rsidRPr="00775E7D" w14:paraId="2AE1BD69" w14:textId="77777777" w:rsidTr="007A7445">
        <w:trPr>
          <w:trHeight w:val="6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99E3681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59DE4FB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5663D3C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Previous renal failure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E480EA6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11/39 (28.2%)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D66C6B4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17/70 (24.3%) </w:t>
            </w:r>
          </w:p>
        </w:tc>
      </w:tr>
      <w:tr w:rsidR="007B01EE" w:rsidRPr="00775E7D" w14:paraId="2579A90A" w14:textId="77777777" w:rsidTr="007A7445">
        <w:trPr>
          <w:trHeight w:val="6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12C2CB4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6BBBAC7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6AF91F69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Renal impairment/ </w:t>
            </w:r>
          </w:p>
          <w:p w14:paraId="7236E50B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glomerulonephritis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EFDD866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10/39 (25.6%) / 0/39 (0%)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B638F35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20/70 (28.6%) / 1/39 (3%) </w:t>
            </w:r>
          </w:p>
        </w:tc>
      </w:tr>
      <w:tr w:rsidR="007B01EE" w:rsidRPr="00775E7D" w14:paraId="07DB2D44" w14:textId="77777777" w:rsidTr="007A7445">
        <w:trPr>
          <w:trHeight w:val="6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756B4BB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4604A70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D14A917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Leukopenia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CA7C19A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0/39 (0%)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ABB2083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2/70 (2.8%) </w:t>
            </w:r>
          </w:p>
        </w:tc>
      </w:tr>
      <w:tr w:rsidR="007B01EE" w:rsidRPr="00775E7D" w14:paraId="4F3F0AF3" w14:textId="77777777" w:rsidTr="007A7445">
        <w:trPr>
          <w:trHeight w:val="42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E643DDA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6A5BE38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7F7F4514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In-hospital mortality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08A0F32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4/39 (10.3%)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B75BF76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8/70 (11.4%) </w:t>
            </w:r>
          </w:p>
        </w:tc>
      </w:tr>
      <w:tr w:rsidR="007B01EE" w:rsidRPr="00775E7D" w14:paraId="36511D55" w14:textId="77777777" w:rsidTr="007A7445">
        <w:trPr>
          <w:trHeight w:val="615"/>
        </w:trPr>
        <w:tc>
          <w:tcPr>
            <w:tcW w:w="3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4093FA7F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2 </w:t>
            </w:r>
          </w:p>
        </w:tc>
        <w:tc>
          <w:tcPr>
            <w:tcW w:w="21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07FDBB66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 xml:space="preserve">A. El </w:t>
            </w:r>
            <w:proofErr w:type="spellStart"/>
            <w:r w:rsidRPr="00775E7D">
              <w:rPr>
                <w:rFonts w:eastAsia="ＭＳ Ｐゴシック"/>
                <w:color w:val="000000" w:themeColor="text1"/>
                <w:szCs w:val="24"/>
              </w:rPr>
              <w:t>Rafei</w:t>
            </w:r>
            <w:proofErr w:type="spellEnd"/>
            <w:r w:rsidRPr="00775E7D">
              <w:rPr>
                <w:rFonts w:eastAsia="ＭＳ Ｐゴシック"/>
                <w:color w:val="000000" w:themeColor="text1"/>
                <w:szCs w:val="24"/>
              </w:rPr>
              <w:t>, et al, 2018</w:t>
            </w:r>
            <w:r>
              <w:rPr>
                <w:rFonts w:eastAsia="ＭＳ Ｐゴシック"/>
                <w:color w:val="000000" w:themeColor="text1"/>
                <w:szCs w:val="24"/>
              </w:rPr>
              <w:t xml:space="preserve"> </w:t>
            </w:r>
            <w:r w:rsidRPr="00775E7D">
              <w:rPr>
                <w:rFonts w:eastAsia="ＭＳ Ｐゴシック"/>
                <w:color w:val="000000" w:themeColor="text1"/>
                <w:szCs w:val="24"/>
                <w:shd w:val="clear" w:color="auto" w:fill="E1E3E6"/>
              </w:rPr>
              <w:t>[2]</w:t>
            </w:r>
            <w:r w:rsidRPr="00775E7D">
              <w:rPr>
                <w:rFonts w:eastAsia="ＭＳ Ｐゴシック"/>
                <w:color w:val="000000" w:themeColor="text1"/>
                <w:szCs w:val="24"/>
              </w:rPr>
              <w:t xml:space="preserve"> /retrospective cohort study/</w:t>
            </w:r>
            <w:r w:rsidRPr="00775E7D">
              <w:rPr>
                <w:rFonts w:eastAsia="ＭＳ Ｐゴシック"/>
                <w:i/>
                <w:iCs/>
                <w:color w:val="000000" w:themeColor="text1"/>
                <w:szCs w:val="24"/>
              </w:rPr>
              <w:t>E. faecalis</w:t>
            </w:r>
            <w:r w:rsidRPr="00775E7D">
              <w:rPr>
                <w:rFonts w:eastAsia="ＭＳ Ｐゴシック"/>
                <w:color w:val="000000" w:themeColor="text1"/>
                <w:szCs w:val="24"/>
              </w:rPr>
              <w:t xml:space="preserve"> NVE, PVE </w:t>
            </w: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2C0AE2B1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38A76157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ABPC 2gq4h plus CTRX2gq12hr for 4–6 weeks (18)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4E1390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ABPC 2gq4h plus GM 3 mg/kg/day for 4–6 weeks (67) </w:t>
            </w:r>
          </w:p>
        </w:tc>
      </w:tr>
      <w:tr w:rsidR="007B01EE" w:rsidRPr="00775E7D" w14:paraId="30D3D5FC" w14:textId="77777777" w:rsidTr="007A7445">
        <w:trPr>
          <w:trHeight w:val="6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0DF0B30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7BD0AF3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A59F64D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AKI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84AC2A3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2/18 (11%)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719B8CF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17/67 (25%) </w:t>
            </w:r>
          </w:p>
        </w:tc>
      </w:tr>
      <w:tr w:rsidR="007B01EE" w:rsidRPr="00775E7D" w14:paraId="15E40804" w14:textId="77777777" w:rsidTr="007A7445">
        <w:trPr>
          <w:trHeight w:val="48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9C4F6E5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4407A92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8AB0289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Leukopenia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38D3742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0/18 (0%)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B8DB19F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0/67 (0%) </w:t>
            </w:r>
          </w:p>
        </w:tc>
      </w:tr>
      <w:tr w:rsidR="007B01EE" w:rsidRPr="00775E7D" w14:paraId="728146C4" w14:textId="77777777" w:rsidTr="007A7445">
        <w:trPr>
          <w:trHeight w:val="4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8144077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BFA0C37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72B384E6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1-year mortality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BFE738C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2/18 (11%)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BA3B5C7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6/67 (9%) </w:t>
            </w:r>
          </w:p>
        </w:tc>
      </w:tr>
      <w:tr w:rsidR="007B01EE" w:rsidRPr="00775E7D" w14:paraId="244C017C" w14:textId="77777777" w:rsidTr="007A7445">
        <w:trPr>
          <w:trHeight w:val="4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484C53D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48F8E8C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225C8573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2785887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ABPC+CTRX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E92562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 </w:t>
            </w:r>
          </w:p>
        </w:tc>
      </w:tr>
      <w:tr w:rsidR="007B01EE" w:rsidRPr="00775E7D" w14:paraId="03BA889A" w14:textId="77777777" w:rsidTr="007A7445">
        <w:trPr>
          <w:trHeight w:val="555"/>
        </w:trPr>
        <w:tc>
          <w:tcPr>
            <w:tcW w:w="3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2E1C6A5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lastRenderedPageBreak/>
              <w:t>3 </w:t>
            </w:r>
          </w:p>
        </w:tc>
        <w:tc>
          <w:tcPr>
            <w:tcW w:w="21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7A8E5E30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 xml:space="preserve">J. M. </w:t>
            </w:r>
            <w:proofErr w:type="spellStart"/>
            <w:r w:rsidRPr="00775E7D">
              <w:rPr>
                <w:rFonts w:eastAsia="ＭＳ Ｐゴシック"/>
                <w:color w:val="000000" w:themeColor="text1"/>
                <w:szCs w:val="24"/>
              </w:rPr>
              <w:t>Pericas</w:t>
            </w:r>
            <w:proofErr w:type="spellEnd"/>
            <w:r w:rsidRPr="00775E7D">
              <w:rPr>
                <w:rFonts w:eastAsia="ＭＳ Ｐゴシック"/>
                <w:color w:val="000000" w:themeColor="text1"/>
                <w:szCs w:val="24"/>
              </w:rPr>
              <w:t>, et al, 2018</w:t>
            </w:r>
            <w:r>
              <w:rPr>
                <w:rFonts w:eastAsia="ＭＳ Ｐゴシック"/>
                <w:color w:val="000000" w:themeColor="text1"/>
                <w:szCs w:val="24"/>
              </w:rPr>
              <w:t xml:space="preserve"> </w:t>
            </w:r>
            <w:r w:rsidRPr="00775E7D">
              <w:rPr>
                <w:rFonts w:eastAsia="ＭＳ Ｐゴシック"/>
                <w:color w:val="000000" w:themeColor="text1"/>
                <w:szCs w:val="24"/>
                <w:shd w:val="clear" w:color="auto" w:fill="E1E3E6"/>
              </w:rPr>
              <w:t>[9]</w:t>
            </w:r>
            <w:r w:rsidRPr="00775E7D">
              <w:rPr>
                <w:rFonts w:eastAsia="ＭＳ Ｐゴシック"/>
                <w:color w:val="000000" w:themeColor="text1"/>
                <w:szCs w:val="24"/>
              </w:rPr>
              <w:t>/retrospective analysis of a prospective collected data/</w:t>
            </w:r>
            <w:r w:rsidRPr="00775E7D">
              <w:rPr>
                <w:rFonts w:eastAsia="ＭＳ Ｐゴシック"/>
                <w:i/>
                <w:iCs/>
                <w:color w:val="000000" w:themeColor="text1"/>
                <w:szCs w:val="24"/>
              </w:rPr>
              <w:t>E. faecalis</w:t>
            </w:r>
            <w:r w:rsidRPr="00775E7D">
              <w:rPr>
                <w:rFonts w:eastAsia="ＭＳ Ｐゴシック"/>
                <w:color w:val="000000" w:themeColor="text1"/>
                <w:szCs w:val="24"/>
              </w:rPr>
              <w:t xml:space="preserve"> NVE, PVE </w:t>
            </w: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2C044C2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651AA0EA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ABPC 2gq4h plus CTRX2gq12hr for 4–6 weeks (46)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9C1410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ABPC 2gq4h plus GM 3 mg/kg/day for 4–6 weeks (32) </w:t>
            </w:r>
          </w:p>
        </w:tc>
      </w:tr>
      <w:tr w:rsidR="007B01EE" w:rsidRPr="00775E7D" w14:paraId="6B6EB71B" w14:textId="77777777" w:rsidTr="007A7445">
        <w:trPr>
          <w:trHeight w:val="5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61726CE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13882C7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FFDF33E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CKD/HD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C698164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12/46 (26%)/ </w:t>
            </w:r>
          </w:p>
          <w:p w14:paraId="5695BA6F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1/46 (2%)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91E1DC0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8/32 (25%)/ </w:t>
            </w:r>
          </w:p>
          <w:p w14:paraId="23681808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3/32 (9%) </w:t>
            </w:r>
          </w:p>
        </w:tc>
      </w:tr>
      <w:tr w:rsidR="007B01EE" w:rsidRPr="00775E7D" w14:paraId="13F9D2CA" w14:textId="77777777" w:rsidTr="007A7445">
        <w:trPr>
          <w:trHeight w:val="6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1737C99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67FC1BE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E38466D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AKI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FF2AA7A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15/46 (33%)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B82CCDB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20/32 (63%) </w:t>
            </w:r>
          </w:p>
        </w:tc>
      </w:tr>
      <w:tr w:rsidR="007B01EE" w:rsidRPr="00775E7D" w14:paraId="4DF0BB97" w14:textId="77777777" w:rsidTr="007A7445">
        <w:trPr>
          <w:trHeight w:val="48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2185224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A142937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27DD94D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myelotoxicity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1065344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1/46 (2%)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B50795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0/32 (0%) </w:t>
            </w:r>
          </w:p>
        </w:tc>
      </w:tr>
      <w:tr w:rsidR="007B01EE" w:rsidRPr="00775E7D" w14:paraId="6B4CDDDE" w14:textId="77777777" w:rsidTr="007A7445">
        <w:trPr>
          <w:trHeight w:val="31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7596F3E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D0D59C4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74398F8A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1-year mortality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F448B14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11/46 (24%)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987852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10/32 (31%) </w:t>
            </w:r>
          </w:p>
        </w:tc>
      </w:tr>
      <w:tr w:rsidR="007B01EE" w:rsidRPr="00775E7D" w14:paraId="07615921" w14:textId="77777777" w:rsidTr="007A7445">
        <w:trPr>
          <w:trHeight w:val="315"/>
        </w:trPr>
        <w:tc>
          <w:tcPr>
            <w:tcW w:w="3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7EE8860E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4 </w:t>
            </w:r>
          </w:p>
        </w:tc>
        <w:tc>
          <w:tcPr>
            <w:tcW w:w="21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396BC365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N. H. Shah, et al, 2021</w:t>
            </w:r>
            <w:r>
              <w:rPr>
                <w:rFonts w:eastAsia="ＭＳ Ｐゴシック"/>
                <w:color w:val="000000" w:themeColor="text1"/>
                <w:szCs w:val="24"/>
              </w:rPr>
              <w:t xml:space="preserve"> </w:t>
            </w:r>
            <w:r w:rsidRPr="00775E7D">
              <w:rPr>
                <w:rFonts w:eastAsia="ＭＳ Ｐゴシック"/>
                <w:color w:val="000000" w:themeColor="text1"/>
                <w:szCs w:val="24"/>
                <w:shd w:val="clear" w:color="auto" w:fill="E1E3E6"/>
              </w:rPr>
              <w:t>[10]</w:t>
            </w:r>
            <w:r w:rsidRPr="00775E7D">
              <w:rPr>
                <w:rFonts w:eastAsia="ＭＳ Ｐゴシック"/>
                <w:color w:val="000000" w:themeColor="text1"/>
                <w:szCs w:val="24"/>
              </w:rPr>
              <w:t>/propensity score-matched retrospective cohort study/</w:t>
            </w:r>
            <w:r w:rsidRPr="00775E7D">
              <w:rPr>
                <w:rFonts w:eastAsia="ＭＳ Ｐゴシック"/>
                <w:i/>
                <w:iCs/>
                <w:color w:val="000000" w:themeColor="text1"/>
                <w:szCs w:val="24"/>
              </w:rPr>
              <w:t>E. faecalis</w:t>
            </w:r>
            <w:r w:rsidRPr="00775E7D">
              <w:rPr>
                <w:rFonts w:eastAsia="ＭＳ Ｐゴシック"/>
                <w:color w:val="000000" w:themeColor="text1"/>
                <w:szCs w:val="24"/>
              </w:rPr>
              <w:t xml:space="preserve"> NVE, PVE </w:t>
            </w: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7633BA5A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39810588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ABPC plus CTRX(100)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BE0F65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ABPC plus GM(90) </w:t>
            </w:r>
          </w:p>
        </w:tc>
      </w:tr>
      <w:tr w:rsidR="007B01EE" w:rsidRPr="00775E7D" w14:paraId="1F60FE59" w14:textId="77777777" w:rsidTr="007A7445">
        <w:trPr>
          <w:trHeight w:val="42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CA50CBF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2E6D959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0D2CFCA2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CKD/HD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1E48967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NP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77F0E4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NP </w:t>
            </w:r>
          </w:p>
        </w:tc>
      </w:tr>
      <w:tr w:rsidR="007B01EE" w:rsidRPr="00775E7D" w14:paraId="462EECF7" w14:textId="77777777" w:rsidTr="007A7445">
        <w:trPr>
          <w:trHeight w:val="42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70A538D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2344368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A0AB7EE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AKI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83F2CC9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6/100 (6%)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A5D024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13/90 (14%) </w:t>
            </w:r>
          </w:p>
        </w:tc>
      </w:tr>
      <w:tr w:rsidR="007B01EE" w:rsidRPr="00775E7D" w14:paraId="1E1C3699" w14:textId="77777777" w:rsidTr="007A7445">
        <w:trPr>
          <w:trHeight w:val="48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1458B30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3F9608B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0F97F81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Leukopenia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E9D2484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1/100 (1%)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D8EE60B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4/90 (4%) </w:t>
            </w:r>
          </w:p>
        </w:tc>
      </w:tr>
      <w:tr w:rsidR="007B01EE" w:rsidRPr="00775E7D" w14:paraId="747AD912" w14:textId="77777777" w:rsidTr="007A7445">
        <w:trPr>
          <w:trHeight w:val="28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B675623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6604C4B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375B88FA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90-day mortality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4DA2AD58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6/56 (10.7%) after PS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E0F097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4/56 (7.1%) after PS </w:t>
            </w:r>
          </w:p>
        </w:tc>
      </w:tr>
      <w:tr w:rsidR="007B01EE" w:rsidRPr="00775E7D" w14:paraId="5EC8AA7A" w14:textId="77777777" w:rsidTr="007A7445">
        <w:trPr>
          <w:trHeight w:val="525"/>
        </w:trPr>
        <w:tc>
          <w:tcPr>
            <w:tcW w:w="3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27E69049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5 </w:t>
            </w:r>
          </w:p>
        </w:tc>
        <w:tc>
          <w:tcPr>
            <w:tcW w:w="21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33A0707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 xml:space="preserve">J. </w:t>
            </w:r>
            <w:proofErr w:type="spellStart"/>
            <w:r w:rsidRPr="00775E7D">
              <w:rPr>
                <w:rFonts w:eastAsia="ＭＳ Ｐゴシック"/>
                <w:color w:val="000000" w:themeColor="text1"/>
                <w:szCs w:val="24"/>
              </w:rPr>
              <w:t>Gavalda</w:t>
            </w:r>
            <w:proofErr w:type="spellEnd"/>
            <w:r w:rsidRPr="00775E7D">
              <w:rPr>
                <w:rFonts w:eastAsia="ＭＳ Ｐゴシック"/>
                <w:color w:val="000000" w:themeColor="text1"/>
                <w:szCs w:val="24"/>
              </w:rPr>
              <w:t xml:space="preserve">, et al, 2007 </w:t>
            </w:r>
            <w:r>
              <w:rPr>
                <w:rFonts w:eastAsia="ＭＳ Ｐゴシック"/>
                <w:color w:val="000000" w:themeColor="text1"/>
                <w:szCs w:val="24"/>
              </w:rPr>
              <w:t xml:space="preserve"> </w:t>
            </w:r>
            <w:r w:rsidRPr="00775E7D">
              <w:rPr>
                <w:rFonts w:eastAsia="ＭＳ Ｐゴシック"/>
                <w:color w:val="000000" w:themeColor="text1"/>
                <w:szCs w:val="24"/>
                <w:shd w:val="clear" w:color="auto" w:fill="E1E3E6"/>
              </w:rPr>
              <w:t>[11]</w:t>
            </w:r>
            <w:r w:rsidRPr="00775E7D">
              <w:rPr>
                <w:rFonts w:eastAsia="ＭＳ Ｐゴシック"/>
                <w:color w:val="000000" w:themeColor="text1"/>
                <w:szCs w:val="24"/>
              </w:rPr>
              <w:t xml:space="preserve">/Observational, open label, non-randomized cohort </w:t>
            </w:r>
            <w:r w:rsidRPr="00775E7D">
              <w:rPr>
                <w:rFonts w:eastAsia="ＭＳ Ｐゴシック"/>
                <w:color w:val="000000" w:themeColor="text1"/>
                <w:szCs w:val="24"/>
              </w:rPr>
              <w:lastRenderedPageBreak/>
              <w:t>study/</w:t>
            </w:r>
            <w:r w:rsidRPr="00775E7D">
              <w:rPr>
                <w:rFonts w:eastAsia="ＭＳ Ｐゴシック"/>
                <w:i/>
                <w:iCs/>
                <w:color w:val="000000" w:themeColor="text1"/>
                <w:szCs w:val="24"/>
              </w:rPr>
              <w:t>E. faecalis</w:t>
            </w:r>
            <w:r w:rsidRPr="00775E7D">
              <w:rPr>
                <w:rFonts w:eastAsia="ＭＳ Ｐゴシック"/>
                <w:color w:val="000000" w:themeColor="text1"/>
                <w:szCs w:val="24"/>
              </w:rPr>
              <w:t xml:space="preserve"> NVE, PVE </w:t>
            </w: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42C6E75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lastRenderedPageBreak/>
              <w:t>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7967351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ABPC 2g q4hr plus CTRX 2g q12hr for 6 weeks (43)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D2CB29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 </w:t>
            </w:r>
          </w:p>
        </w:tc>
      </w:tr>
      <w:tr w:rsidR="007B01EE" w:rsidRPr="00775E7D" w14:paraId="48B3D1CD" w14:textId="77777777" w:rsidTr="007A7445">
        <w:trPr>
          <w:trHeight w:val="45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340E834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C190394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6AB4C29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CKD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495A36D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8/43 (19%)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AB60F8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 </w:t>
            </w:r>
          </w:p>
        </w:tc>
      </w:tr>
      <w:tr w:rsidR="007B01EE" w:rsidRPr="00775E7D" w14:paraId="7423D534" w14:textId="77777777" w:rsidTr="007A7445">
        <w:trPr>
          <w:trHeight w:val="42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58478CB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61ADCFD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F9C9633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AKI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53AF685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0/43 (0%)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103DE8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 </w:t>
            </w:r>
          </w:p>
        </w:tc>
      </w:tr>
      <w:tr w:rsidR="007B01EE" w:rsidRPr="00775E7D" w14:paraId="6E7CC175" w14:textId="77777777" w:rsidTr="007A7445">
        <w:trPr>
          <w:trHeight w:val="21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DB729B3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6C76A9B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B518715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Leukopenia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1B83B7A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1/43 (2%)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CE5AC4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 </w:t>
            </w:r>
          </w:p>
        </w:tc>
      </w:tr>
      <w:tr w:rsidR="007B01EE" w:rsidRPr="00775E7D" w14:paraId="525E72BE" w14:textId="77777777" w:rsidTr="007A7445">
        <w:trPr>
          <w:trHeight w:val="21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3169572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4701E7D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C4E86B6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All-cause mortality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B92E423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12/43 (28%)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D46DB78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 </w:t>
            </w:r>
          </w:p>
        </w:tc>
      </w:tr>
      <w:tr w:rsidR="007B01EE" w:rsidRPr="00775E7D" w14:paraId="5ECB64A9" w14:textId="77777777" w:rsidTr="007A7445">
        <w:trPr>
          <w:trHeight w:val="210"/>
        </w:trPr>
        <w:tc>
          <w:tcPr>
            <w:tcW w:w="3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0C64CF4C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6 </w:t>
            </w:r>
          </w:p>
        </w:tc>
        <w:tc>
          <w:tcPr>
            <w:tcW w:w="21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2715C25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 xml:space="preserve">N. Fernandez-Hidalgo, et al, 2013 </w:t>
            </w:r>
            <w:r>
              <w:rPr>
                <w:rFonts w:eastAsia="ＭＳ Ｐゴシック"/>
                <w:color w:val="000000" w:themeColor="text1"/>
                <w:szCs w:val="24"/>
              </w:rPr>
              <w:t xml:space="preserve"> </w:t>
            </w:r>
            <w:r w:rsidRPr="00775E7D">
              <w:rPr>
                <w:rFonts w:eastAsia="ＭＳ Ｐゴシック"/>
                <w:color w:val="000000" w:themeColor="text1"/>
                <w:szCs w:val="24"/>
                <w:shd w:val="clear" w:color="auto" w:fill="E1E3E6"/>
              </w:rPr>
              <w:t>[12]</w:t>
            </w:r>
            <w:r w:rsidRPr="00775E7D">
              <w:rPr>
                <w:rFonts w:eastAsia="ＭＳ Ｐゴシック"/>
                <w:color w:val="000000" w:themeColor="text1"/>
                <w:szCs w:val="24"/>
              </w:rPr>
              <w:t>/Non-randomized, non-blinded cohort study/</w:t>
            </w:r>
            <w:r w:rsidRPr="00775E7D">
              <w:rPr>
                <w:rFonts w:eastAsia="ＭＳ Ｐゴシック"/>
                <w:i/>
                <w:iCs/>
                <w:color w:val="000000" w:themeColor="text1"/>
                <w:szCs w:val="24"/>
              </w:rPr>
              <w:t>E. faecalis</w:t>
            </w:r>
            <w:r w:rsidRPr="00775E7D">
              <w:rPr>
                <w:rFonts w:eastAsia="ＭＳ Ｐゴシック"/>
                <w:color w:val="000000" w:themeColor="text1"/>
                <w:szCs w:val="24"/>
              </w:rPr>
              <w:t xml:space="preserve"> NVE, PVE </w:t>
            </w: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21E8C080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92DA5CB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ABPC 2gq4h plus CTRX2gq12hr for 4–6 weeks (159)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73E5EE5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ABPC 2gq4h plus GM 3 mg/kg/day for 4–6 weeks (87) </w:t>
            </w:r>
          </w:p>
        </w:tc>
      </w:tr>
      <w:tr w:rsidR="007B01EE" w:rsidRPr="00775E7D" w14:paraId="0FE91A7F" w14:textId="77777777" w:rsidTr="007A7445">
        <w:trPr>
          <w:trHeight w:val="57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BE18FB2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7527382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12625E2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CKD/HD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F8818E7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53/159 (33%)/12/159 (8%)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33052E7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14/87 (16%)/3/87 (3%) </w:t>
            </w:r>
          </w:p>
        </w:tc>
      </w:tr>
      <w:tr w:rsidR="007B01EE" w:rsidRPr="00775E7D" w14:paraId="15A51376" w14:textId="77777777" w:rsidTr="007A7445">
        <w:trPr>
          <w:trHeight w:val="54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CAA44E9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B22A97D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BCCEA36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AKI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F421699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53/159 (33%)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569C486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40/87 (46%) </w:t>
            </w:r>
          </w:p>
        </w:tc>
      </w:tr>
      <w:tr w:rsidR="007B01EE" w:rsidRPr="00775E7D" w14:paraId="3CCD9830" w14:textId="77777777" w:rsidTr="007A7445">
        <w:trPr>
          <w:trHeight w:val="8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8E853FB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3EAB448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E12D771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Leukopenia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3DFE71D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1% (only treatment interruption)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FB20DF1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0% </w:t>
            </w:r>
          </w:p>
        </w:tc>
      </w:tr>
      <w:tr w:rsidR="007B01EE" w:rsidRPr="00775E7D" w14:paraId="4400101F" w14:textId="77777777" w:rsidTr="007A7445">
        <w:trPr>
          <w:trHeight w:val="76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65447C6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A5244B4" w14:textId="77777777" w:rsidR="007B01EE" w:rsidRPr="00775E7D" w:rsidRDefault="007B01EE" w:rsidP="007A7445">
            <w:pPr>
              <w:spacing w:line="480" w:lineRule="auto"/>
              <w:rPr>
                <w:rFonts w:eastAsia="ＭＳ Ｐゴシック"/>
                <w:color w:val="000000" w:themeColor="text1"/>
                <w:szCs w:val="24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1229C10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All-cause mortality </w:t>
            </w: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7C9D027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42/159 (26%) 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44346CE" w14:textId="77777777" w:rsidR="007B01EE" w:rsidRPr="00775E7D" w:rsidRDefault="007B01EE" w:rsidP="007A7445">
            <w:pPr>
              <w:spacing w:line="480" w:lineRule="auto"/>
              <w:textAlignment w:val="baseline"/>
              <w:rPr>
                <w:rFonts w:eastAsia="ＭＳ Ｐゴシック"/>
                <w:color w:val="000000" w:themeColor="text1"/>
                <w:szCs w:val="24"/>
              </w:rPr>
            </w:pPr>
            <w:r w:rsidRPr="00775E7D">
              <w:rPr>
                <w:rFonts w:eastAsia="ＭＳ Ｐゴシック"/>
                <w:color w:val="000000" w:themeColor="text1"/>
                <w:szCs w:val="24"/>
              </w:rPr>
              <w:t>22/87 (25%) </w:t>
            </w:r>
          </w:p>
        </w:tc>
      </w:tr>
    </w:tbl>
    <w:p w14:paraId="51775372" w14:textId="77777777" w:rsidR="007B01EE" w:rsidRPr="00775E7D" w:rsidRDefault="007B01EE" w:rsidP="007B01EE">
      <w:pPr>
        <w:spacing w:line="480" w:lineRule="auto"/>
        <w:ind w:firstLine="120"/>
        <w:textAlignment w:val="baseline"/>
        <w:rPr>
          <w:rFonts w:eastAsia="Meiryo UI"/>
          <w:color w:val="000000" w:themeColor="text1"/>
          <w:szCs w:val="24"/>
        </w:rPr>
      </w:pPr>
      <w:r w:rsidRPr="00775E7D">
        <w:rPr>
          <w:rFonts w:eastAsia="Meiryo UI"/>
          <w:color w:val="000000" w:themeColor="text1"/>
          <w:szCs w:val="24"/>
        </w:rPr>
        <w:t xml:space="preserve">Abbreviations: </w:t>
      </w:r>
      <w:r w:rsidRPr="00775E7D">
        <w:rPr>
          <w:rFonts w:eastAsia="Meiryo UI"/>
          <w:i/>
          <w:iCs/>
          <w:color w:val="000000" w:themeColor="text1"/>
          <w:szCs w:val="24"/>
        </w:rPr>
        <w:t>Enterococcus faecalis</w:t>
      </w:r>
      <w:r w:rsidRPr="00775E7D">
        <w:rPr>
          <w:rFonts w:eastAsia="Meiryo UI"/>
          <w:color w:val="000000" w:themeColor="text1"/>
          <w:szCs w:val="24"/>
        </w:rPr>
        <w:t xml:space="preserve">, </w:t>
      </w:r>
      <w:r w:rsidRPr="00775E7D">
        <w:rPr>
          <w:rFonts w:eastAsia="Meiryo UI"/>
          <w:i/>
          <w:iCs/>
          <w:color w:val="000000" w:themeColor="text1"/>
          <w:szCs w:val="24"/>
        </w:rPr>
        <w:t>E. faecalis</w:t>
      </w:r>
      <w:r w:rsidRPr="00775E7D">
        <w:rPr>
          <w:rFonts w:eastAsia="Meiryo UI"/>
          <w:color w:val="000000" w:themeColor="text1"/>
          <w:szCs w:val="24"/>
        </w:rPr>
        <w:t>; PVE, prosthetic valve endocarditis; native valve endocarditis; NVE, AKI, acute kidney injury; CKD, chronic kidney injury; HD, hemodialysis; ABPC, ampicillin; CTRX, ceftriaxone; GM, gentamicin</w:t>
      </w:r>
    </w:p>
    <w:p w14:paraId="400C54B4" w14:textId="77777777" w:rsidR="00214CB7" w:rsidRPr="007B01EE" w:rsidRDefault="00214CB7"/>
    <w:sectPr w:rsidR="00214CB7" w:rsidRPr="007B01EE" w:rsidSect="001E672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DBFCC4" w14:textId="77777777" w:rsidR="001E6721" w:rsidRDefault="001E6721">
      <w:r>
        <w:separator/>
      </w:r>
    </w:p>
  </w:endnote>
  <w:endnote w:type="continuationSeparator" w:id="0">
    <w:p w14:paraId="53F9D2B3" w14:textId="77777777" w:rsidR="001E6721" w:rsidRDefault="001E6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BA94DB" w14:textId="77777777" w:rsidR="009E30E5" w:rsidRDefault="009E30E5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D1570A" w14:textId="77777777" w:rsidR="009E30E5" w:rsidRPr="006B1D0E" w:rsidRDefault="00000000">
    <w:pPr>
      <w:pStyle w:val="ad"/>
    </w:pPr>
    <w:r w:rsidRPr="006B1D0E">
      <w:rPr>
        <w:rStyle w:val="af"/>
      </w:rPr>
      <w:fldChar w:fldCharType="begin"/>
    </w:r>
    <w:r w:rsidRPr="006B1D0E">
      <w:rPr>
        <w:rStyle w:val="af"/>
      </w:rPr>
      <w:instrText xml:space="preserve"> PAGE </w:instrText>
    </w:r>
    <w:r w:rsidRPr="006B1D0E">
      <w:rPr>
        <w:rStyle w:val="af"/>
      </w:rPr>
      <w:fldChar w:fldCharType="separate"/>
    </w:r>
    <w:r w:rsidRPr="006B1D0E">
      <w:rPr>
        <w:rStyle w:val="af"/>
      </w:rPr>
      <w:t>1</w:t>
    </w:r>
    <w:r w:rsidRPr="006B1D0E">
      <w:fldChar w:fldCharType="end"/>
    </w:r>
  </w:p>
  <w:p w14:paraId="2004FE97" w14:textId="77777777" w:rsidR="009E30E5" w:rsidRPr="006B1D0E" w:rsidRDefault="009E30E5">
    <w:pPr>
      <w:pStyle w:val="ad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E274C" w14:textId="77777777" w:rsidR="009E30E5" w:rsidRPr="006B1D0E" w:rsidRDefault="009E30E5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7CA0E" w14:textId="77777777" w:rsidR="001E6721" w:rsidRDefault="001E6721">
      <w:r>
        <w:separator/>
      </w:r>
    </w:p>
  </w:footnote>
  <w:footnote w:type="continuationSeparator" w:id="0">
    <w:p w14:paraId="18B62240" w14:textId="77777777" w:rsidR="001E6721" w:rsidRDefault="001E67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46ABE" w14:textId="77777777" w:rsidR="009E30E5" w:rsidRDefault="009E30E5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E7840C" w14:textId="77777777" w:rsidR="009E30E5" w:rsidRPr="006B1D0E" w:rsidRDefault="009E30E5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EAC1F" w14:textId="77777777" w:rsidR="009E30E5" w:rsidRPr="006B1D0E" w:rsidRDefault="009E30E5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1EE"/>
    <w:rsid w:val="00037EC0"/>
    <w:rsid w:val="000566B1"/>
    <w:rsid w:val="00074CB7"/>
    <w:rsid w:val="00077B45"/>
    <w:rsid w:val="00082FA2"/>
    <w:rsid w:val="00090396"/>
    <w:rsid w:val="00095CCD"/>
    <w:rsid w:val="000C5C50"/>
    <w:rsid w:val="000E26A7"/>
    <w:rsid w:val="000F04AC"/>
    <w:rsid w:val="001029A6"/>
    <w:rsid w:val="00105061"/>
    <w:rsid w:val="00115F03"/>
    <w:rsid w:val="00146F31"/>
    <w:rsid w:val="001526C6"/>
    <w:rsid w:val="00165F7E"/>
    <w:rsid w:val="001812CF"/>
    <w:rsid w:val="001B030A"/>
    <w:rsid w:val="001B4413"/>
    <w:rsid w:val="001B72AC"/>
    <w:rsid w:val="001E5BF5"/>
    <w:rsid w:val="001E6721"/>
    <w:rsid w:val="00202E4E"/>
    <w:rsid w:val="00214CB7"/>
    <w:rsid w:val="002348A9"/>
    <w:rsid w:val="00257897"/>
    <w:rsid w:val="0027327A"/>
    <w:rsid w:val="00275349"/>
    <w:rsid w:val="002B0414"/>
    <w:rsid w:val="002E6624"/>
    <w:rsid w:val="002E7B5B"/>
    <w:rsid w:val="00307C48"/>
    <w:rsid w:val="00312E14"/>
    <w:rsid w:val="00316289"/>
    <w:rsid w:val="003314B5"/>
    <w:rsid w:val="003323CF"/>
    <w:rsid w:val="00340B8E"/>
    <w:rsid w:val="00340ED5"/>
    <w:rsid w:val="003601A5"/>
    <w:rsid w:val="00393ACE"/>
    <w:rsid w:val="003B7BEC"/>
    <w:rsid w:val="003C3B18"/>
    <w:rsid w:val="003E73A4"/>
    <w:rsid w:val="00450DE4"/>
    <w:rsid w:val="004574F8"/>
    <w:rsid w:val="004774F8"/>
    <w:rsid w:val="00492121"/>
    <w:rsid w:val="004965AB"/>
    <w:rsid w:val="004B1E46"/>
    <w:rsid w:val="004B5B53"/>
    <w:rsid w:val="004E3B25"/>
    <w:rsid w:val="004E5A9F"/>
    <w:rsid w:val="004F43CC"/>
    <w:rsid w:val="00511486"/>
    <w:rsid w:val="0055058E"/>
    <w:rsid w:val="00557713"/>
    <w:rsid w:val="0056005D"/>
    <w:rsid w:val="00561994"/>
    <w:rsid w:val="00584022"/>
    <w:rsid w:val="00587407"/>
    <w:rsid w:val="00597B97"/>
    <w:rsid w:val="005C4276"/>
    <w:rsid w:val="005D3530"/>
    <w:rsid w:val="005F009C"/>
    <w:rsid w:val="00601E6F"/>
    <w:rsid w:val="006046D1"/>
    <w:rsid w:val="00610F07"/>
    <w:rsid w:val="00613DAC"/>
    <w:rsid w:val="006158E7"/>
    <w:rsid w:val="006469AB"/>
    <w:rsid w:val="00650DC9"/>
    <w:rsid w:val="00687832"/>
    <w:rsid w:val="006B6CE5"/>
    <w:rsid w:val="006F1C70"/>
    <w:rsid w:val="006F2D87"/>
    <w:rsid w:val="00704706"/>
    <w:rsid w:val="00743209"/>
    <w:rsid w:val="00762076"/>
    <w:rsid w:val="007620C6"/>
    <w:rsid w:val="00771552"/>
    <w:rsid w:val="00772C56"/>
    <w:rsid w:val="00773E4B"/>
    <w:rsid w:val="00775B7B"/>
    <w:rsid w:val="007A21B9"/>
    <w:rsid w:val="007A2EDF"/>
    <w:rsid w:val="007A7D62"/>
    <w:rsid w:val="007B01EE"/>
    <w:rsid w:val="007B3ACB"/>
    <w:rsid w:val="007C3261"/>
    <w:rsid w:val="00800DC5"/>
    <w:rsid w:val="00817595"/>
    <w:rsid w:val="00867565"/>
    <w:rsid w:val="00871D7F"/>
    <w:rsid w:val="0088273D"/>
    <w:rsid w:val="0088517F"/>
    <w:rsid w:val="008C1674"/>
    <w:rsid w:val="008C30A4"/>
    <w:rsid w:val="008C3EC2"/>
    <w:rsid w:val="008C7287"/>
    <w:rsid w:val="008E29B3"/>
    <w:rsid w:val="008E5D85"/>
    <w:rsid w:val="008E6107"/>
    <w:rsid w:val="00902B18"/>
    <w:rsid w:val="00982E55"/>
    <w:rsid w:val="00986CFE"/>
    <w:rsid w:val="00990686"/>
    <w:rsid w:val="009D07C1"/>
    <w:rsid w:val="009D48E8"/>
    <w:rsid w:val="009D73B2"/>
    <w:rsid w:val="009E30E5"/>
    <w:rsid w:val="00A124FA"/>
    <w:rsid w:val="00A31898"/>
    <w:rsid w:val="00A3455A"/>
    <w:rsid w:val="00A52B33"/>
    <w:rsid w:val="00A62EE5"/>
    <w:rsid w:val="00A851EC"/>
    <w:rsid w:val="00A91E4C"/>
    <w:rsid w:val="00AC7979"/>
    <w:rsid w:val="00AE577F"/>
    <w:rsid w:val="00AE700C"/>
    <w:rsid w:val="00B1040D"/>
    <w:rsid w:val="00B2317C"/>
    <w:rsid w:val="00B3386A"/>
    <w:rsid w:val="00BB0D1E"/>
    <w:rsid w:val="00BC2BBD"/>
    <w:rsid w:val="00BC5871"/>
    <w:rsid w:val="00BC5E00"/>
    <w:rsid w:val="00BE262C"/>
    <w:rsid w:val="00C03C73"/>
    <w:rsid w:val="00C04BA5"/>
    <w:rsid w:val="00C318D4"/>
    <w:rsid w:val="00C6544F"/>
    <w:rsid w:val="00C810F5"/>
    <w:rsid w:val="00CB3FD1"/>
    <w:rsid w:val="00CC01E1"/>
    <w:rsid w:val="00CE4C2E"/>
    <w:rsid w:val="00CF08BF"/>
    <w:rsid w:val="00CF79E3"/>
    <w:rsid w:val="00D1378F"/>
    <w:rsid w:val="00D45CDE"/>
    <w:rsid w:val="00D53AE2"/>
    <w:rsid w:val="00D54CB4"/>
    <w:rsid w:val="00D81AD8"/>
    <w:rsid w:val="00D8478A"/>
    <w:rsid w:val="00D85441"/>
    <w:rsid w:val="00D87B25"/>
    <w:rsid w:val="00D87D16"/>
    <w:rsid w:val="00D91F01"/>
    <w:rsid w:val="00DB0019"/>
    <w:rsid w:val="00DB2943"/>
    <w:rsid w:val="00DF7A4C"/>
    <w:rsid w:val="00E0249F"/>
    <w:rsid w:val="00E748B7"/>
    <w:rsid w:val="00EC00F6"/>
    <w:rsid w:val="00EC4FAC"/>
    <w:rsid w:val="00F102D9"/>
    <w:rsid w:val="00F12153"/>
    <w:rsid w:val="00F37445"/>
    <w:rsid w:val="00F42C23"/>
    <w:rsid w:val="00FF10DF"/>
    <w:rsid w:val="00FF2C6A"/>
    <w:rsid w:val="00FF30E5"/>
    <w:rsid w:val="00FF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121499"/>
  <w15:chartTrackingRefBased/>
  <w15:docId w15:val="{FCA52101-E251-DC47-9695-C05CFFA37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01EE"/>
    <w:rPr>
      <w:rFonts w:ascii="Times New Roman" w:eastAsia="Times New Roman" w:hAnsi="Times New Roman" w:cs="Times New Roman"/>
      <w:kern w:val="0"/>
      <w:sz w:val="24"/>
      <w:szCs w:val="20"/>
    </w:rPr>
  </w:style>
  <w:style w:type="paragraph" w:styleId="1">
    <w:name w:val="heading 1"/>
    <w:basedOn w:val="a"/>
    <w:next w:val="a"/>
    <w:link w:val="10"/>
    <w:uiPriority w:val="9"/>
    <w:qFormat/>
    <w:rsid w:val="007B01EE"/>
    <w:pPr>
      <w:keepNext/>
      <w:keepLines/>
      <w:widowControl w:val="0"/>
      <w:spacing w:before="280" w:after="80"/>
      <w:jc w:val="both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B01EE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B01EE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00000" w:themeColor="text1"/>
      <w:kern w:val="2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B01EE"/>
    <w:pPr>
      <w:keepNext/>
      <w:keepLines/>
      <w:widowControl w:val="0"/>
      <w:spacing w:before="80" w:after="40"/>
      <w:jc w:val="both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B01EE"/>
    <w:pPr>
      <w:keepNext/>
      <w:keepLines/>
      <w:widowControl w:val="0"/>
      <w:spacing w:before="80" w:after="40"/>
      <w:ind w:leftChars="100"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B01EE"/>
    <w:pPr>
      <w:keepNext/>
      <w:keepLines/>
      <w:widowControl w:val="0"/>
      <w:spacing w:before="80" w:after="40"/>
      <w:ind w:leftChars="200"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B01EE"/>
    <w:pPr>
      <w:keepNext/>
      <w:keepLines/>
      <w:widowControl w:val="0"/>
      <w:spacing w:before="80" w:after="40"/>
      <w:ind w:leftChars="300"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B01EE"/>
    <w:pPr>
      <w:keepNext/>
      <w:keepLines/>
      <w:widowControl w:val="0"/>
      <w:spacing w:before="80" w:after="40"/>
      <w:ind w:leftChars="400"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B01EE"/>
    <w:pPr>
      <w:keepNext/>
      <w:keepLines/>
      <w:widowControl w:val="0"/>
      <w:spacing w:before="80" w:after="40"/>
      <w:ind w:leftChars="500"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B01E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B01E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B01EE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B01E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B01E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B01E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B01E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B01E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B01E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B01EE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B01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B01EE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B01E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B01EE"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4"/>
    </w:rPr>
  </w:style>
  <w:style w:type="character" w:customStyle="1" w:styleId="a8">
    <w:name w:val="引用文 (文字)"/>
    <w:basedOn w:val="a0"/>
    <w:link w:val="a7"/>
    <w:uiPriority w:val="29"/>
    <w:rsid w:val="007B01E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B01EE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21">
    <w:name w:val="Intense Emphasis"/>
    <w:basedOn w:val="a0"/>
    <w:uiPriority w:val="21"/>
    <w:qFormat/>
    <w:rsid w:val="007B01E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B01EE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:szCs w:val="24"/>
    </w:rPr>
  </w:style>
  <w:style w:type="character" w:customStyle="1" w:styleId="23">
    <w:name w:val="引用文 2 (文字)"/>
    <w:basedOn w:val="a0"/>
    <w:link w:val="22"/>
    <w:uiPriority w:val="30"/>
    <w:rsid w:val="007B01EE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B01EE"/>
    <w:rPr>
      <w:b/>
      <w:bCs/>
      <w:smallCaps/>
      <w:color w:val="0F4761" w:themeColor="accent1" w:themeShade="BF"/>
      <w:spacing w:val="5"/>
    </w:rPr>
  </w:style>
  <w:style w:type="paragraph" w:styleId="aa">
    <w:name w:val="caption"/>
    <w:basedOn w:val="a"/>
    <w:rsid w:val="007B01EE"/>
    <w:pPr>
      <w:widowControl w:val="0"/>
      <w:jc w:val="both"/>
    </w:pPr>
    <w:rPr>
      <w:rFonts w:ascii="游明朝" w:eastAsia="游明朝" w:hAnsi="游明朝" w:cs="游明朝"/>
      <w:b/>
      <w:sz w:val="21"/>
    </w:rPr>
  </w:style>
  <w:style w:type="paragraph" w:styleId="ab">
    <w:name w:val="header"/>
    <w:basedOn w:val="a"/>
    <w:link w:val="ac"/>
    <w:rsid w:val="007B01E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rsid w:val="007B01EE"/>
    <w:rPr>
      <w:rFonts w:ascii="Times New Roman" w:eastAsia="Times New Roman" w:hAnsi="Times New Roman" w:cs="Times New Roman"/>
      <w:kern w:val="0"/>
      <w:sz w:val="24"/>
      <w:szCs w:val="20"/>
    </w:rPr>
  </w:style>
  <w:style w:type="paragraph" w:styleId="ad">
    <w:name w:val="footer"/>
    <w:basedOn w:val="a"/>
    <w:link w:val="ae"/>
    <w:rsid w:val="007B01EE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rsid w:val="007B01EE"/>
    <w:rPr>
      <w:rFonts w:ascii="Times New Roman" w:eastAsia="Times New Roman" w:hAnsi="Times New Roman" w:cs="Times New Roman"/>
      <w:kern w:val="0"/>
      <w:sz w:val="24"/>
      <w:szCs w:val="20"/>
    </w:rPr>
  </w:style>
  <w:style w:type="character" w:styleId="af">
    <w:name w:val="page number"/>
    <w:uiPriority w:val="99"/>
    <w:rsid w:val="007B01EE"/>
  </w:style>
  <w:style w:type="paragraph" w:styleId="af0">
    <w:name w:val="Body Text"/>
    <w:link w:val="af1"/>
    <w:rsid w:val="007B01EE"/>
    <w:pPr>
      <w:kinsoku w:val="0"/>
      <w:overflowPunct w:val="0"/>
      <w:snapToGrid w:val="0"/>
      <w:spacing w:line="480" w:lineRule="auto"/>
      <w:ind w:firstLine="120"/>
    </w:pPr>
    <w:rPr>
      <w:rFonts w:ascii="Times New Roman" w:eastAsia="Times New Roman" w:hAnsi="Times New Roman" w:cs="Times New Roman"/>
      <w:kern w:val="0"/>
      <w:sz w:val="24"/>
      <w:szCs w:val="20"/>
    </w:rPr>
  </w:style>
  <w:style w:type="character" w:customStyle="1" w:styleId="af1">
    <w:name w:val="本文 (文字)"/>
    <w:basedOn w:val="a0"/>
    <w:link w:val="af0"/>
    <w:rsid w:val="007B01EE"/>
    <w:rPr>
      <w:rFonts w:ascii="Times New Roman" w:eastAsia="Times New Roman" w:hAnsi="Times New Roman" w:cs="Times New Roman"/>
      <w:kern w:val="0"/>
      <w:sz w:val="24"/>
      <w:szCs w:val="20"/>
    </w:rPr>
  </w:style>
  <w:style w:type="character" w:styleId="af2">
    <w:name w:val="line number"/>
    <w:basedOn w:val="a0"/>
    <w:uiPriority w:val="99"/>
    <w:semiHidden/>
    <w:unhideWhenUsed/>
    <w:rsid w:val="007B01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kazuhiro ishikawa</dc:creator>
  <cp:keywords/>
  <dc:description/>
  <cp:lastModifiedBy>kazuhiro ishikawa</cp:lastModifiedBy>
  <cp:revision>3</cp:revision>
  <dcterms:created xsi:type="dcterms:W3CDTF">2024-03-06T22:29:00Z</dcterms:created>
  <dcterms:modified xsi:type="dcterms:W3CDTF">2024-03-10T01:24:00Z</dcterms:modified>
</cp:coreProperties>
</file>