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0EFA1" w14:textId="2B3490D7" w:rsidR="00C95F75" w:rsidRPr="00F36CE2" w:rsidRDefault="00541243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 w:rsidRPr="00F36CE2"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t>Supplementary Information</w:t>
      </w:r>
    </w:p>
    <w:p w14:paraId="55A592D8" w14:textId="77777777" w:rsidR="00541243" w:rsidRPr="00F36CE2" w:rsidRDefault="00541243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22146E66" w14:textId="40712F4E" w:rsidR="00F36CE2" w:rsidRPr="00401796" w:rsidRDefault="00541243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 w:rsidRPr="00F36CE2"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t>Supplementary Figures</w:t>
      </w:r>
    </w:p>
    <w:p w14:paraId="42B8DCE4" w14:textId="39088755" w:rsidR="00F36CE2" w:rsidRPr="00F36CE2" w:rsidRDefault="0059642F" w:rsidP="00F36CE2">
      <w:pPr>
        <w:rPr>
          <w:rFonts w:ascii="Calibri" w:hAnsi="Calibri" w:cs="Calibri"/>
          <w:color w:val="000000" w:themeColor="text1"/>
          <w:sz w:val="24"/>
        </w:rPr>
      </w:pPr>
      <w:r w:rsidRPr="0059642F">
        <w:rPr>
          <w:rFonts w:ascii="Calibri" w:hAnsi="Calibri" w:cs="Calibri"/>
          <w:color w:val="000000" w:themeColor="text1"/>
          <w:sz w:val="24"/>
        </w:rPr>
        <w:drawing>
          <wp:inline distT="0" distB="0" distL="0" distR="0" wp14:anchorId="173C9D13" wp14:editId="09B5C9A4">
            <wp:extent cx="5943600" cy="4121150"/>
            <wp:effectExtent l="0" t="0" r="0" b="6350"/>
            <wp:docPr id="1861331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3313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0CAAD" w14:textId="77777777" w:rsid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</w:p>
    <w:p w14:paraId="48FEF2B1" w14:textId="53D948F5" w:rsidR="00F36CE2" w:rsidRDefault="00F36CE2" w:rsidP="00F36CE2">
      <w:pPr>
        <w:rPr>
          <w:rFonts w:ascii="Calibri" w:hAnsi="Calibri" w:cs="Calibri"/>
          <w:color w:val="000000" w:themeColor="text1"/>
          <w:sz w:val="24"/>
        </w:rPr>
      </w:pPr>
      <w:r w:rsidRPr="0095444D">
        <w:rPr>
          <w:rFonts w:ascii="Calibri" w:hAnsi="Calibri" w:cs="Calibri"/>
          <w:b/>
          <w:bCs/>
          <w:color w:val="000000" w:themeColor="text1"/>
          <w:sz w:val="24"/>
        </w:rPr>
        <w:t xml:space="preserve">Figure </w:t>
      </w:r>
      <w:r w:rsidR="0095444D" w:rsidRPr="0095444D">
        <w:rPr>
          <w:rFonts w:ascii="Calibri" w:hAnsi="Calibri" w:cs="Calibri"/>
          <w:b/>
          <w:bCs/>
          <w:color w:val="000000" w:themeColor="text1"/>
          <w:sz w:val="24"/>
        </w:rPr>
        <w:t>S</w:t>
      </w:r>
      <w:r w:rsidR="00401796">
        <w:rPr>
          <w:rFonts w:ascii="Calibri" w:hAnsi="Calibri" w:cs="Calibri"/>
          <w:b/>
          <w:bCs/>
          <w:color w:val="000000" w:themeColor="text1"/>
          <w:sz w:val="24"/>
        </w:rPr>
        <w:t>1</w:t>
      </w:r>
      <w:r w:rsidRPr="0095444D">
        <w:rPr>
          <w:rFonts w:ascii="Calibri" w:hAnsi="Calibri" w:cs="Calibri"/>
          <w:b/>
          <w:bCs/>
          <w:color w:val="000000" w:themeColor="text1"/>
          <w:sz w:val="24"/>
        </w:rPr>
        <w:t>.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</w:t>
      </w:r>
      <w:r w:rsidRPr="00F36CE2">
        <w:rPr>
          <w:rFonts w:ascii="Calibri" w:hAnsi="Calibri" w:cs="Calibri"/>
          <w:b/>
          <w:bCs/>
          <w:color w:val="000000" w:themeColor="text1"/>
          <w:sz w:val="24"/>
        </w:rPr>
        <w:t>(A)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A tight correlation (r=0.89, p&lt;0.0005) was observed between stimulation-mediated changes in STN StimNet expression measured in [</w:t>
      </w:r>
      <w:r w:rsidRPr="00F36CE2">
        <w:rPr>
          <w:rFonts w:ascii="Calibri" w:hAnsi="Calibri" w:cs="Calibri"/>
          <w:color w:val="000000" w:themeColor="text1"/>
          <w:sz w:val="24"/>
          <w:vertAlign w:val="superscript"/>
        </w:rPr>
        <w:t>18</w:t>
      </w:r>
      <w:r w:rsidRPr="00F36CE2">
        <w:rPr>
          <w:rFonts w:ascii="Calibri" w:hAnsi="Calibri" w:cs="Calibri"/>
          <w:color w:val="000000" w:themeColor="text1"/>
          <w:sz w:val="24"/>
        </w:rPr>
        <w:t>F]-FDG PET scans of cerebral glucose metabolism and [</w:t>
      </w:r>
      <w:r w:rsidRPr="00F36CE2">
        <w:rPr>
          <w:rFonts w:ascii="Calibri" w:hAnsi="Calibri" w:cs="Calibri"/>
          <w:color w:val="000000" w:themeColor="text1"/>
          <w:sz w:val="24"/>
          <w:vertAlign w:val="superscript"/>
        </w:rPr>
        <w:t>15</w:t>
      </w:r>
      <w:r w:rsidRPr="00F36CE2">
        <w:rPr>
          <w:rFonts w:ascii="Calibri" w:hAnsi="Calibri" w:cs="Calibri"/>
          <w:color w:val="000000" w:themeColor="text1"/>
          <w:sz w:val="24"/>
        </w:rPr>
        <w:t>O]-H</w:t>
      </w:r>
      <w:r w:rsidRPr="00F36CE2">
        <w:rPr>
          <w:rFonts w:ascii="Calibri" w:hAnsi="Calibri" w:cs="Calibri"/>
          <w:color w:val="000000" w:themeColor="text1"/>
          <w:sz w:val="24"/>
          <w:vertAlign w:val="subscript"/>
        </w:rPr>
        <w:t>2</w:t>
      </w:r>
      <w:r w:rsidRPr="00F36CE2">
        <w:rPr>
          <w:rFonts w:ascii="Calibri" w:hAnsi="Calibri" w:cs="Calibri"/>
          <w:color w:val="000000" w:themeColor="text1"/>
          <w:sz w:val="24"/>
        </w:rPr>
        <w:t xml:space="preserve">O PET scans of cerebral blood flow from the same PD patients (see text). </w:t>
      </w:r>
      <w:r w:rsidRPr="00F36CE2">
        <w:rPr>
          <w:rFonts w:ascii="Calibri" w:hAnsi="Calibri" w:cs="Calibri"/>
          <w:b/>
          <w:bCs/>
          <w:color w:val="000000" w:themeColor="text1"/>
          <w:sz w:val="24"/>
        </w:rPr>
        <w:t>(B)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A correlation (r=0.42, p&lt;0.05) was also observed between stimulation amplitude (volts) and the magnitude of the precent change from baseline (OFF) in STN StimNet expression measured in the H</w:t>
      </w:r>
      <w:r w:rsidRPr="00F36CE2">
        <w:rPr>
          <w:rFonts w:ascii="Calibri" w:hAnsi="Calibri" w:cs="Calibri"/>
          <w:color w:val="000000" w:themeColor="text1"/>
          <w:sz w:val="24"/>
          <w:vertAlign w:val="subscript"/>
        </w:rPr>
        <w:t>2</w:t>
      </w:r>
      <w:r w:rsidRPr="00F36CE2">
        <w:rPr>
          <w:rFonts w:ascii="Calibri" w:hAnsi="Calibri" w:cs="Calibri"/>
          <w:color w:val="000000" w:themeColor="text1"/>
          <w:sz w:val="24"/>
          <w:vertAlign w:val="superscript"/>
        </w:rPr>
        <w:t>15</w:t>
      </w:r>
      <w:r w:rsidRPr="00F36CE2">
        <w:rPr>
          <w:rFonts w:ascii="Calibri" w:hAnsi="Calibri" w:cs="Calibri"/>
          <w:color w:val="000000" w:themeColor="text1"/>
          <w:sz w:val="24"/>
        </w:rPr>
        <w:t xml:space="preserve">O PET scans. </w:t>
      </w:r>
      <w:r w:rsidRPr="00F36CE2">
        <w:rPr>
          <w:rFonts w:ascii="Calibri" w:hAnsi="Calibri" w:cs="Calibri"/>
          <w:b/>
          <w:bCs/>
          <w:color w:val="000000" w:themeColor="text1"/>
          <w:sz w:val="24"/>
        </w:rPr>
        <w:t>(C)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Larger volumes of tissue activated (VTA, </w:t>
      </w:r>
      <w:r w:rsidRPr="00F36CE2">
        <w:rPr>
          <w:rFonts w:ascii="Calibri" w:hAnsi="Calibri" w:cs="Calibri"/>
          <w:i/>
          <w:iCs/>
          <w:color w:val="000000" w:themeColor="text1"/>
          <w:sz w:val="24"/>
        </w:rPr>
        <w:t>red</w:t>
      </w:r>
      <w:r w:rsidRPr="00F36CE2">
        <w:rPr>
          <w:rFonts w:ascii="Calibri" w:hAnsi="Calibri" w:cs="Calibri"/>
          <w:color w:val="000000" w:themeColor="text1"/>
          <w:sz w:val="24"/>
        </w:rPr>
        <w:t xml:space="preserve">) were observed with increasing stimulation voltage in a representative PD patient with bilateral STN-DBS; pulse width and frequency were held constant (see Methods and </w:t>
      </w:r>
      <w:r w:rsidRPr="00F87B0B">
        <w:rPr>
          <w:rFonts w:ascii="Calibri" w:hAnsi="Calibri" w:cs="Calibri"/>
          <w:color w:val="000000" w:themeColor="text1"/>
          <w:sz w:val="24"/>
        </w:rPr>
        <w:t>Fig</w:t>
      </w:r>
      <w:r w:rsidR="0095444D" w:rsidRPr="00F87B0B">
        <w:rPr>
          <w:rFonts w:ascii="Calibri" w:hAnsi="Calibri" w:cs="Calibri"/>
          <w:color w:val="000000" w:themeColor="text1"/>
          <w:sz w:val="24"/>
        </w:rPr>
        <w:t xml:space="preserve">s. </w:t>
      </w:r>
      <w:r w:rsidRPr="00F87B0B">
        <w:rPr>
          <w:rFonts w:ascii="Calibri" w:hAnsi="Calibri" w:cs="Calibri"/>
          <w:color w:val="000000" w:themeColor="text1"/>
          <w:sz w:val="24"/>
        </w:rPr>
        <w:t>1</w:t>
      </w:r>
      <w:r w:rsidR="00ED7691">
        <w:rPr>
          <w:rFonts w:ascii="Calibri" w:hAnsi="Calibri" w:cs="Calibri"/>
          <w:color w:val="000000" w:themeColor="text1"/>
          <w:sz w:val="24"/>
        </w:rPr>
        <w:t>A</w:t>
      </w:r>
      <w:r w:rsidRPr="00F87B0B">
        <w:rPr>
          <w:rFonts w:ascii="Calibri" w:hAnsi="Calibri" w:cs="Calibri"/>
          <w:color w:val="000000" w:themeColor="text1"/>
          <w:sz w:val="24"/>
        </w:rPr>
        <w:t xml:space="preserve"> </w:t>
      </w:r>
      <w:r w:rsidR="0095444D" w:rsidRPr="00F87B0B">
        <w:rPr>
          <w:rFonts w:ascii="Calibri" w:hAnsi="Calibri" w:cs="Calibri"/>
          <w:color w:val="000000" w:themeColor="text1"/>
          <w:sz w:val="24"/>
        </w:rPr>
        <w:t>and</w:t>
      </w:r>
      <w:r w:rsidRPr="00F87B0B">
        <w:rPr>
          <w:rFonts w:ascii="Calibri" w:hAnsi="Calibri" w:cs="Calibri"/>
          <w:color w:val="000000" w:themeColor="text1"/>
          <w:sz w:val="24"/>
        </w:rPr>
        <w:t xml:space="preserve"> 3).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Therapeutic and supratherapeutic voltages in the left and right electrodes are associated with progressively larger VTA within the STN (</w:t>
      </w:r>
      <w:r w:rsidRPr="00F36CE2">
        <w:rPr>
          <w:rFonts w:ascii="Calibri" w:hAnsi="Calibri" w:cs="Calibri"/>
          <w:i/>
          <w:iCs/>
          <w:color w:val="000000" w:themeColor="text1"/>
          <w:sz w:val="24"/>
        </w:rPr>
        <w:t>orange</w:t>
      </w:r>
      <w:r w:rsidRPr="00F36CE2">
        <w:rPr>
          <w:rFonts w:ascii="Calibri" w:hAnsi="Calibri" w:cs="Calibri"/>
          <w:color w:val="000000" w:themeColor="text1"/>
          <w:sz w:val="24"/>
        </w:rPr>
        <w:t xml:space="preserve">) and adjacent white matter tracts </w:t>
      </w:r>
      <w:r w:rsidRPr="00F36CE2">
        <w:rPr>
          <w:rFonts w:ascii="Calibri" w:hAnsi="Calibri" w:cs="Calibri"/>
          <w:i/>
          <w:iCs/>
          <w:color w:val="000000" w:themeColor="text1"/>
          <w:sz w:val="24"/>
        </w:rPr>
        <w:t>(orange fibers</w:t>
      </w:r>
      <w:r w:rsidRPr="000E59BF">
        <w:rPr>
          <w:rFonts w:ascii="Calibri" w:hAnsi="Calibri" w:cs="Calibri"/>
          <w:color w:val="000000" w:themeColor="text1"/>
          <w:sz w:val="24"/>
        </w:rPr>
        <w:t>)</w:t>
      </w:r>
      <w:r w:rsidRPr="00F36CE2">
        <w:rPr>
          <w:rFonts w:ascii="Calibri" w:hAnsi="Calibri" w:cs="Calibri"/>
          <w:color w:val="000000" w:themeColor="text1"/>
          <w:sz w:val="24"/>
        </w:rPr>
        <w:t xml:space="preserve">. </w:t>
      </w:r>
      <w:r w:rsidRPr="00F36CE2">
        <w:rPr>
          <w:rFonts w:ascii="Calibri" w:hAnsi="Calibri" w:cs="Calibri"/>
          <w:b/>
          <w:bCs/>
          <w:color w:val="000000" w:themeColor="text1"/>
          <w:sz w:val="24"/>
        </w:rPr>
        <w:t>(D)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Within the whole cohort, we found that increasing stimulation voltage for each patient, while keeping pulse width and frequency constant, resulted in significant changes in STN StimNet expression (p&lt;0.001; Friedman Test). Increasing the voltage from OFF to optimal clinically titrated parameters (ON) increased network expression levels. That said, a shift from ON to supratherapeutic (Supra-ON) resulted in a significant decline in STN StimNet expression (p&lt;0.05; Dunn correction). We hypothesize that this effect is caused by non-specific spread of current beyond the motor STN target.</w:t>
      </w:r>
    </w:p>
    <w:p w14:paraId="1C1362E5" w14:textId="77777777" w:rsid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</w:p>
    <w:p w14:paraId="720DEDA1" w14:textId="51790EEA" w:rsid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  <w:r w:rsidRPr="0059642F">
        <w:rPr>
          <w:rFonts w:ascii="Calibri" w:hAnsi="Calibri" w:cs="Calibri"/>
          <w:b/>
          <w:bCs/>
          <w:color w:val="000000" w:themeColor="text1"/>
          <w:sz w:val="24"/>
        </w:rPr>
        <w:lastRenderedPageBreak/>
        <w:drawing>
          <wp:inline distT="0" distB="0" distL="0" distR="0" wp14:anchorId="2C3E0A97" wp14:editId="3BD80184">
            <wp:extent cx="5943600" cy="2800985"/>
            <wp:effectExtent l="0" t="0" r="0" b="5715"/>
            <wp:docPr id="1186269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26965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B9872" w14:textId="77777777" w:rsid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</w:p>
    <w:p w14:paraId="2BF18C1F" w14:textId="0AA42815" w:rsidR="00401796" w:rsidRDefault="00401796" w:rsidP="00F36CE2">
      <w:pPr>
        <w:rPr>
          <w:rFonts w:ascii="Calibri" w:hAnsi="Calibri" w:cs="Calibri"/>
          <w:color w:val="000000" w:themeColor="text1"/>
          <w:sz w:val="24"/>
        </w:rPr>
      </w:pPr>
      <w:r w:rsidRPr="0095444D">
        <w:rPr>
          <w:rFonts w:ascii="Calibri" w:hAnsi="Calibri" w:cs="Calibri"/>
          <w:b/>
          <w:bCs/>
          <w:color w:val="000000" w:themeColor="text1"/>
          <w:sz w:val="24"/>
        </w:rPr>
        <w:t>Figure S</w:t>
      </w:r>
      <w:r>
        <w:rPr>
          <w:rFonts w:ascii="Calibri" w:hAnsi="Calibri" w:cs="Calibri"/>
          <w:b/>
          <w:bCs/>
          <w:color w:val="000000" w:themeColor="text1"/>
          <w:sz w:val="24"/>
        </w:rPr>
        <w:t>2</w:t>
      </w:r>
      <w:r w:rsidRPr="0095444D">
        <w:rPr>
          <w:rFonts w:ascii="Calibri" w:hAnsi="Calibri" w:cs="Calibri"/>
          <w:b/>
          <w:bCs/>
          <w:color w:val="000000" w:themeColor="text1"/>
          <w:sz w:val="24"/>
        </w:rPr>
        <w:t>.</w:t>
      </w:r>
      <w:r>
        <w:rPr>
          <w:rFonts w:ascii="Calibri" w:hAnsi="Calibri" w:cs="Calibri"/>
          <w:b/>
          <w:bCs/>
          <w:color w:val="000000" w:themeColor="text1"/>
          <w:sz w:val="24"/>
        </w:rPr>
        <w:t xml:space="preserve"> </w:t>
      </w:r>
      <w:r w:rsidRPr="0059642F">
        <w:rPr>
          <w:rFonts w:ascii="Calibri" w:hAnsi="Calibri" w:cs="Calibri"/>
          <w:b/>
          <w:bCs/>
          <w:color w:val="000000" w:themeColor="text1"/>
          <w:sz w:val="24"/>
        </w:rPr>
        <w:t>(A)</w:t>
      </w:r>
      <w:r>
        <w:rPr>
          <w:rFonts w:ascii="Calibri" w:hAnsi="Calibri" w:cs="Calibri"/>
          <w:color w:val="000000" w:themeColor="text1"/>
          <w:sz w:val="24"/>
        </w:rPr>
        <w:t xml:space="preserve"> </w:t>
      </w:r>
      <w:r w:rsidRPr="00401796">
        <w:rPr>
          <w:rFonts w:ascii="Calibri" w:hAnsi="Calibri" w:cs="Calibri"/>
          <w:color w:val="000000" w:themeColor="text1"/>
          <w:sz w:val="24"/>
        </w:rPr>
        <w:t xml:space="preserve">Hemispheric STN StimNet expression measured off-stimulation (OFF) in each of the Site 1 patients correlated with stimulation-mediated motor improvement in the contralateral limbs recorded during imaging (r=-0.52, p&lt;0.01; Pearson correlation). </w:t>
      </w:r>
      <w:r w:rsidRPr="0059642F">
        <w:rPr>
          <w:rFonts w:ascii="Calibri" w:hAnsi="Calibri" w:cs="Calibri"/>
          <w:b/>
          <w:bCs/>
          <w:color w:val="000000" w:themeColor="text1"/>
          <w:sz w:val="24"/>
        </w:rPr>
        <w:t>(B)</w:t>
      </w:r>
      <w:r w:rsidRPr="00401796">
        <w:rPr>
          <w:rFonts w:ascii="Calibri" w:hAnsi="Calibri" w:cs="Calibri"/>
          <w:color w:val="000000" w:themeColor="text1"/>
          <w:sz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</w:rPr>
        <w:t>Similarly, significant c</w:t>
      </w:r>
      <w:r w:rsidRPr="00401796">
        <w:rPr>
          <w:rFonts w:ascii="Calibri" w:hAnsi="Calibri" w:cs="Calibri"/>
          <w:color w:val="000000" w:themeColor="text1"/>
          <w:sz w:val="24"/>
        </w:rPr>
        <w:t xml:space="preserve">orrelations between stimulation-mediated motor improvement and preoperative (PRE) measurements of STN StimNet expression </w:t>
      </w:r>
      <w:r>
        <w:rPr>
          <w:rFonts w:ascii="Calibri" w:hAnsi="Calibri" w:cs="Calibri"/>
          <w:color w:val="000000" w:themeColor="text1"/>
          <w:sz w:val="24"/>
        </w:rPr>
        <w:t xml:space="preserve">were also seen at the hemispheric level </w:t>
      </w:r>
      <w:r w:rsidRPr="00401796">
        <w:rPr>
          <w:rFonts w:ascii="Calibri" w:hAnsi="Calibri" w:cs="Calibri"/>
          <w:color w:val="000000" w:themeColor="text1"/>
          <w:sz w:val="24"/>
        </w:rPr>
        <w:t xml:space="preserve">(r=0.73, p&lt;0.0001). </w:t>
      </w:r>
      <w:r w:rsidRPr="0059642F">
        <w:rPr>
          <w:rFonts w:ascii="Calibri" w:hAnsi="Calibri" w:cs="Calibri"/>
          <w:b/>
          <w:bCs/>
          <w:color w:val="000000" w:themeColor="text1"/>
          <w:sz w:val="24"/>
        </w:rPr>
        <w:t>(C)</w:t>
      </w:r>
      <w:r w:rsidR="00C378DA">
        <w:rPr>
          <w:rFonts w:ascii="Calibri" w:hAnsi="Calibri" w:cs="Calibri"/>
          <w:color w:val="000000" w:themeColor="text1"/>
          <w:sz w:val="24"/>
        </w:rPr>
        <w:t xml:space="preserve"> Analogous measurements of STN StimNet from Preoperative BOLD imaging maintained similar relationships with DBS related motor outcomes (r=-0.49, p&lt; 0.05) </w:t>
      </w:r>
    </w:p>
    <w:p w14:paraId="6C24E722" w14:textId="77777777" w:rsidR="00401796" w:rsidRDefault="00401796" w:rsidP="00F36CE2">
      <w:pPr>
        <w:rPr>
          <w:rFonts w:ascii="Calibri" w:hAnsi="Calibri" w:cs="Calibri"/>
          <w:color w:val="000000" w:themeColor="text1"/>
          <w:sz w:val="24"/>
        </w:rPr>
      </w:pPr>
    </w:p>
    <w:p w14:paraId="2D37E8B5" w14:textId="4D91E2A4" w:rsidR="0059642F" w:rsidRDefault="0059642F" w:rsidP="00F36CE2">
      <w:pPr>
        <w:rPr>
          <w:rFonts w:ascii="Calibri" w:hAnsi="Calibri" w:cs="Calibri"/>
          <w:color w:val="000000" w:themeColor="text1"/>
          <w:sz w:val="24"/>
        </w:rPr>
      </w:pPr>
      <w:r w:rsidRPr="0059642F">
        <w:rPr>
          <w:rFonts w:ascii="Calibri" w:hAnsi="Calibri" w:cs="Calibri"/>
          <w:color w:val="000000" w:themeColor="text1"/>
          <w:sz w:val="24"/>
        </w:rPr>
        <w:drawing>
          <wp:inline distT="0" distB="0" distL="0" distR="0" wp14:anchorId="70B08072" wp14:editId="09C53AB4">
            <wp:extent cx="5943600" cy="1802130"/>
            <wp:effectExtent l="0" t="0" r="0" b="1270"/>
            <wp:docPr id="1121070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709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20F01" w14:textId="77777777" w:rsidR="0059642F" w:rsidRDefault="0059642F" w:rsidP="00F36CE2">
      <w:pPr>
        <w:rPr>
          <w:rFonts w:ascii="Calibri" w:hAnsi="Calibri" w:cs="Calibri"/>
          <w:b/>
          <w:bCs/>
          <w:sz w:val="24"/>
        </w:rPr>
      </w:pPr>
    </w:p>
    <w:p w14:paraId="21338B7A" w14:textId="7A9F12D2" w:rsidR="00401796" w:rsidRDefault="00401796" w:rsidP="00F36CE2">
      <w:pPr>
        <w:rPr>
          <w:rFonts w:ascii="Calibri" w:hAnsi="Calibri" w:cs="Calibri"/>
          <w:color w:val="000000" w:themeColor="text1"/>
          <w:sz w:val="24"/>
        </w:rPr>
      </w:pPr>
      <w:r w:rsidRPr="00F36CE2">
        <w:rPr>
          <w:rFonts w:ascii="Calibri" w:hAnsi="Calibri" w:cs="Calibri"/>
          <w:b/>
          <w:bCs/>
          <w:sz w:val="24"/>
        </w:rPr>
        <w:t>Figure S</w:t>
      </w:r>
      <w:r>
        <w:rPr>
          <w:rFonts w:ascii="Calibri" w:hAnsi="Calibri" w:cs="Calibri"/>
          <w:b/>
          <w:bCs/>
          <w:sz w:val="24"/>
        </w:rPr>
        <w:t>3</w:t>
      </w:r>
      <w:r w:rsidRPr="00F36CE2">
        <w:rPr>
          <w:rFonts w:ascii="Calibri" w:hAnsi="Calibri" w:cs="Calibri"/>
          <w:b/>
          <w:bCs/>
          <w:sz w:val="24"/>
        </w:rPr>
        <w:t>.</w:t>
      </w:r>
      <w:r w:rsidRPr="00F36CE2">
        <w:rPr>
          <w:rFonts w:ascii="Calibri" w:hAnsi="Calibri" w:cs="Calibri"/>
          <w:sz w:val="24"/>
        </w:rPr>
        <w:t xml:space="preserve"> Relationship of the STN StimNet topography to the previously validated Parkinson’s disease</w:t>
      </w:r>
      <w:r>
        <w:rPr>
          <w:rFonts w:ascii="Calibri" w:hAnsi="Calibri" w:cs="Calibri"/>
          <w:sz w:val="24"/>
        </w:rPr>
        <w:t>-</w:t>
      </w:r>
      <w:r w:rsidRPr="00F36CE2">
        <w:rPr>
          <w:rFonts w:ascii="Calibri" w:hAnsi="Calibri" w:cs="Calibri"/>
          <w:sz w:val="24"/>
        </w:rPr>
        <w:t>related metabolic covariance pattern (</w:t>
      </w:r>
      <w:r w:rsidRPr="0059642F">
        <w:rPr>
          <w:rFonts w:ascii="Calibri" w:hAnsi="Calibri" w:cs="Calibri"/>
          <w:sz w:val="24"/>
        </w:rPr>
        <w:t>PDRP) [5</w:t>
      </w:r>
      <w:r w:rsidR="00ED7691" w:rsidRPr="0059642F">
        <w:rPr>
          <w:rFonts w:ascii="Calibri" w:hAnsi="Calibri" w:cs="Calibri"/>
          <w:sz w:val="24"/>
        </w:rPr>
        <w:t>5</w:t>
      </w:r>
      <w:r w:rsidRPr="0059642F">
        <w:rPr>
          <w:rFonts w:ascii="Calibri" w:hAnsi="Calibri" w:cs="Calibri"/>
          <w:sz w:val="24"/>
        </w:rPr>
        <w:t>]. Sagittal</w:t>
      </w:r>
      <w:r w:rsidRPr="00F36CE2">
        <w:rPr>
          <w:rFonts w:ascii="Calibri" w:hAnsi="Calibri" w:cs="Calibri"/>
          <w:sz w:val="24"/>
        </w:rPr>
        <w:t>, axial, and coronal slices showing areas of spatial overlap between the two networks (</w:t>
      </w:r>
      <w:r w:rsidRPr="00F36CE2">
        <w:rPr>
          <w:rFonts w:ascii="Calibri" w:hAnsi="Calibri" w:cs="Calibri"/>
          <w:i/>
          <w:iCs/>
          <w:sz w:val="24"/>
        </w:rPr>
        <w:t>yellow</w:t>
      </w:r>
      <w:r w:rsidRPr="00F36CE2">
        <w:rPr>
          <w:rFonts w:ascii="Calibri" w:hAnsi="Calibri" w:cs="Calibri"/>
          <w:sz w:val="24"/>
        </w:rPr>
        <w:t>). Overlap with metabolically active (</w:t>
      </w:r>
      <w:r w:rsidRPr="00F36CE2">
        <w:rPr>
          <w:rFonts w:ascii="Calibri" w:hAnsi="Calibri" w:cs="Calibri"/>
          <w:i/>
          <w:iCs/>
          <w:sz w:val="24"/>
        </w:rPr>
        <w:t>red</w:t>
      </w:r>
      <w:r w:rsidRPr="00F36CE2">
        <w:rPr>
          <w:rFonts w:ascii="Calibri" w:hAnsi="Calibri" w:cs="Calibri"/>
          <w:sz w:val="24"/>
        </w:rPr>
        <w:t>) PDRP regions was seen in the globus pallidus and subthalamic nucleus, cerebellar vermis, and pons (</w:t>
      </w:r>
      <w:r w:rsidRPr="00F36CE2">
        <w:rPr>
          <w:rFonts w:ascii="Calibri" w:hAnsi="Calibri" w:cs="Calibri"/>
          <w:i/>
          <w:iCs/>
          <w:sz w:val="24"/>
        </w:rPr>
        <w:t>left</w:t>
      </w:r>
      <w:r w:rsidRPr="00F36CE2">
        <w:rPr>
          <w:rFonts w:ascii="Calibri" w:hAnsi="Calibri" w:cs="Calibri"/>
          <w:sz w:val="24"/>
        </w:rPr>
        <w:t>), and in the sensorimotor cortex (SMC) (</w:t>
      </w:r>
      <w:r w:rsidRPr="00F36CE2">
        <w:rPr>
          <w:rFonts w:ascii="Calibri" w:hAnsi="Calibri" w:cs="Calibri"/>
          <w:i/>
          <w:iCs/>
          <w:sz w:val="24"/>
        </w:rPr>
        <w:t>middle</w:t>
      </w:r>
      <w:r w:rsidRPr="00F36CE2">
        <w:rPr>
          <w:rFonts w:ascii="Calibri" w:hAnsi="Calibri" w:cs="Calibri"/>
          <w:sz w:val="24"/>
        </w:rPr>
        <w:t>). Overlap with underactive (</w:t>
      </w:r>
      <w:r w:rsidRPr="00F36CE2">
        <w:rPr>
          <w:rFonts w:ascii="Calibri" w:hAnsi="Calibri" w:cs="Calibri"/>
          <w:i/>
          <w:iCs/>
          <w:sz w:val="24"/>
        </w:rPr>
        <w:t>blue</w:t>
      </w:r>
      <w:r w:rsidRPr="00F36CE2">
        <w:rPr>
          <w:rFonts w:ascii="Calibri" w:hAnsi="Calibri" w:cs="Calibri"/>
          <w:sz w:val="24"/>
        </w:rPr>
        <w:t>) PDRP regions was seen in the cuneus (</w:t>
      </w:r>
      <w:r w:rsidRPr="00F36CE2">
        <w:rPr>
          <w:rFonts w:ascii="Calibri" w:hAnsi="Calibri" w:cs="Calibri"/>
          <w:i/>
          <w:iCs/>
          <w:sz w:val="24"/>
        </w:rPr>
        <w:t>right</w:t>
      </w:r>
      <w:r w:rsidRPr="00F36CE2">
        <w:rPr>
          <w:rFonts w:ascii="Calibri" w:hAnsi="Calibri" w:cs="Calibri"/>
          <w:sz w:val="24"/>
        </w:rPr>
        <w:t>).</w:t>
      </w:r>
    </w:p>
    <w:p w14:paraId="41C931F3" w14:textId="77777777" w:rsidR="00401796" w:rsidRDefault="00401796" w:rsidP="00F36CE2">
      <w:pPr>
        <w:rPr>
          <w:rFonts w:ascii="Calibri" w:hAnsi="Calibri" w:cs="Calibri"/>
          <w:color w:val="000000" w:themeColor="text1"/>
          <w:sz w:val="24"/>
        </w:rPr>
      </w:pPr>
    </w:p>
    <w:p w14:paraId="4DD65B49" w14:textId="77777777" w:rsidR="0059642F" w:rsidRDefault="0059642F" w:rsidP="00F36CE2">
      <w:pPr>
        <w:rPr>
          <w:rFonts w:ascii="Calibri" w:hAnsi="Calibri" w:cs="Calibri"/>
          <w:color w:val="000000" w:themeColor="text1"/>
          <w:sz w:val="24"/>
        </w:rPr>
      </w:pPr>
    </w:p>
    <w:p w14:paraId="3EDE2898" w14:textId="77777777" w:rsid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</w:p>
    <w:p w14:paraId="09C010E8" w14:textId="27637A06" w:rsidR="0059642F" w:rsidRDefault="0059642F" w:rsidP="0059642F">
      <w:pPr>
        <w:jc w:val="center"/>
        <w:rPr>
          <w:rFonts w:ascii="Calibri" w:hAnsi="Calibri" w:cs="Calibri"/>
          <w:b/>
          <w:bCs/>
          <w:color w:val="000000" w:themeColor="text1"/>
          <w:sz w:val="24"/>
        </w:rPr>
      </w:pPr>
      <w:r w:rsidRPr="0059642F">
        <w:rPr>
          <w:rFonts w:ascii="Calibri" w:hAnsi="Calibri" w:cs="Calibri"/>
          <w:b/>
          <w:bCs/>
          <w:color w:val="000000" w:themeColor="text1"/>
          <w:sz w:val="24"/>
        </w:rPr>
        <w:lastRenderedPageBreak/>
        <w:drawing>
          <wp:inline distT="0" distB="0" distL="0" distR="0" wp14:anchorId="6CFBE612" wp14:editId="48B03E8F">
            <wp:extent cx="3721210" cy="3962531"/>
            <wp:effectExtent l="0" t="0" r="0" b="0"/>
            <wp:docPr id="476364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36497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5160" cy="397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0BED0" w14:textId="590AADF2" w:rsidR="00401796" w:rsidRPr="00F36CE2" w:rsidRDefault="00401796" w:rsidP="00F36CE2">
      <w:pPr>
        <w:rPr>
          <w:rFonts w:ascii="Calibri" w:hAnsi="Calibri" w:cs="Calibri"/>
          <w:color w:val="000000" w:themeColor="text1"/>
          <w:sz w:val="24"/>
        </w:rPr>
      </w:pPr>
      <w:r w:rsidRPr="0095444D">
        <w:rPr>
          <w:rFonts w:ascii="Calibri" w:hAnsi="Calibri" w:cs="Calibri"/>
          <w:b/>
          <w:bCs/>
          <w:color w:val="000000" w:themeColor="text1"/>
          <w:sz w:val="24"/>
        </w:rPr>
        <w:t>Figure S</w:t>
      </w:r>
      <w:r>
        <w:rPr>
          <w:rFonts w:ascii="Calibri" w:hAnsi="Calibri" w:cs="Calibri"/>
          <w:b/>
          <w:bCs/>
          <w:color w:val="000000" w:themeColor="text1"/>
          <w:sz w:val="24"/>
        </w:rPr>
        <w:t>4</w:t>
      </w:r>
      <w:r w:rsidRPr="0095444D">
        <w:rPr>
          <w:rFonts w:ascii="Calibri" w:hAnsi="Calibri" w:cs="Calibri"/>
          <w:b/>
          <w:bCs/>
          <w:color w:val="000000" w:themeColor="text1"/>
          <w:sz w:val="24"/>
        </w:rPr>
        <w:t>.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Expression values for PDRP were computed in FDG PET scans from the same patients as in </w:t>
      </w:r>
      <w:r w:rsidRPr="0059387E">
        <w:rPr>
          <w:rFonts w:ascii="Calibri" w:hAnsi="Calibri" w:cs="Calibri"/>
          <w:color w:val="000000" w:themeColor="text1"/>
          <w:sz w:val="24"/>
        </w:rPr>
        <w:t>Figure 5</w:t>
      </w:r>
      <w:r w:rsidRPr="00F36CE2">
        <w:rPr>
          <w:rFonts w:ascii="Calibri" w:hAnsi="Calibri" w:cs="Calibri"/>
          <w:color w:val="000000" w:themeColor="text1"/>
          <w:sz w:val="24"/>
        </w:rPr>
        <w:t xml:space="preserve"> (see text). The trend in PDRP expression across groups differed from corresponding </w:t>
      </w:r>
      <w:r>
        <w:rPr>
          <w:rFonts w:ascii="Calibri" w:hAnsi="Calibri" w:cs="Calibri"/>
          <w:color w:val="000000" w:themeColor="text1"/>
          <w:sz w:val="24"/>
        </w:rPr>
        <w:t xml:space="preserve">STN </w:t>
      </w:r>
      <w:r w:rsidRPr="00F36CE2">
        <w:rPr>
          <w:rFonts w:ascii="Calibri" w:hAnsi="Calibri" w:cs="Calibri"/>
          <w:color w:val="000000" w:themeColor="text1"/>
          <w:sz w:val="24"/>
        </w:rPr>
        <w:t xml:space="preserve">StimNet values. Specifically, the PD patients in the four duration blocks (PD1-PD4; see Methods) exhibited linear changes in PDRP expression with advancing disease (p&lt;0.001; one-way ANOVA) (inset; </w:t>
      </w:r>
      <w:r w:rsidRPr="00F36CE2">
        <w:rPr>
          <w:rFonts w:ascii="Calibri" w:hAnsi="Calibri" w:cs="Calibri"/>
          <w:i/>
          <w:iCs/>
          <w:color w:val="000000" w:themeColor="text1"/>
          <w:sz w:val="24"/>
        </w:rPr>
        <w:t>dashed blue line</w:t>
      </w:r>
      <w:r w:rsidRPr="00F36CE2">
        <w:rPr>
          <w:rFonts w:ascii="Calibri" w:hAnsi="Calibri" w:cs="Calibri"/>
          <w:color w:val="000000" w:themeColor="text1"/>
          <w:sz w:val="24"/>
        </w:rPr>
        <w:t xml:space="preserve">). This differed from the non-linear trend (inset; </w:t>
      </w:r>
      <w:r w:rsidRPr="00F36CE2">
        <w:rPr>
          <w:rFonts w:ascii="Calibri" w:hAnsi="Calibri" w:cs="Calibri"/>
          <w:i/>
          <w:iCs/>
          <w:color w:val="000000" w:themeColor="text1"/>
          <w:sz w:val="24"/>
        </w:rPr>
        <w:t>dotted red line</w:t>
      </w:r>
      <w:r w:rsidRPr="00F36CE2">
        <w:rPr>
          <w:rFonts w:ascii="Calibri" w:hAnsi="Calibri" w:cs="Calibri"/>
          <w:color w:val="000000" w:themeColor="text1"/>
          <w:sz w:val="24"/>
        </w:rPr>
        <w:t>) noted for STN StimNet expression across the same blocks (p&lt;0.05; 2×4 RMANOVA, network × block interaction effect). [For purposes of display, individual PDRP expression values were multiplied by -1 in all groups.]</w:t>
      </w:r>
    </w:p>
    <w:p w14:paraId="77B13E4C" w14:textId="77777777" w:rsidR="00F36CE2" w:rsidRDefault="00F36CE2" w:rsidP="00F36CE2">
      <w:pPr>
        <w:rPr>
          <w:rFonts w:ascii="Calibri" w:hAnsi="Calibri" w:cs="Calibri"/>
          <w:color w:val="000000" w:themeColor="text1"/>
          <w:sz w:val="24"/>
        </w:rPr>
      </w:pPr>
    </w:p>
    <w:p w14:paraId="6BB72340" w14:textId="77777777" w:rsidR="0059642F" w:rsidRDefault="0059642F" w:rsidP="00F36CE2">
      <w:pPr>
        <w:rPr>
          <w:rFonts w:ascii="Calibri" w:hAnsi="Calibri" w:cs="Calibri"/>
          <w:color w:val="000000" w:themeColor="text1"/>
          <w:sz w:val="24"/>
        </w:rPr>
      </w:pPr>
    </w:p>
    <w:p w14:paraId="2470B847" w14:textId="559AC434" w:rsidR="00CA2391" w:rsidRPr="0059642F" w:rsidRDefault="0059642F" w:rsidP="00F36CE2">
      <w:pPr>
        <w:rPr>
          <w:rFonts w:ascii="Calibri" w:hAnsi="Calibri" w:cs="Calibri"/>
          <w:b/>
          <w:bCs/>
          <w:color w:val="000000" w:themeColor="text1"/>
          <w:sz w:val="24"/>
        </w:rPr>
      </w:pPr>
      <w:r w:rsidRPr="0059642F">
        <w:rPr>
          <w:rFonts w:ascii="Calibri" w:hAnsi="Calibri" w:cs="Calibri"/>
          <w:b/>
          <w:bCs/>
          <w:color w:val="000000" w:themeColor="text1"/>
          <w:sz w:val="24"/>
        </w:rPr>
        <w:drawing>
          <wp:inline distT="0" distB="0" distL="0" distR="0" wp14:anchorId="4B8FDC35" wp14:editId="071AC111">
            <wp:extent cx="5943600" cy="1853565"/>
            <wp:effectExtent l="0" t="0" r="0" b="635"/>
            <wp:docPr id="6004473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4473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391" w:rsidRPr="0095444D">
        <w:rPr>
          <w:rFonts w:ascii="Calibri" w:hAnsi="Calibri" w:cs="Calibri"/>
          <w:b/>
          <w:bCs/>
          <w:color w:val="000000" w:themeColor="text1"/>
          <w:sz w:val="24"/>
        </w:rPr>
        <w:t>Figure S</w:t>
      </w:r>
      <w:r w:rsidR="00401796">
        <w:rPr>
          <w:rFonts w:ascii="Calibri" w:hAnsi="Calibri" w:cs="Calibri"/>
          <w:b/>
          <w:bCs/>
          <w:color w:val="000000" w:themeColor="text1"/>
          <w:sz w:val="24"/>
        </w:rPr>
        <w:t>5</w:t>
      </w:r>
      <w:r w:rsidR="00CA2391" w:rsidRPr="0095444D">
        <w:rPr>
          <w:rFonts w:ascii="Calibri" w:hAnsi="Calibri" w:cs="Calibri"/>
          <w:b/>
          <w:bCs/>
          <w:color w:val="000000" w:themeColor="text1"/>
          <w:sz w:val="24"/>
        </w:rPr>
        <w:t>.</w:t>
      </w:r>
      <w:r w:rsidR="00CA2391">
        <w:rPr>
          <w:rFonts w:ascii="Calibri" w:hAnsi="Calibri" w:cs="Calibri"/>
          <w:b/>
          <w:bCs/>
          <w:color w:val="000000" w:themeColor="text1"/>
          <w:sz w:val="24"/>
        </w:rPr>
        <w:t xml:space="preserve"> </w:t>
      </w:r>
      <w:r w:rsidR="00F7058E">
        <w:rPr>
          <w:rFonts w:ascii="Calibri" w:hAnsi="Calibri" w:cs="Calibri"/>
          <w:b/>
          <w:bCs/>
          <w:color w:val="000000" w:themeColor="text1"/>
          <w:sz w:val="24"/>
        </w:rPr>
        <w:t xml:space="preserve">(A) </w:t>
      </w:r>
      <w:r w:rsidR="00F7058E">
        <w:rPr>
          <w:rFonts w:ascii="Calibri" w:hAnsi="Calibri" w:cs="Calibri"/>
          <w:color w:val="000000" w:themeColor="text1"/>
          <w:sz w:val="24"/>
        </w:rPr>
        <w:t>Similar to the results from Fig</w:t>
      </w:r>
      <w:r>
        <w:rPr>
          <w:rFonts w:ascii="Calibri" w:hAnsi="Calibri" w:cs="Calibri"/>
          <w:color w:val="000000" w:themeColor="text1"/>
          <w:sz w:val="24"/>
        </w:rPr>
        <w:t>ure</w:t>
      </w:r>
      <w:r w:rsidR="00F7058E">
        <w:rPr>
          <w:rFonts w:ascii="Calibri" w:hAnsi="Calibri" w:cs="Calibri"/>
          <w:color w:val="000000" w:themeColor="text1"/>
          <w:sz w:val="24"/>
        </w:rPr>
        <w:t xml:space="preserve"> 5, STN StimNet expression levels were significantly lower in the preoperative </w:t>
      </w:r>
      <w:proofErr w:type="spellStart"/>
      <w:r w:rsidR="00ED7691">
        <w:rPr>
          <w:rFonts w:ascii="Calibri" w:hAnsi="Calibri" w:cs="Calibri"/>
          <w:color w:val="000000" w:themeColor="text1"/>
          <w:sz w:val="24"/>
        </w:rPr>
        <w:t>rs</w:t>
      </w:r>
      <w:proofErr w:type="spellEnd"/>
      <w:r>
        <w:rPr>
          <w:rFonts w:ascii="Calibri" w:hAnsi="Calibri" w:cs="Calibri"/>
          <w:color w:val="000000" w:themeColor="text1"/>
          <w:sz w:val="24"/>
        </w:rPr>
        <w:t>-</w:t>
      </w:r>
      <w:r w:rsidR="00ED7691">
        <w:rPr>
          <w:rFonts w:ascii="Calibri" w:hAnsi="Calibri" w:cs="Calibri"/>
          <w:color w:val="000000" w:themeColor="text1"/>
          <w:sz w:val="24"/>
        </w:rPr>
        <w:t xml:space="preserve">fMRI </w:t>
      </w:r>
      <w:r w:rsidR="00F7058E">
        <w:rPr>
          <w:rFonts w:ascii="Calibri" w:hAnsi="Calibri" w:cs="Calibri"/>
          <w:color w:val="000000" w:themeColor="text1"/>
          <w:sz w:val="24"/>
        </w:rPr>
        <w:t xml:space="preserve">PD cohort compared to age and gender matched </w:t>
      </w:r>
      <w:r w:rsidR="00F7058E">
        <w:rPr>
          <w:rFonts w:ascii="Calibri" w:hAnsi="Calibri" w:cs="Calibri"/>
          <w:color w:val="000000" w:themeColor="text1"/>
          <w:sz w:val="24"/>
        </w:rPr>
        <w:lastRenderedPageBreak/>
        <w:t>HC subjects (p&lt;0.05</w:t>
      </w:r>
      <w:r>
        <w:rPr>
          <w:rFonts w:ascii="Calibri" w:hAnsi="Calibri" w:cs="Calibri"/>
          <w:color w:val="000000" w:themeColor="text1"/>
          <w:sz w:val="24"/>
        </w:rPr>
        <w:t>;</w:t>
      </w:r>
      <w:r w:rsidR="00F7058E">
        <w:rPr>
          <w:rFonts w:ascii="Calibri" w:hAnsi="Calibri" w:cs="Calibri"/>
          <w:color w:val="000000" w:themeColor="text1"/>
          <w:sz w:val="24"/>
        </w:rPr>
        <w:t xml:space="preserve"> Mann-Whitney test, one-tailed). </w:t>
      </w:r>
      <w:r w:rsidR="00CA2391">
        <w:rPr>
          <w:rFonts w:ascii="Calibri" w:hAnsi="Calibri" w:cs="Calibri"/>
          <w:color w:val="000000" w:themeColor="text1"/>
          <w:sz w:val="24"/>
        </w:rPr>
        <w:t xml:space="preserve">Acquisition parameters </w:t>
      </w:r>
      <w:r w:rsidR="00F7058E">
        <w:rPr>
          <w:rFonts w:ascii="Calibri" w:hAnsi="Calibri" w:cs="Calibri"/>
          <w:color w:val="000000" w:themeColor="text1"/>
          <w:sz w:val="24"/>
        </w:rPr>
        <w:t xml:space="preserve">for the rs-fMRI sequences differed slightly across </w:t>
      </w:r>
      <w:r w:rsidR="00CA2391">
        <w:rPr>
          <w:rFonts w:ascii="Calibri" w:hAnsi="Calibri" w:cs="Calibri"/>
          <w:color w:val="000000" w:themeColor="text1"/>
          <w:sz w:val="24"/>
        </w:rPr>
        <w:t xml:space="preserve">the two groups: </w:t>
      </w:r>
      <w:r w:rsidR="00CA2391" w:rsidRPr="00CA2391">
        <w:rPr>
          <w:rFonts w:ascii="Calibri" w:hAnsi="Calibri" w:cs="Calibri"/>
          <w:color w:val="000000" w:themeColor="text1"/>
          <w:sz w:val="24"/>
        </w:rPr>
        <w:t>PD</w:t>
      </w:r>
      <w:r w:rsidR="00CA2391">
        <w:rPr>
          <w:rFonts w:ascii="Calibri" w:hAnsi="Calibri" w:cs="Calibri"/>
          <w:color w:val="000000" w:themeColor="text1"/>
          <w:sz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</w:rPr>
        <w:t>–</w:t>
      </w:r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 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rs</w:t>
      </w:r>
      <w:proofErr w:type="spellEnd"/>
      <w:r>
        <w:rPr>
          <w:rFonts w:ascii="Calibri" w:hAnsi="Calibri" w:cs="Calibri"/>
          <w:color w:val="000000" w:themeColor="text1"/>
          <w:sz w:val="24"/>
        </w:rPr>
        <w:t>-</w:t>
      </w:r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fMRI scans were </w:t>
      </w:r>
      <w:r w:rsidR="00196808">
        <w:rPr>
          <w:rFonts w:ascii="Calibri" w:hAnsi="Calibri" w:cs="Calibri"/>
          <w:color w:val="000000" w:themeColor="text1"/>
          <w:sz w:val="24"/>
        </w:rPr>
        <w:t>5</w:t>
      </w:r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 mins in duration and produced 333 volumes with the following parameters: FOV = 200, TR/TE = 900/35 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ms</w:t>
      </w:r>
      <w:proofErr w:type="spellEnd"/>
      <w:r w:rsidR="00CA2391" w:rsidRPr="00CA2391">
        <w:rPr>
          <w:rFonts w:ascii="Calibri" w:hAnsi="Calibri" w:cs="Calibri"/>
          <w:color w:val="000000" w:themeColor="text1"/>
          <w:sz w:val="24"/>
        </w:rPr>
        <w:t>, flip angle = 52°, and 60 slices of 2.5 mm thickness. For each patient, a T1-weighted structural MRI scan was performed with FOV = 256 mm, TR/TE = 2400/2.35 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ms</w:t>
      </w:r>
      <w:proofErr w:type="spellEnd"/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, flip angle = 8°, and 208 slices of 0.8 mm thickness. HC </w:t>
      </w:r>
      <w:r>
        <w:rPr>
          <w:rFonts w:ascii="Calibri" w:hAnsi="Calibri" w:cs="Calibri"/>
          <w:color w:val="000000" w:themeColor="text1"/>
          <w:sz w:val="24"/>
        </w:rPr>
        <w:t>–</w:t>
      </w:r>
      <w:r w:rsidR="00CA2391">
        <w:rPr>
          <w:rFonts w:ascii="Calibri" w:hAnsi="Calibri" w:cs="Calibri"/>
          <w:color w:val="000000" w:themeColor="text1"/>
          <w:sz w:val="24"/>
        </w:rPr>
        <w:t xml:space="preserve"> 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rs</w:t>
      </w:r>
      <w:proofErr w:type="spellEnd"/>
      <w:r>
        <w:rPr>
          <w:rFonts w:ascii="Calibri" w:hAnsi="Calibri" w:cs="Calibri"/>
          <w:color w:val="000000" w:themeColor="text1"/>
          <w:sz w:val="24"/>
        </w:rPr>
        <w:t>-</w:t>
      </w:r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fMRI scans were </w:t>
      </w:r>
      <w:r w:rsidR="00196808">
        <w:rPr>
          <w:rFonts w:ascii="Calibri" w:hAnsi="Calibri" w:cs="Calibri"/>
          <w:color w:val="000000" w:themeColor="text1"/>
          <w:sz w:val="24"/>
        </w:rPr>
        <w:t>7</w:t>
      </w:r>
      <w:r w:rsidR="00CA2391" w:rsidRPr="00CA2391">
        <w:rPr>
          <w:rFonts w:ascii="Calibri" w:hAnsi="Calibri" w:cs="Calibri"/>
          <w:color w:val="000000" w:themeColor="text1"/>
          <w:sz w:val="24"/>
        </w:rPr>
        <w:t xml:space="preserve"> mins in duration and produced 583 volumes with the following parameters: FOV = 231, TR/TE = 720/33 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ms</w:t>
      </w:r>
      <w:proofErr w:type="spellEnd"/>
      <w:r w:rsidR="00CA2391" w:rsidRPr="00CA2391">
        <w:rPr>
          <w:rFonts w:ascii="Calibri" w:hAnsi="Calibri" w:cs="Calibri"/>
          <w:color w:val="000000" w:themeColor="text1"/>
          <w:sz w:val="24"/>
        </w:rPr>
        <w:t>, flip angle = 52°, and 72 slices of 2 mm thickness. For each subject, a T1-weighted structural MRI scan was performed with FOV = 256 mm, TR/TE = 2400/2.2 </w:t>
      </w:r>
      <w:proofErr w:type="spellStart"/>
      <w:r w:rsidR="00CA2391" w:rsidRPr="00CA2391">
        <w:rPr>
          <w:rFonts w:ascii="Calibri" w:hAnsi="Calibri" w:cs="Calibri"/>
          <w:color w:val="000000" w:themeColor="text1"/>
          <w:sz w:val="24"/>
        </w:rPr>
        <w:t>ms</w:t>
      </w:r>
      <w:proofErr w:type="spellEnd"/>
      <w:r w:rsidR="00CA2391" w:rsidRPr="00CA2391">
        <w:rPr>
          <w:rFonts w:ascii="Calibri" w:hAnsi="Calibri" w:cs="Calibri"/>
          <w:color w:val="000000" w:themeColor="text1"/>
          <w:sz w:val="24"/>
        </w:rPr>
        <w:t>, flip angle = 8°, and 208 slices of 0.8 mm thickness.</w:t>
      </w:r>
      <w:r w:rsidR="00F7058E">
        <w:rPr>
          <w:rFonts w:ascii="Calibri" w:hAnsi="Calibri" w:cs="Calibri"/>
          <w:color w:val="000000" w:themeColor="text1"/>
          <w:sz w:val="24"/>
        </w:rPr>
        <w:t xml:space="preserve"> </w:t>
      </w:r>
      <w:r w:rsidR="00F7058E" w:rsidRPr="00F7058E">
        <w:rPr>
          <w:rFonts w:ascii="Calibri" w:hAnsi="Calibri" w:cs="Calibri"/>
          <w:b/>
          <w:bCs/>
          <w:color w:val="000000" w:themeColor="text1"/>
          <w:sz w:val="24"/>
        </w:rPr>
        <w:t>(B)</w:t>
      </w:r>
      <w:r w:rsidR="00F7058E">
        <w:rPr>
          <w:rFonts w:ascii="Calibri" w:hAnsi="Calibri" w:cs="Calibri"/>
          <w:b/>
          <w:bCs/>
          <w:color w:val="000000" w:themeColor="text1"/>
          <w:sz w:val="24"/>
        </w:rPr>
        <w:t xml:space="preserve"> </w:t>
      </w:r>
      <w:r w:rsidR="00C614B9">
        <w:rPr>
          <w:rFonts w:ascii="Calibri" w:hAnsi="Calibri" w:cs="Calibri"/>
          <w:color w:val="000000" w:themeColor="text1"/>
          <w:sz w:val="24"/>
        </w:rPr>
        <w:t>Axial slice of a T2W template from 3D slicer that depicts overlap of VTAs from left and right electrodes with the STN “</w:t>
      </w:r>
      <w:proofErr w:type="spellStart"/>
      <w:r>
        <w:rPr>
          <w:rFonts w:ascii="Calibri" w:hAnsi="Calibri" w:cs="Calibri"/>
          <w:color w:val="000000" w:themeColor="text1"/>
          <w:sz w:val="24"/>
        </w:rPr>
        <w:t>s</w:t>
      </w:r>
      <w:r w:rsidR="00C614B9">
        <w:rPr>
          <w:rFonts w:ascii="Calibri" w:hAnsi="Calibri" w:cs="Calibri"/>
          <w:color w:val="000000" w:themeColor="text1"/>
          <w:sz w:val="24"/>
        </w:rPr>
        <w:t>weetspot</w:t>
      </w:r>
      <w:proofErr w:type="spellEnd"/>
      <w:r w:rsidR="00C614B9">
        <w:rPr>
          <w:rFonts w:ascii="Calibri" w:hAnsi="Calibri" w:cs="Calibri"/>
          <w:color w:val="000000" w:themeColor="text1"/>
          <w:sz w:val="24"/>
        </w:rPr>
        <w:t>” (left (</w:t>
      </w:r>
      <w:r w:rsidR="00C614B9" w:rsidRPr="00C614B9">
        <w:rPr>
          <w:rFonts w:ascii="Calibri" w:hAnsi="Calibri" w:cs="Calibri"/>
          <w:i/>
          <w:iCs/>
          <w:color w:val="000000" w:themeColor="text1"/>
          <w:sz w:val="24"/>
        </w:rPr>
        <w:t>green</w:t>
      </w:r>
      <w:r w:rsidR="00C614B9">
        <w:rPr>
          <w:rFonts w:ascii="Calibri" w:hAnsi="Calibri" w:cs="Calibri"/>
          <w:color w:val="000000" w:themeColor="text1"/>
          <w:sz w:val="24"/>
        </w:rPr>
        <w:t xml:space="preserve">) </w:t>
      </w:r>
      <w:r>
        <w:rPr>
          <w:rFonts w:ascii="Calibri" w:hAnsi="Calibri" w:cs="Calibri"/>
          <w:color w:val="000000" w:themeColor="text1"/>
          <w:sz w:val="24"/>
        </w:rPr>
        <w:t xml:space="preserve">and </w:t>
      </w:r>
      <w:r w:rsidR="00C614B9">
        <w:rPr>
          <w:rFonts w:ascii="Calibri" w:hAnsi="Calibri" w:cs="Calibri"/>
          <w:color w:val="000000" w:themeColor="text1"/>
          <w:sz w:val="24"/>
        </w:rPr>
        <w:t>right (</w:t>
      </w:r>
      <w:r w:rsidR="00C614B9" w:rsidRPr="00C614B9">
        <w:rPr>
          <w:rFonts w:ascii="Calibri" w:hAnsi="Calibri" w:cs="Calibri"/>
          <w:i/>
          <w:iCs/>
          <w:color w:val="000000" w:themeColor="text1"/>
          <w:sz w:val="24"/>
        </w:rPr>
        <w:t>red</w:t>
      </w:r>
      <w:r w:rsidR="00C614B9">
        <w:rPr>
          <w:rFonts w:ascii="Calibri" w:hAnsi="Calibri" w:cs="Calibri"/>
          <w:color w:val="000000" w:themeColor="text1"/>
          <w:sz w:val="24"/>
        </w:rPr>
        <w:t>))</w:t>
      </w:r>
      <w:r w:rsidR="00A37436">
        <w:rPr>
          <w:rFonts w:ascii="Calibri" w:hAnsi="Calibri" w:cs="Calibri"/>
          <w:color w:val="000000" w:themeColor="text1"/>
          <w:sz w:val="24"/>
        </w:rPr>
        <w:t xml:space="preserve"> for the whole group</w:t>
      </w:r>
      <w:r w:rsidR="00C614B9">
        <w:rPr>
          <w:rFonts w:ascii="Calibri" w:hAnsi="Calibri" w:cs="Calibri"/>
          <w:color w:val="000000" w:themeColor="text1"/>
          <w:sz w:val="24"/>
        </w:rPr>
        <w:t xml:space="preserve"> (</w:t>
      </w:r>
      <w:r>
        <w:rPr>
          <w:rFonts w:ascii="Calibri" w:hAnsi="Calibri" w:cs="Calibri"/>
          <w:color w:val="000000" w:themeColor="text1"/>
          <w:sz w:val="24"/>
        </w:rPr>
        <w:t>n=</w:t>
      </w:r>
      <w:r w:rsidR="00C614B9">
        <w:rPr>
          <w:rFonts w:ascii="Calibri" w:hAnsi="Calibri" w:cs="Calibri"/>
          <w:color w:val="000000" w:themeColor="text1"/>
          <w:sz w:val="24"/>
        </w:rPr>
        <w:t>18). E</w:t>
      </w:r>
      <w:r w:rsidR="00C614B9" w:rsidRPr="00C614B9">
        <w:rPr>
          <w:rFonts w:ascii="Calibri" w:hAnsi="Calibri" w:cs="Calibri"/>
          <w:color w:val="000000" w:themeColor="text1"/>
          <w:sz w:val="24"/>
        </w:rPr>
        <w:t xml:space="preserve">lectrodes were localized and VTAs modeled using the standardized pipeline in Lead DBS. In brief, thin-cut postoperative CT scans were sequentially registered first to the preoperative MRI using the Advanced Normalization Tools (ANTs) 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begin"/>
      </w:r>
      <w:r w:rsidR="00C614B9">
        <w:rPr>
          <w:rFonts w:ascii="Calibri" w:hAnsi="Calibri" w:cs="Calibri"/>
          <w:color w:val="000000" w:themeColor="text1"/>
          <w:sz w:val="24"/>
        </w:rPr>
        <w:instrText xml:space="preserve"> ADDIN EN.CITE &lt;EndNote&gt;&lt;Cite&gt;&lt;Author&gt;Avants&lt;/Author&gt;&lt;Year&gt;2009&lt;/Year&gt;&lt;RecNum&gt;513&lt;/RecNum&gt;&lt;DisplayText&gt;[1]&lt;/DisplayText&gt;&lt;record&gt;&lt;rec-number&gt;513&lt;/rec-number&gt;&lt;foreign-keys&gt;&lt;key app="EN" db-id="0assxaxsotsrenewr9apd9faw0avsa5pzare" timestamp="1713454929"&gt;513&lt;/key&gt;&lt;/foreign-keys&gt;&lt;ref-type name="Journal Article"&gt;17&lt;/ref-type&gt;&lt;contributors&gt;&lt;authors&gt;&lt;author&gt;Avants, Brian B&lt;/author&gt;&lt;author&gt;Tustison, Nick&lt;/author&gt;&lt;author&gt;Song, Gang&lt;/author&gt;&lt;/authors&gt;&lt;/contributors&gt;&lt;titles&gt;&lt;title&gt;Advanced normalization tools (ANTS)&lt;/title&gt;&lt;secondary-title&gt;Insight j&lt;/secondary-title&gt;&lt;/titles&gt;&lt;periodical&gt;&lt;full-title&gt;Insight j&lt;/full-title&gt;&lt;/periodical&gt;&lt;pages&gt;1-35&lt;/pages&gt;&lt;volume&gt;2&lt;/volume&gt;&lt;number&gt;365&lt;/number&gt;&lt;dates&gt;&lt;year&gt;2009&lt;/year&gt;&lt;/dates&gt;&lt;urls&gt;&lt;/urls&gt;&lt;/record&gt;&lt;/Cite&gt;&lt;/EndNote&gt;</w:instrTex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separate"/>
      </w:r>
      <w:r w:rsidR="00C614B9">
        <w:rPr>
          <w:rFonts w:ascii="Calibri" w:hAnsi="Calibri" w:cs="Calibri"/>
          <w:noProof/>
          <w:color w:val="000000" w:themeColor="text1"/>
          <w:sz w:val="24"/>
        </w:rPr>
        <w:t>[</w:t>
      </w:r>
      <w:r w:rsidR="00ED7691">
        <w:rPr>
          <w:rFonts w:ascii="Calibri" w:hAnsi="Calibri" w:cs="Calibri"/>
          <w:noProof/>
          <w:color w:val="000000" w:themeColor="text1"/>
          <w:sz w:val="24"/>
        </w:rPr>
        <w:t>78</w:t>
      </w:r>
      <w:r w:rsidR="00C614B9">
        <w:rPr>
          <w:rFonts w:ascii="Calibri" w:hAnsi="Calibri" w:cs="Calibri"/>
          <w:noProof/>
          <w:color w:val="000000" w:themeColor="text1"/>
          <w:sz w:val="24"/>
        </w:rPr>
        <w:t>]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end"/>
      </w:r>
      <w:r w:rsidR="00C614B9" w:rsidRPr="00C614B9">
        <w:rPr>
          <w:rFonts w:ascii="Calibri" w:hAnsi="Calibri" w:cs="Calibri"/>
          <w:color w:val="000000" w:themeColor="text1"/>
          <w:sz w:val="24"/>
        </w:rPr>
        <w:t xml:space="preserve">. Paired images were then normalized to the MNI template using SPM and corrected for brainshift using a subcortical mask 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begin"/>
      </w:r>
      <w:r w:rsidR="00C614B9">
        <w:rPr>
          <w:rFonts w:ascii="Calibri" w:hAnsi="Calibri" w:cs="Calibri"/>
          <w:color w:val="000000" w:themeColor="text1"/>
          <w:sz w:val="24"/>
        </w:rPr>
        <w:instrText xml:space="preserve"> ADDIN EN.CITE &lt;EndNote&gt;&lt;Cite&gt;&lt;Author&gt;Schönecker&lt;/Author&gt;&lt;Year&gt;2009&lt;/Year&gt;&lt;RecNum&gt;540&lt;/RecNum&gt;&lt;DisplayText&gt;[2]&lt;/DisplayText&gt;&lt;record&gt;&lt;rec-number&gt;540&lt;/rec-number&gt;&lt;foreign-keys&gt;&lt;key app="EN" db-id="0assxaxsotsrenewr9apd9faw0avsa5pzare" timestamp="1713518749"&gt;540&lt;/key&gt;&lt;/foreign-keys&gt;&lt;ref-type name="Journal Article"&gt;17&lt;/ref-type&gt;&lt;contributors&gt;&lt;authors&gt;&lt;author&gt;T. Schönecker&lt;/author&gt;&lt;author&gt;A. Kupsch&lt;/author&gt;&lt;author&gt;A.A. Kühn&lt;/author&gt;&lt;author&gt;G.-H. Schneider&lt;/author&gt;&lt;author&gt;K.-T. Hoffmann&lt;/author&gt;&lt;/authors&gt;&lt;/contributors&gt;&lt;titles&gt;&lt;title&gt;Automated Optimization of Subcortical Cerebral MR Imaging−Atlas Coregistration for Improved Postoperative Electrode Localization in Deep Brain Stimulation&lt;/title&gt;&lt;secondary-title&gt;American Journal of Neuroradiology&lt;/secondary-title&gt;&lt;/titles&gt;&lt;periodical&gt;&lt;full-title&gt;American Journal of Neuroradiology&lt;/full-title&gt;&lt;/periodical&gt;&lt;pages&gt;1914-1921&lt;/pages&gt;&lt;volume&gt;30&lt;/volume&gt;&lt;number&gt;10&lt;/number&gt;&lt;dates&gt;&lt;year&gt;2009&lt;/year&gt;&lt;/dates&gt;&lt;urls&gt;&lt;related-urls&gt;&lt;url&gt;https://www.ajnr.org/content/ajnr/30/10/1914.full.pdf&lt;/url&gt;&lt;/related-urls&gt;&lt;/urls&gt;&lt;electronic-resource-num&gt;10.3174/ajnr.A1741&lt;/electronic-resource-num&gt;&lt;/record&gt;&lt;/Cite&gt;&lt;/EndNote&gt;</w:instrTex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separate"/>
      </w:r>
      <w:r w:rsidR="00C614B9">
        <w:rPr>
          <w:rFonts w:ascii="Calibri" w:hAnsi="Calibri" w:cs="Calibri"/>
          <w:noProof/>
          <w:color w:val="000000" w:themeColor="text1"/>
          <w:sz w:val="24"/>
        </w:rPr>
        <w:t>[</w:t>
      </w:r>
      <w:r w:rsidR="00ED7691">
        <w:rPr>
          <w:rFonts w:ascii="Calibri" w:hAnsi="Calibri" w:cs="Calibri"/>
          <w:noProof/>
          <w:color w:val="000000" w:themeColor="text1"/>
          <w:sz w:val="24"/>
        </w:rPr>
        <w:t>79</w:t>
      </w:r>
      <w:r w:rsidR="00C614B9">
        <w:rPr>
          <w:rFonts w:ascii="Calibri" w:hAnsi="Calibri" w:cs="Calibri"/>
          <w:noProof/>
          <w:color w:val="000000" w:themeColor="text1"/>
          <w:sz w:val="24"/>
        </w:rPr>
        <w:t>]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end"/>
      </w:r>
      <w:r w:rsidR="00C614B9" w:rsidRPr="00C614B9">
        <w:rPr>
          <w:rFonts w:ascii="Calibri" w:hAnsi="Calibri" w:cs="Calibri"/>
          <w:color w:val="000000" w:themeColor="text1"/>
          <w:sz w:val="24"/>
        </w:rPr>
        <w:t xml:space="preserve">. Finally, electrodes were localized using the PaCER algorithm and manually inspected for accuracy. Electric fields around the active contacts to estimate the VTA were modeled using Fastfield; active contacts and stimulation parameters selected as inputs for each individual patient that were in use during the postoperative clinical evaluation 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begin"/>
      </w:r>
      <w:r w:rsidR="00C614B9">
        <w:rPr>
          <w:rFonts w:ascii="Calibri" w:hAnsi="Calibri" w:cs="Calibri"/>
          <w:color w:val="000000" w:themeColor="text1"/>
          <w:sz w:val="24"/>
        </w:rPr>
        <w:instrText xml:space="preserve"> ADDIN EN.CITE &lt;EndNote&gt;&lt;Cite&gt;&lt;Author&gt;Husch&lt;/Author&gt;&lt;Year&gt;2018&lt;/Year&gt;&lt;RecNum&gt;515&lt;/RecNum&gt;&lt;DisplayText&gt;[3, 4]&lt;/DisplayText&gt;&lt;record&gt;&lt;rec-number&gt;515&lt;/rec-number&gt;&lt;foreign-keys&gt;&lt;key app="EN" db-id="0assxaxsotsrenewr9apd9faw0avsa5pzare" timestamp="1713455510"&gt;515&lt;/key&gt;&lt;/foreign-keys&gt;&lt;ref-type name="Journal Article"&gt;17&lt;/ref-type&gt;&lt;contributors&gt;&lt;authors&gt;&lt;author&gt;Husch, Andreas&lt;/author&gt;&lt;author&gt;Petersen, Mikkel V&lt;/author&gt;&lt;author&gt;Gemmar, Peter&lt;/author&gt;&lt;author&gt;Goncalves, Jorge&lt;/author&gt;&lt;author&gt;Hertel, Frank&lt;/author&gt;&lt;/authors&gt;&lt;/contributors&gt;&lt;titles&gt;&lt;title&gt;PaCER-A fully automated method for electrode trajectory and contact reconstruction in deep brain stimulation&lt;/title&gt;&lt;secondary-title&gt;NeuroImage: Clinical&lt;/secondary-title&gt;&lt;/titles&gt;&lt;periodical&gt;&lt;full-title&gt;NeuroImage: Clinical&lt;/full-title&gt;&lt;/periodical&gt;&lt;pages&gt;80-89&lt;/pages&gt;&lt;volume&gt;17&lt;/volume&gt;&lt;dates&gt;&lt;year&gt;2018&lt;/year&gt;&lt;/dates&gt;&lt;isbn&gt;2213-1582&lt;/isbn&gt;&lt;urls&gt;&lt;/urls&gt;&lt;/record&gt;&lt;/Cite&gt;&lt;Cite&gt;&lt;Author&gt;Baniasadi&lt;/Author&gt;&lt;Year&gt;2020&lt;/Year&gt;&lt;RecNum&gt;514&lt;/RecNum&gt;&lt;record&gt;&lt;rec-number&gt;514&lt;/rec-number&gt;&lt;foreign-keys&gt;&lt;key app="EN" db-id="0assxaxsotsrenewr9apd9faw0avsa5pzare" timestamp="1713455494"&gt;514&lt;/key&gt;&lt;/foreign-keys&gt;&lt;ref-type name="Journal Article"&gt;17&lt;/ref-type&gt;&lt;contributors&gt;&lt;authors&gt;&lt;author&gt;Baniasadi, Mehri&lt;/author&gt;&lt;author&gt;Proverbio, Daniele&lt;/author&gt;&lt;author&gt;Gonçalves, Jorge&lt;/author&gt;&lt;author&gt;Hertel, Frank&lt;/author&gt;&lt;author&gt;Husch, Andreas&lt;/author&gt;&lt;/authors&gt;&lt;/contributors&gt;&lt;titles&gt;&lt;title&gt;FastField: An open-source toolbox for efficient approximation of deep brain stimulation electric fields&lt;/title&gt;&lt;secondary-title&gt;Neuroimage&lt;/secondary-title&gt;&lt;/titles&gt;&lt;periodical&gt;&lt;full-title&gt;Neuroimage&lt;/full-title&gt;&lt;/periodical&gt;&lt;pages&gt;117330&lt;/pages&gt;&lt;volume&gt;223&lt;/volume&gt;&lt;dates&gt;&lt;year&gt;2020&lt;/year&gt;&lt;/dates&gt;&lt;isbn&gt;1053-8119&lt;/isbn&gt;&lt;urls&gt;&lt;/urls&gt;&lt;/record&gt;&lt;/Cite&gt;&lt;/EndNote&gt;</w:instrTex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separate"/>
      </w:r>
      <w:r w:rsidR="00C614B9">
        <w:rPr>
          <w:rFonts w:ascii="Calibri" w:hAnsi="Calibri" w:cs="Calibri"/>
          <w:noProof/>
          <w:color w:val="000000" w:themeColor="text1"/>
          <w:sz w:val="24"/>
        </w:rPr>
        <w:t>[</w:t>
      </w:r>
      <w:r w:rsidR="00ED7691">
        <w:rPr>
          <w:rFonts w:ascii="Calibri" w:hAnsi="Calibri" w:cs="Calibri"/>
          <w:noProof/>
          <w:color w:val="000000" w:themeColor="text1"/>
          <w:sz w:val="24"/>
        </w:rPr>
        <w:t>80</w:t>
      </w:r>
      <w:r w:rsidR="00C614B9">
        <w:rPr>
          <w:rFonts w:ascii="Calibri" w:hAnsi="Calibri" w:cs="Calibri"/>
          <w:noProof/>
          <w:color w:val="000000" w:themeColor="text1"/>
          <w:sz w:val="24"/>
        </w:rPr>
        <w:t xml:space="preserve">, </w:t>
      </w:r>
      <w:r w:rsidR="00ED7691">
        <w:rPr>
          <w:rFonts w:ascii="Calibri" w:hAnsi="Calibri" w:cs="Calibri"/>
          <w:noProof/>
          <w:color w:val="000000" w:themeColor="text1"/>
          <w:sz w:val="24"/>
        </w:rPr>
        <w:t>81</w:t>
      </w:r>
      <w:r w:rsidR="00C614B9">
        <w:rPr>
          <w:rFonts w:ascii="Calibri" w:hAnsi="Calibri" w:cs="Calibri"/>
          <w:noProof/>
          <w:color w:val="000000" w:themeColor="text1"/>
          <w:sz w:val="24"/>
        </w:rPr>
        <w:t>]</w:t>
      </w:r>
      <w:r w:rsidR="00C614B9" w:rsidRPr="00C614B9">
        <w:rPr>
          <w:rFonts w:ascii="Calibri" w:hAnsi="Calibri" w:cs="Calibri"/>
          <w:color w:val="000000" w:themeColor="text1"/>
          <w:sz w:val="24"/>
        </w:rPr>
        <w:fldChar w:fldCharType="end"/>
      </w:r>
      <w:r w:rsidR="00C614B9" w:rsidRPr="00C614B9">
        <w:rPr>
          <w:rFonts w:ascii="Calibri" w:hAnsi="Calibri" w:cs="Calibri"/>
          <w:color w:val="000000" w:themeColor="text1"/>
          <w:sz w:val="24"/>
        </w:rPr>
        <w:t>.</w:t>
      </w:r>
      <w:r w:rsidR="00C614B9">
        <w:rPr>
          <w:rFonts w:ascii="Calibri" w:hAnsi="Calibri" w:cs="Calibri"/>
          <w:color w:val="000000" w:themeColor="text1"/>
          <w:sz w:val="24"/>
        </w:rPr>
        <w:t xml:space="preserve"> </w:t>
      </w:r>
      <w:r w:rsidR="00C614B9" w:rsidRPr="00C614B9">
        <w:rPr>
          <w:rFonts w:ascii="Calibri" w:hAnsi="Calibri" w:cs="Calibri"/>
          <w:color w:val="000000" w:themeColor="text1"/>
          <w:sz w:val="24"/>
        </w:rPr>
        <w:t xml:space="preserve">Proximity of the electrode to the STN “sweetspot” was computed </w:t>
      </w:r>
      <w:r w:rsidR="00C614B9">
        <w:rPr>
          <w:rFonts w:ascii="Calibri" w:hAnsi="Calibri" w:cs="Calibri"/>
          <w:color w:val="000000" w:themeColor="text1"/>
          <w:sz w:val="24"/>
        </w:rPr>
        <w:t xml:space="preserve">for each electrode by </w:t>
      </w:r>
      <w:r w:rsidR="00C614B9" w:rsidRPr="00C614B9">
        <w:rPr>
          <w:rFonts w:ascii="Calibri" w:hAnsi="Calibri" w:cs="Calibri"/>
          <w:color w:val="000000" w:themeColor="text1"/>
          <w:sz w:val="24"/>
        </w:rPr>
        <w:t xml:space="preserve">calculating the DICE coefficient [2(A∩B)/(A+B)] as a measure of spatial overlap between this region and </w:t>
      </w:r>
      <w:r w:rsidR="00C614B9">
        <w:rPr>
          <w:rFonts w:ascii="Calibri" w:hAnsi="Calibri" w:cs="Calibri"/>
          <w:color w:val="000000" w:themeColor="text1"/>
          <w:sz w:val="24"/>
        </w:rPr>
        <w:t xml:space="preserve">calculated </w:t>
      </w:r>
      <w:r w:rsidR="00C614B9" w:rsidRPr="00C614B9">
        <w:rPr>
          <w:rFonts w:ascii="Calibri" w:hAnsi="Calibri" w:cs="Calibri"/>
          <w:color w:val="000000" w:themeColor="text1"/>
          <w:sz w:val="24"/>
        </w:rPr>
        <w:t>the volume of tissue activated (VTA)</w:t>
      </w:r>
      <w:r w:rsidR="00C614B9">
        <w:rPr>
          <w:rFonts w:ascii="Calibri" w:hAnsi="Calibri" w:cs="Calibri"/>
          <w:color w:val="000000" w:themeColor="text1"/>
          <w:sz w:val="24"/>
        </w:rPr>
        <w:t>.</w:t>
      </w:r>
      <w:r w:rsidR="00BA00D3">
        <w:rPr>
          <w:rFonts w:ascii="Calibri" w:hAnsi="Calibri" w:cs="Calibri"/>
          <w:color w:val="000000" w:themeColor="text1"/>
          <w:sz w:val="24"/>
        </w:rPr>
        <w:t xml:space="preserve"> </w:t>
      </w:r>
      <w:r w:rsidR="00BA00D3" w:rsidRPr="00F7058E">
        <w:rPr>
          <w:rFonts w:ascii="Calibri" w:hAnsi="Calibri" w:cs="Calibri"/>
          <w:b/>
          <w:bCs/>
          <w:color w:val="000000" w:themeColor="text1"/>
          <w:sz w:val="24"/>
        </w:rPr>
        <w:t>(</w:t>
      </w:r>
      <w:r w:rsidR="00BA00D3">
        <w:rPr>
          <w:rFonts w:ascii="Calibri" w:hAnsi="Calibri" w:cs="Calibri"/>
          <w:b/>
          <w:bCs/>
          <w:color w:val="000000" w:themeColor="text1"/>
          <w:sz w:val="24"/>
        </w:rPr>
        <w:t>C</w:t>
      </w:r>
      <w:r w:rsidR="00BA00D3" w:rsidRPr="00F7058E">
        <w:rPr>
          <w:rFonts w:ascii="Calibri" w:hAnsi="Calibri" w:cs="Calibri"/>
          <w:b/>
          <w:bCs/>
          <w:color w:val="000000" w:themeColor="text1"/>
          <w:sz w:val="24"/>
        </w:rPr>
        <w:t>)</w:t>
      </w:r>
      <w:r w:rsidR="00BA00D3">
        <w:rPr>
          <w:rFonts w:ascii="Calibri" w:hAnsi="Calibri" w:cs="Calibri"/>
          <w:b/>
          <w:bCs/>
          <w:color w:val="000000" w:themeColor="text1"/>
          <w:sz w:val="24"/>
        </w:rPr>
        <w:t xml:space="preserve"> </w:t>
      </w:r>
      <w:r w:rsidR="00BA00D3">
        <w:rPr>
          <w:rFonts w:ascii="Calibri" w:hAnsi="Calibri" w:cs="Calibri"/>
          <w:color w:val="000000" w:themeColor="text1"/>
          <w:sz w:val="24"/>
        </w:rPr>
        <w:t>A significant correlation between the DICE coefficient and magnitude of motor improvement with stimulation was seen in this cohort (r=0.63, p&lt;0.05, one-tailed)</w:t>
      </w:r>
      <w:r w:rsidR="00401796">
        <w:rPr>
          <w:rFonts w:ascii="Calibri" w:hAnsi="Calibri" w:cs="Calibri"/>
          <w:color w:val="000000" w:themeColor="text1"/>
          <w:sz w:val="24"/>
        </w:rPr>
        <w:t>.</w:t>
      </w:r>
    </w:p>
    <w:p w14:paraId="0CB9F95B" w14:textId="77777777" w:rsidR="00401796" w:rsidRDefault="00401796" w:rsidP="00F36CE2">
      <w:pPr>
        <w:rPr>
          <w:rFonts w:ascii="Calibri" w:hAnsi="Calibri" w:cs="Calibri"/>
          <w:color w:val="000000" w:themeColor="text1"/>
          <w:sz w:val="24"/>
        </w:rPr>
      </w:pPr>
    </w:p>
    <w:p w14:paraId="44D0CD8D" w14:textId="77777777" w:rsidR="000E59BF" w:rsidRDefault="000E59BF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0BA5DAEC" w14:textId="77777777" w:rsidR="007D27EF" w:rsidRDefault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br w:type="page"/>
      </w:r>
    </w:p>
    <w:p w14:paraId="36880845" w14:textId="5C001EAE" w:rsidR="00541243" w:rsidRDefault="00541243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 w:rsidRPr="00F36CE2"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lastRenderedPageBreak/>
        <w:t>Supplementary Table</w:t>
      </w:r>
    </w:p>
    <w:p w14:paraId="4644E488" w14:textId="77777777" w:rsidR="007D27EF" w:rsidRDefault="007D27EF" w:rsidP="00F36CE2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4125AE97" w14:textId="00642CA8" w:rsidR="00EC55AA" w:rsidRPr="00A71083" w:rsidRDefault="007D27EF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t>Table S1A.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615"/>
        <w:gridCol w:w="990"/>
        <w:gridCol w:w="1260"/>
        <w:gridCol w:w="1080"/>
        <w:gridCol w:w="1440"/>
        <w:gridCol w:w="1440"/>
        <w:gridCol w:w="1530"/>
      </w:tblGrid>
      <w:tr w:rsidR="007D27EF" w14:paraId="06D4DD62" w14:textId="77777777" w:rsidTr="00A71083">
        <w:tc>
          <w:tcPr>
            <w:tcW w:w="1615" w:type="dxa"/>
            <w:vMerge w:val="restart"/>
            <w:vAlign w:val="center"/>
          </w:tcPr>
          <w:p w14:paraId="6C50E42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Cohort</w:t>
            </w:r>
          </w:p>
        </w:tc>
        <w:tc>
          <w:tcPr>
            <w:tcW w:w="990" w:type="dxa"/>
            <w:vMerge w:val="restart"/>
            <w:vAlign w:val="center"/>
          </w:tcPr>
          <w:p w14:paraId="764DA39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Number</w:t>
            </w:r>
          </w:p>
          <w:p w14:paraId="1B8A397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(Patients)</w:t>
            </w:r>
          </w:p>
        </w:tc>
        <w:tc>
          <w:tcPr>
            <w:tcW w:w="3780" w:type="dxa"/>
            <w:gridSpan w:val="3"/>
            <w:vAlign w:val="center"/>
          </w:tcPr>
          <w:p w14:paraId="20CB611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Demographics</w:t>
            </w:r>
          </w:p>
        </w:tc>
        <w:tc>
          <w:tcPr>
            <w:tcW w:w="2970" w:type="dxa"/>
            <w:gridSpan w:val="2"/>
            <w:vAlign w:val="center"/>
          </w:tcPr>
          <w:p w14:paraId="3557DD6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UPDRS Motor Ratings</w:t>
            </w:r>
          </w:p>
        </w:tc>
      </w:tr>
      <w:tr w:rsidR="00A71083" w14:paraId="6663A238" w14:textId="77777777" w:rsidTr="00A71083">
        <w:trPr>
          <w:trHeight w:val="341"/>
        </w:trPr>
        <w:tc>
          <w:tcPr>
            <w:tcW w:w="1615" w:type="dxa"/>
            <w:vMerge/>
            <w:tcBorders>
              <w:bottom w:val="single" w:sz="4" w:space="0" w:color="auto"/>
            </w:tcBorders>
            <w:vAlign w:val="center"/>
          </w:tcPr>
          <w:p w14:paraId="2F3DB7D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vMerge/>
            <w:vAlign w:val="center"/>
          </w:tcPr>
          <w:p w14:paraId="6DC298A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5D665D69" w14:textId="351D31A2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Age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  <w:p w14:paraId="3B1A67F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(Years)</w:t>
            </w:r>
          </w:p>
        </w:tc>
        <w:tc>
          <w:tcPr>
            <w:tcW w:w="1080" w:type="dxa"/>
            <w:vAlign w:val="center"/>
          </w:tcPr>
          <w:p w14:paraId="7F13ABB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Gender</w:t>
            </w:r>
          </w:p>
          <w:p w14:paraId="30AECF9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(Male: Female)</w:t>
            </w:r>
          </w:p>
        </w:tc>
        <w:tc>
          <w:tcPr>
            <w:tcW w:w="1440" w:type="dxa"/>
            <w:vAlign w:val="center"/>
          </w:tcPr>
          <w:p w14:paraId="3D5F8EEE" w14:textId="3C05ED9E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Disease Duration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  <w:p w14:paraId="15FB1296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(Years)</w:t>
            </w:r>
          </w:p>
        </w:tc>
        <w:tc>
          <w:tcPr>
            <w:tcW w:w="1440" w:type="dxa"/>
            <w:vAlign w:val="center"/>
          </w:tcPr>
          <w:p w14:paraId="5C04BAF7" w14:textId="77777777" w:rsidR="007D27EF" w:rsidRPr="004245EE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OFF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vAlign w:val="center"/>
          </w:tcPr>
          <w:p w14:paraId="3C85719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ON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(Treatment)</w:t>
            </w:r>
          </w:p>
        </w:tc>
      </w:tr>
      <w:tr w:rsidR="007D27EF" w:rsidRPr="0077044E" w14:paraId="575ED9DB" w14:textId="77777777" w:rsidTr="00A71083">
        <w:trPr>
          <w:trHeight w:val="341"/>
        </w:trPr>
        <w:tc>
          <w:tcPr>
            <w:tcW w:w="1615" w:type="dxa"/>
            <w:tcBorders>
              <w:right w:val="nil"/>
            </w:tcBorders>
            <w:vAlign w:val="center"/>
          </w:tcPr>
          <w:p w14:paraId="17531B8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STN-DBS</w:t>
            </w:r>
          </w:p>
        </w:tc>
        <w:tc>
          <w:tcPr>
            <w:tcW w:w="7740" w:type="dxa"/>
            <w:gridSpan w:val="6"/>
            <w:tcBorders>
              <w:left w:val="nil"/>
            </w:tcBorders>
            <w:vAlign w:val="center"/>
          </w:tcPr>
          <w:p w14:paraId="6A54EEE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</w:tr>
      <w:tr w:rsidR="00A71083" w:rsidRPr="0077044E" w14:paraId="35666A6C" w14:textId="77777777" w:rsidTr="00A71083">
        <w:trPr>
          <w:trHeight w:val="413"/>
        </w:trPr>
        <w:tc>
          <w:tcPr>
            <w:tcW w:w="1615" w:type="dxa"/>
            <w:vAlign w:val="center"/>
          </w:tcPr>
          <w:p w14:paraId="6CD885A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Site 1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 1</w:t>
            </w:r>
          </w:p>
          <w:p w14:paraId="1CD94669" w14:textId="77777777" w:rsidR="007D27EF" w:rsidRDefault="007D27EF" w:rsidP="00E801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(USA)</w:t>
            </w:r>
          </w:p>
          <w:p w14:paraId="498BD1AC" w14:textId="1BD384EF" w:rsidR="006D0422" w:rsidRPr="00A71083" w:rsidRDefault="006D0422" w:rsidP="006D0422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6D0422"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>PET Imaging</w:t>
            </w:r>
          </w:p>
        </w:tc>
        <w:tc>
          <w:tcPr>
            <w:tcW w:w="990" w:type="dxa"/>
            <w:vAlign w:val="center"/>
          </w:tcPr>
          <w:p w14:paraId="13F79F4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260" w:type="dxa"/>
            <w:vAlign w:val="center"/>
          </w:tcPr>
          <w:p w14:paraId="1DA75BC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60.8 ± 10.6</w:t>
            </w:r>
          </w:p>
        </w:tc>
        <w:tc>
          <w:tcPr>
            <w:tcW w:w="1080" w:type="dxa"/>
            <w:vAlign w:val="center"/>
          </w:tcPr>
          <w:p w14:paraId="38790FC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17:7</w:t>
            </w:r>
          </w:p>
        </w:tc>
        <w:tc>
          <w:tcPr>
            <w:tcW w:w="1440" w:type="dxa"/>
            <w:vAlign w:val="center"/>
          </w:tcPr>
          <w:p w14:paraId="176006E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12 ± 5.3</w:t>
            </w:r>
          </w:p>
        </w:tc>
        <w:tc>
          <w:tcPr>
            <w:tcW w:w="1440" w:type="dxa"/>
            <w:vAlign w:val="center"/>
          </w:tcPr>
          <w:p w14:paraId="59F4FD0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32 ± 13</w:t>
            </w:r>
          </w:p>
        </w:tc>
        <w:tc>
          <w:tcPr>
            <w:tcW w:w="1530" w:type="dxa"/>
            <w:vAlign w:val="center"/>
          </w:tcPr>
          <w:p w14:paraId="269B786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22.8 ± 11.1</w:t>
            </w:r>
          </w:p>
        </w:tc>
      </w:tr>
      <w:tr w:rsidR="006D0422" w:rsidRPr="0077044E" w14:paraId="6A724EBD" w14:textId="77777777" w:rsidTr="00A71083">
        <w:trPr>
          <w:trHeight w:val="431"/>
        </w:trPr>
        <w:tc>
          <w:tcPr>
            <w:tcW w:w="1615" w:type="dxa"/>
            <w:vAlign w:val="center"/>
          </w:tcPr>
          <w:p w14:paraId="043BF999" w14:textId="3F869012" w:rsidR="006D0422" w:rsidRPr="00A71083" w:rsidRDefault="006D0422" w:rsidP="006D0422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Site 1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  <w:p w14:paraId="0BE31563" w14:textId="77777777" w:rsidR="006D0422" w:rsidRDefault="006D0422" w:rsidP="006D0422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(USA)</w:t>
            </w:r>
          </w:p>
          <w:p w14:paraId="3D22361C" w14:textId="6346B197" w:rsidR="006D0422" w:rsidRPr="006D0422" w:rsidRDefault="006D0422" w:rsidP="006D0422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>MRI</w:t>
            </w:r>
            <w:r w:rsidRPr="006D0422"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 xml:space="preserve"> Imaging</w:t>
            </w:r>
          </w:p>
        </w:tc>
        <w:tc>
          <w:tcPr>
            <w:tcW w:w="990" w:type="dxa"/>
            <w:vAlign w:val="center"/>
          </w:tcPr>
          <w:p w14:paraId="6482933B" w14:textId="7C443195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60" w:type="dxa"/>
            <w:vAlign w:val="center"/>
          </w:tcPr>
          <w:p w14:paraId="00572E15" w14:textId="3780F5B3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62.4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11.4</w:t>
            </w:r>
          </w:p>
        </w:tc>
        <w:tc>
          <w:tcPr>
            <w:tcW w:w="1080" w:type="dxa"/>
            <w:vAlign w:val="center"/>
          </w:tcPr>
          <w:p w14:paraId="2B8F8178" w14:textId="58B7E136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5:4</w:t>
            </w:r>
          </w:p>
        </w:tc>
        <w:tc>
          <w:tcPr>
            <w:tcW w:w="1440" w:type="dxa"/>
            <w:vAlign w:val="center"/>
          </w:tcPr>
          <w:p w14:paraId="3B66A805" w14:textId="05E7E020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9.8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5.7</w:t>
            </w:r>
          </w:p>
        </w:tc>
        <w:tc>
          <w:tcPr>
            <w:tcW w:w="1440" w:type="dxa"/>
            <w:vAlign w:val="center"/>
          </w:tcPr>
          <w:p w14:paraId="6C489E5B" w14:textId="15660BA2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51.2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19.8 </w:t>
            </w:r>
          </w:p>
        </w:tc>
        <w:tc>
          <w:tcPr>
            <w:tcW w:w="1530" w:type="dxa"/>
            <w:vAlign w:val="center"/>
          </w:tcPr>
          <w:p w14:paraId="38F00165" w14:textId="7A4E06BC" w:rsidR="006D0422" w:rsidRPr="00A71083" w:rsidRDefault="00505AF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22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12</w:t>
            </w:r>
          </w:p>
        </w:tc>
      </w:tr>
      <w:tr w:rsidR="00A71083" w:rsidRPr="0077044E" w14:paraId="00B6B7E8" w14:textId="77777777" w:rsidTr="00A71083">
        <w:trPr>
          <w:trHeight w:val="431"/>
        </w:trPr>
        <w:tc>
          <w:tcPr>
            <w:tcW w:w="1615" w:type="dxa"/>
            <w:vAlign w:val="center"/>
          </w:tcPr>
          <w:p w14:paraId="350D7FC3" w14:textId="7C41E17F" w:rsidR="007D27EF" w:rsidRPr="00A71083" w:rsidRDefault="007D27EF" w:rsidP="00E801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Site 2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 a,</w:t>
            </w:r>
            <w:r w:rsidR="006D042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  <w:p w14:paraId="7EA41634" w14:textId="77777777" w:rsidR="007D27EF" w:rsidRDefault="007D27EF" w:rsidP="00E801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(Italy)</w:t>
            </w:r>
          </w:p>
          <w:p w14:paraId="61EB1D1A" w14:textId="77F4CFE9" w:rsidR="00A37436" w:rsidRPr="00A71083" w:rsidRDefault="00A37436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6D0422"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>PET Imaging</w:t>
            </w:r>
          </w:p>
        </w:tc>
        <w:tc>
          <w:tcPr>
            <w:tcW w:w="990" w:type="dxa"/>
            <w:vAlign w:val="center"/>
          </w:tcPr>
          <w:p w14:paraId="13C8504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vAlign w:val="center"/>
          </w:tcPr>
          <w:p w14:paraId="06BD7C5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62.1 ± 8.3</w:t>
            </w:r>
          </w:p>
        </w:tc>
        <w:tc>
          <w:tcPr>
            <w:tcW w:w="1080" w:type="dxa"/>
            <w:vAlign w:val="center"/>
          </w:tcPr>
          <w:p w14:paraId="2E58757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7:3</w:t>
            </w:r>
          </w:p>
        </w:tc>
        <w:tc>
          <w:tcPr>
            <w:tcW w:w="1440" w:type="dxa"/>
            <w:vAlign w:val="center"/>
          </w:tcPr>
          <w:p w14:paraId="12A032B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12.9 ± 3.5</w:t>
            </w:r>
          </w:p>
        </w:tc>
        <w:tc>
          <w:tcPr>
            <w:tcW w:w="1440" w:type="dxa"/>
            <w:vAlign w:val="center"/>
          </w:tcPr>
          <w:p w14:paraId="26C6B5C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43.3 ± 11.9</w:t>
            </w:r>
          </w:p>
        </w:tc>
        <w:tc>
          <w:tcPr>
            <w:tcW w:w="1530" w:type="dxa"/>
            <w:vAlign w:val="center"/>
          </w:tcPr>
          <w:p w14:paraId="3038739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26.6 ± 13</w:t>
            </w:r>
          </w:p>
        </w:tc>
      </w:tr>
      <w:tr w:rsidR="00A71083" w:rsidRPr="0077044E" w14:paraId="16F37CCC" w14:textId="77777777" w:rsidTr="00A71083">
        <w:trPr>
          <w:trHeight w:val="440"/>
        </w:trPr>
        <w:tc>
          <w:tcPr>
            <w:tcW w:w="1615" w:type="dxa"/>
            <w:vAlign w:val="center"/>
          </w:tcPr>
          <w:p w14:paraId="7CB9E92A" w14:textId="47DD76B3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GPi-DBS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 xml:space="preserve">b, </w:t>
            </w:r>
            <w:r w:rsidR="006D0422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90" w:type="dxa"/>
            <w:vAlign w:val="center"/>
          </w:tcPr>
          <w:p w14:paraId="0332DEB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vAlign w:val="bottom"/>
          </w:tcPr>
          <w:p w14:paraId="51967AB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53.5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± 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10.1</w:t>
            </w:r>
          </w:p>
          <w:p w14:paraId="14EF1B86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33FFA80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7:3</w:t>
            </w:r>
          </w:p>
          <w:p w14:paraId="71DD6E1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14:paraId="56D5D4A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5.1</w:t>
            </w:r>
          </w:p>
          <w:p w14:paraId="644CED2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14:paraId="7632D81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49.9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17.1</w:t>
            </w:r>
          </w:p>
          <w:p w14:paraId="1799E6C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vAlign w:val="bottom"/>
          </w:tcPr>
          <w:p w14:paraId="0636CE6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34.2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11</w:t>
            </w:r>
          </w:p>
          <w:p w14:paraId="7F9875F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</w:tr>
      <w:tr w:rsidR="00A71083" w:rsidRPr="0077044E" w14:paraId="404A1EE0" w14:textId="77777777" w:rsidTr="00A71083">
        <w:trPr>
          <w:trHeight w:val="422"/>
        </w:trPr>
        <w:tc>
          <w:tcPr>
            <w:tcW w:w="1615" w:type="dxa"/>
            <w:vAlign w:val="center"/>
          </w:tcPr>
          <w:p w14:paraId="16076AC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Levodopa Infusion</w:t>
            </w:r>
          </w:p>
        </w:tc>
        <w:tc>
          <w:tcPr>
            <w:tcW w:w="990" w:type="dxa"/>
            <w:vAlign w:val="center"/>
          </w:tcPr>
          <w:p w14:paraId="35978DB6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vAlign w:val="center"/>
          </w:tcPr>
          <w:p w14:paraId="122454E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63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7.6</w:t>
            </w:r>
          </w:p>
        </w:tc>
        <w:tc>
          <w:tcPr>
            <w:tcW w:w="1080" w:type="dxa"/>
            <w:vAlign w:val="center"/>
          </w:tcPr>
          <w:p w14:paraId="16DA47A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8:2</w:t>
            </w:r>
          </w:p>
        </w:tc>
        <w:tc>
          <w:tcPr>
            <w:tcW w:w="1440" w:type="dxa"/>
            <w:vAlign w:val="center"/>
          </w:tcPr>
          <w:p w14:paraId="4EFBF02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10.8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5.6</w:t>
            </w:r>
          </w:p>
        </w:tc>
        <w:tc>
          <w:tcPr>
            <w:tcW w:w="1440" w:type="dxa"/>
            <w:vAlign w:val="center"/>
          </w:tcPr>
          <w:p w14:paraId="3238757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31.7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6.1</w:t>
            </w:r>
          </w:p>
        </w:tc>
        <w:tc>
          <w:tcPr>
            <w:tcW w:w="1530" w:type="dxa"/>
            <w:vAlign w:val="center"/>
          </w:tcPr>
          <w:p w14:paraId="3AFE13C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18.3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7.3</w:t>
            </w:r>
          </w:p>
        </w:tc>
      </w:tr>
      <w:tr w:rsidR="00A71083" w:rsidRPr="0077044E" w14:paraId="4CC6C724" w14:textId="77777777" w:rsidTr="00A71083">
        <w:trPr>
          <w:trHeight w:val="449"/>
        </w:trPr>
        <w:tc>
          <w:tcPr>
            <w:tcW w:w="1615" w:type="dxa"/>
            <w:vAlign w:val="center"/>
          </w:tcPr>
          <w:p w14:paraId="768F3FD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Sub- thalamotomy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0" w:type="dxa"/>
            <w:vAlign w:val="center"/>
          </w:tcPr>
          <w:p w14:paraId="70909AA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7689F59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56.2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9</w:t>
            </w:r>
          </w:p>
        </w:tc>
        <w:tc>
          <w:tcPr>
            <w:tcW w:w="1080" w:type="dxa"/>
            <w:vAlign w:val="center"/>
          </w:tcPr>
          <w:p w14:paraId="259EDA7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3:3</w:t>
            </w:r>
          </w:p>
        </w:tc>
        <w:tc>
          <w:tcPr>
            <w:tcW w:w="1440" w:type="dxa"/>
            <w:vAlign w:val="center"/>
          </w:tcPr>
          <w:p w14:paraId="5A2F43B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10.3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2.9</w:t>
            </w:r>
          </w:p>
        </w:tc>
        <w:tc>
          <w:tcPr>
            <w:tcW w:w="1440" w:type="dxa"/>
            <w:vAlign w:val="center"/>
          </w:tcPr>
          <w:p w14:paraId="6245D0C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63.3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17.7</w:t>
            </w:r>
          </w:p>
        </w:tc>
        <w:tc>
          <w:tcPr>
            <w:tcW w:w="1530" w:type="dxa"/>
            <w:vAlign w:val="center"/>
          </w:tcPr>
          <w:p w14:paraId="2B67EB9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37.3 ± 15.7</w:t>
            </w:r>
          </w:p>
        </w:tc>
      </w:tr>
    </w:tbl>
    <w:p w14:paraId="01E016F5" w14:textId="13020048" w:rsidR="00A71083" w:rsidRDefault="007D27EF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*Mean ± </w:t>
      </w:r>
      <w:r w:rsid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>s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>tandard deviation (SD)</w:t>
      </w:r>
    </w:p>
    <w:p w14:paraId="2A57B325" w14:textId="27EC0FA9" w:rsidR="007D27EF" w:rsidRPr="00A71083" w:rsidRDefault="007D27EF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Stimulation </w:t>
      </w:r>
      <w:r w:rsid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>p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arameter (mean): Voltage (v), Frequency (Hz), Pulse Width (μs): </w:t>
      </w:r>
    </w:p>
    <w:p w14:paraId="057BCACB" w14:textId="77777777" w:rsidR="00505AFA" w:rsidRDefault="007D27EF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1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3.1v, 175 Hz, 73.1 μs</w:t>
      </w:r>
    </w:p>
    <w:p w14:paraId="388EE62F" w14:textId="59828AEC" w:rsidR="00505AFA" w:rsidRPr="00505AFA" w:rsidRDefault="00505AFA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2</w:t>
      </w:r>
      <w:r w:rsidR="00EC55AA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 xml:space="preserve"> </w:t>
      </w:r>
      <w:r>
        <w:rPr>
          <w:rFonts w:ascii="Calibri" w:hAnsi="Calibri" w:cs="Calibri"/>
          <w:i/>
          <w:iCs/>
          <w:color w:val="000000" w:themeColor="text1"/>
          <w:sz w:val="18"/>
          <w:szCs w:val="18"/>
        </w:rPr>
        <w:t>2.5</w:t>
      </w:r>
      <w:r w:rsidR="00EC55AA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color w:val="000000" w:themeColor="text1"/>
          <w:sz w:val="18"/>
          <w:szCs w:val="18"/>
        </w:rPr>
        <w:t>mA,</w:t>
      </w:r>
      <w:r w:rsidR="00EC55AA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124.4 Hz, 55.3 </w:t>
      </w:r>
      <w:r w:rsidR="00EC55AA"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>μs</w:t>
      </w:r>
      <w:r w:rsidR="00EC55AA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</w:t>
      </w:r>
      <w:r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</w:t>
      </w:r>
    </w:p>
    <w:p w14:paraId="58835C9E" w14:textId="3E709418" w:rsidR="006D0422" w:rsidRPr="006D0422" w:rsidRDefault="00505AFA" w:rsidP="007D27EF">
      <w:pPr>
        <w:rPr>
          <w:rFonts w:ascii="Calibri" w:hAnsi="Calibri" w:cs="Calibri"/>
          <w:color w:val="000000" w:themeColor="text1"/>
          <w:sz w:val="18"/>
          <w:szCs w:val="18"/>
        </w:rPr>
      </w:pPr>
      <w:r w:rsidRPr="00505AFA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3</w:t>
      </w:r>
      <w:r w:rsidR="006D0422" w:rsidRPr="00505AFA">
        <w:rPr>
          <w:rFonts w:ascii="Calibri" w:hAnsi="Calibri" w:cs="Calibri"/>
          <w:color w:val="000000" w:themeColor="text1"/>
          <w:sz w:val="18"/>
          <w:szCs w:val="18"/>
        </w:rPr>
        <w:t xml:space="preserve"> </w:t>
      </w:r>
      <w:r w:rsidR="006D0422" w:rsidRPr="00505AFA">
        <w:rPr>
          <w:rFonts w:ascii="Calibri" w:hAnsi="Calibri" w:cs="Calibri"/>
          <w:i/>
          <w:iCs/>
          <w:color w:val="000000" w:themeColor="text1"/>
          <w:sz w:val="18"/>
          <w:szCs w:val="18"/>
        </w:rPr>
        <w:t>3.1v, 175 Hz, 73.1 μs</w:t>
      </w:r>
    </w:p>
    <w:p w14:paraId="34BBBADE" w14:textId="6E235AFA" w:rsidR="007D27EF" w:rsidRPr="00A71083" w:rsidRDefault="00505AFA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4</w:t>
      </w:r>
      <w:r w:rsidR="007D27EF"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2.5v, 175 Hz, 60 μs</w:t>
      </w:r>
    </w:p>
    <w:p w14:paraId="20FCAD75" w14:textId="600CE1B9" w:rsidR="007D27EF" w:rsidRPr="00A71083" w:rsidRDefault="00505AFA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5</w:t>
      </w:r>
      <w:r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</w:t>
      </w:r>
      <w:r w:rsidR="007D27EF"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>2.8v, 135.4 Hz, 152.1 μs</w:t>
      </w:r>
    </w:p>
    <w:p w14:paraId="18971DD3" w14:textId="3FB44719" w:rsidR="007D27EF" w:rsidRPr="00A71083" w:rsidRDefault="007D27EF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a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Volonté (2012); 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b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Asanuma (2006); 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c</w:t>
      </w:r>
      <w:r w:rsidRPr="00A71083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Trost (2006)  </w:t>
      </w:r>
    </w:p>
    <w:p w14:paraId="1BAB0994" w14:textId="77777777" w:rsidR="007D27EF" w:rsidRDefault="007D27EF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1D224A54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75C8FE65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025B846C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23C5FE33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3EC25C4C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756C27D7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5594138C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2DDA20B1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35E5CBE7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752998F7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00021BCA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0FD9ACF8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5D0346EF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6349ECAB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4AE0AA9B" w14:textId="77777777" w:rsidR="00EC55AA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52CAA1EC" w14:textId="77777777" w:rsidR="00EC55AA" w:rsidRPr="007D27EF" w:rsidRDefault="00EC55AA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2FC94771" w14:textId="77777777" w:rsidR="00224D03" w:rsidRDefault="00224D03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</w:p>
    <w:p w14:paraId="37D33CA8" w14:textId="1E11E6A0" w:rsidR="00A71083" w:rsidRPr="007D27EF" w:rsidRDefault="007D27EF" w:rsidP="007D27EF">
      <w:pPr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</w:pPr>
      <w:r w:rsidRPr="007D27EF">
        <w:rPr>
          <w:rFonts w:ascii="Calibri" w:hAnsi="Calibri" w:cs="Calibri"/>
          <w:b/>
          <w:bCs/>
          <w:color w:val="000000" w:themeColor="text1"/>
          <w:kern w:val="2"/>
          <w:sz w:val="24"/>
          <w:lang w:eastAsia="en-US"/>
          <w14:ligatures w14:val="standardContextual"/>
        </w:rPr>
        <w:lastRenderedPageBreak/>
        <w:t>Table S1B.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245"/>
        <w:gridCol w:w="1080"/>
        <w:gridCol w:w="1260"/>
        <w:gridCol w:w="1260"/>
        <w:gridCol w:w="1440"/>
        <w:gridCol w:w="2070"/>
      </w:tblGrid>
      <w:tr w:rsidR="007D27EF" w14:paraId="5D4077B9" w14:textId="77777777" w:rsidTr="00A71083">
        <w:tc>
          <w:tcPr>
            <w:tcW w:w="2245" w:type="dxa"/>
            <w:vMerge w:val="restart"/>
            <w:vAlign w:val="center"/>
          </w:tcPr>
          <w:p w14:paraId="6233BEE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Cohort</w:t>
            </w:r>
          </w:p>
        </w:tc>
        <w:tc>
          <w:tcPr>
            <w:tcW w:w="1080" w:type="dxa"/>
            <w:vMerge w:val="restart"/>
            <w:vAlign w:val="center"/>
          </w:tcPr>
          <w:p w14:paraId="762E9A9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Number</w:t>
            </w:r>
          </w:p>
          <w:p w14:paraId="74ECD54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(Patients)</w:t>
            </w:r>
          </w:p>
        </w:tc>
        <w:tc>
          <w:tcPr>
            <w:tcW w:w="3960" w:type="dxa"/>
            <w:gridSpan w:val="3"/>
            <w:vAlign w:val="center"/>
          </w:tcPr>
          <w:p w14:paraId="3CBE5FD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Demographics</w:t>
            </w:r>
          </w:p>
        </w:tc>
        <w:tc>
          <w:tcPr>
            <w:tcW w:w="2070" w:type="dxa"/>
            <w:vMerge w:val="restart"/>
            <w:vAlign w:val="center"/>
          </w:tcPr>
          <w:p w14:paraId="6E70196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UPDRS Motor Ratings</w:t>
            </w:r>
          </w:p>
          <w:p w14:paraId="5D8BF4F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OFF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7D27EF" w14:paraId="58CB22AA" w14:textId="77777777" w:rsidTr="00A71083">
        <w:trPr>
          <w:trHeight w:val="341"/>
        </w:trPr>
        <w:tc>
          <w:tcPr>
            <w:tcW w:w="2245" w:type="dxa"/>
            <w:vMerge/>
            <w:tcBorders>
              <w:bottom w:val="single" w:sz="4" w:space="0" w:color="auto"/>
            </w:tcBorders>
            <w:vAlign w:val="center"/>
          </w:tcPr>
          <w:p w14:paraId="0D3DDA9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  <w:vAlign w:val="center"/>
          </w:tcPr>
          <w:p w14:paraId="18F67E7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435D4409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Age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  <w:p w14:paraId="6C07F3B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(Years)</w:t>
            </w:r>
          </w:p>
        </w:tc>
        <w:tc>
          <w:tcPr>
            <w:tcW w:w="1260" w:type="dxa"/>
            <w:vAlign w:val="center"/>
          </w:tcPr>
          <w:p w14:paraId="081CD91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Gender</w:t>
            </w:r>
          </w:p>
          <w:p w14:paraId="55C22BA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(Male: Female)</w:t>
            </w:r>
          </w:p>
        </w:tc>
        <w:tc>
          <w:tcPr>
            <w:tcW w:w="1440" w:type="dxa"/>
            <w:vAlign w:val="center"/>
          </w:tcPr>
          <w:p w14:paraId="151100F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Disease Duration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  <w:p w14:paraId="485E6A5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(Years)</w:t>
            </w:r>
          </w:p>
        </w:tc>
        <w:tc>
          <w:tcPr>
            <w:tcW w:w="2070" w:type="dxa"/>
            <w:vMerge/>
            <w:vAlign w:val="center"/>
          </w:tcPr>
          <w:p w14:paraId="6922029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</w:tr>
      <w:tr w:rsidR="007D27EF" w:rsidRPr="0077044E" w14:paraId="1E42C1C9" w14:textId="77777777" w:rsidTr="00A71083"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14:paraId="7668D8E4" w14:textId="77777777" w:rsidR="007D27EF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Healthy Control Subjects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(HC)</w:t>
            </w:r>
          </w:p>
          <w:p w14:paraId="03FDC79A" w14:textId="48413E4D" w:rsidR="00EC55AA" w:rsidRPr="00EC55AA" w:rsidRDefault="00EC55AA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PET imaging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39DF0B6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60" w:type="dxa"/>
            <w:vAlign w:val="center"/>
          </w:tcPr>
          <w:p w14:paraId="3CC4571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55 ± 13.4</w:t>
            </w:r>
          </w:p>
        </w:tc>
        <w:tc>
          <w:tcPr>
            <w:tcW w:w="1260" w:type="dxa"/>
            <w:vAlign w:val="center"/>
          </w:tcPr>
          <w:p w14:paraId="534CDDF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10:23</w:t>
            </w:r>
          </w:p>
        </w:tc>
        <w:tc>
          <w:tcPr>
            <w:tcW w:w="1440" w:type="dxa"/>
            <w:vAlign w:val="center"/>
          </w:tcPr>
          <w:p w14:paraId="46EB84A6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70" w:type="dxa"/>
            <w:vAlign w:val="center"/>
          </w:tcPr>
          <w:p w14:paraId="544CB82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</w:tr>
      <w:tr w:rsidR="00EC55AA" w:rsidRPr="0077044E" w14:paraId="65BD42D9" w14:textId="77777777" w:rsidTr="00A71083"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14:paraId="0BF5235B" w14:textId="77777777" w:rsidR="00EC55AA" w:rsidRDefault="00EC55A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Healthy Control Subjects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(HC)</w:t>
            </w:r>
          </w:p>
          <w:p w14:paraId="78E81422" w14:textId="4956D094" w:rsidR="00EC55AA" w:rsidRPr="00A71083" w:rsidRDefault="00EC55AA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MRI imaging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A595728" w14:textId="228C895F" w:rsidR="00EC55AA" w:rsidRPr="00A71083" w:rsidRDefault="00EC55A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60" w:type="dxa"/>
            <w:vAlign w:val="center"/>
          </w:tcPr>
          <w:p w14:paraId="50718EA5" w14:textId="71294CDA" w:rsidR="00EC55AA" w:rsidRPr="00A71083" w:rsidRDefault="00EC55AA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62.2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9.1</w:t>
            </w:r>
          </w:p>
        </w:tc>
        <w:tc>
          <w:tcPr>
            <w:tcW w:w="1260" w:type="dxa"/>
            <w:vAlign w:val="center"/>
          </w:tcPr>
          <w:p w14:paraId="2F7A262F" w14:textId="707798FB" w:rsidR="00EC55AA" w:rsidRPr="00A71083" w:rsidRDefault="00EC55AA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4:5</w:t>
            </w:r>
          </w:p>
        </w:tc>
        <w:tc>
          <w:tcPr>
            <w:tcW w:w="1440" w:type="dxa"/>
            <w:vAlign w:val="center"/>
          </w:tcPr>
          <w:p w14:paraId="7C17B588" w14:textId="3734C5CD" w:rsidR="00EC55AA" w:rsidRPr="00A71083" w:rsidRDefault="00EC55AA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70" w:type="dxa"/>
            <w:vAlign w:val="center"/>
          </w:tcPr>
          <w:p w14:paraId="349C2827" w14:textId="7E95239C" w:rsidR="00EC55AA" w:rsidRPr="00A71083" w:rsidRDefault="00EC55AA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</w:tr>
      <w:tr w:rsidR="007D27EF" w:rsidRPr="0077044E" w14:paraId="1E30EDC8" w14:textId="77777777" w:rsidTr="00A71083"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14:paraId="02110647" w14:textId="2E93985C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Atypical PD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(APS)</w:t>
            </w:r>
            <w:r w:rsidR="004245EE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(Pathological Dx)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22A857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0" w:type="dxa"/>
            <w:vAlign w:val="center"/>
          </w:tcPr>
          <w:p w14:paraId="1450195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66.3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</w:t>
            </w:r>
          </w:p>
          <w:p w14:paraId="5FE975B9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1A5626D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4:6</w:t>
            </w:r>
          </w:p>
          <w:p w14:paraId="761D619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034F8D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3.25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1.5</w:t>
            </w:r>
          </w:p>
          <w:p w14:paraId="6B3BA2B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 w14:paraId="69DEAA1C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</w:tr>
      <w:tr w:rsidR="007D27EF" w:rsidRPr="0077044E" w14:paraId="5B9D8549" w14:textId="77777777" w:rsidTr="00A71083">
        <w:tc>
          <w:tcPr>
            <w:tcW w:w="2245" w:type="dxa"/>
            <w:tcBorders>
              <w:bottom w:val="single" w:sz="4" w:space="0" w:color="auto"/>
            </w:tcBorders>
            <w:vAlign w:val="center"/>
          </w:tcPr>
          <w:p w14:paraId="561EE3E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REM Sleep Behavior Disorder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(RBD) </w:t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A1AE5DE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60" w:type="dxa"/>
            <w:vAlign w:val="center"/>
          </w:tcPr>
          <w:p w14:paraId="74F16FA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63.5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8.4</w:t>
            </w:r>
          </w:p>
          <w:p w14:paraId="6D546899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5A3DB23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13:0</w:t>
            </w:r>
          </w:p>
          <w:p w14:paraId="0BE9B7F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043B1D0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70" w:type="dxa"/>
            <w:vAlign w:val="center"/>
          </w:tcPr>
          <w:p w14:paraId="600930A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</w:p>
        </w:tc>
      </w:tr>
      <w:tr w:rsidR="007D27EF" w:rsidRPr="0077044E" w14:paraId="28BBDEAC" w14:textId="77777777" w:rsidTr="00A71083">
        <w:tc>
          <w:tcPr>
            <w:tcW w:w="2245" w:type="dxa"/>
            <w:tcBorders>
              <w:right w:val="nil"/>
            </w:tcBorders>
            <w:vAlign w:val="center"/>
          </w:tcPr>
          <w:p w14:paraId="450F27F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</w:t>
            </w:r>
          </w:p>
          <w:p w14:paraId="717C545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Natural History</w:t>
            </w:r>
          </w:p>
        </w:tc>
        <w:tc>
          <w:tcPr>
            <w:tcW w:w="1080" w:type="dxa"/>
            <w:tcBorders>
              <w:left w:val="nil"/>
              <w:right w:val="nil"/>
            </w:tcBorders>
            <w:vAlign w:val="center"/>
          </w:tcPr>
          <w:p w14:paraId="49BD71B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175</w:t>
            </w:r>
          </w:p>
        </w:tc>
        <w:tc>
          <w:tcPr>
            <w:tcW w:w="6030" w:type="dxa"/>
            <w:gridSpan w:val="4"/>
            <w:tcBorders>
              <w:left w:val="nil"/>
            </w:tcBorders>
            <w:vAlign w:val="center"/>
          </w:tcPr>
          <w:p w14:paraId="03C1468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</w:tr>
      <w:tr w:rsidR="007D27EF" w:rsidRPr="0077044E" w14:paraId="148789C2" w14:textId="77777777" w:rsidTr="00A71083">
        <w:tc>
          <w:tcPr>
            <w:tcW w:w="2245" w:type="dxa"/>
            <w:vAlign w:val="center"/>
          </w:tcPr>
          <w:p w14:paraId="4A5A2B59" w14:textId="46EF516E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</w:t>
            </w:r>
            <w:r w:rsidR="004245EE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d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Drug </w:t>
            </w:r>
            <w:r w:rsidR="004245EE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naïve </w:t>
            </w:r>
          </w:p>
        </w:tc>
        <w:tc>
          <w:tcPr>
            <w:tcW w:w="1080" w:type="dxa"/>
            <w:vAlign w:val="center"/>
          </w:tcPr>
          <w:p w14:paraId="003DDE6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60" w:type="dxa"/>
            <w:vAlign w:val="center"/>
          </w:tcPr>
          <w:p w14:paraId="6089226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58.8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9.3</w:t>
            </w:r>
          </w:p>
        </w:tc>
        <w:tc>
          <w:tcPr>
            <w:tcW w:w="1260" w:type="dxa"/>
            <w:vAlign w:val="center"/>
          </w:tcPr>
          <w:p w14:paraId="07F9AA3B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26:8</w:t>
            </w:r>
          </w:p>
        </w:tc>
        <w:tc>
          <w:tcPr>
            <w:tcW w:w="1440" w:type="dxa"/>
            <w:vAlign w:val="center"/>
          </w:tcPr>
          <w:p w14:paraId="10044F0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1.9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1.6</w:t>
            </w:r>
          </w:p>
        </w:tc>
        <w:tc>
          <w:tcPr>
            <w:tcW w:w="2070" w:type="dxa"/>
            <w:vAlign w:val="center"/>
          </w:tcPr>
          <w:p w14:paraId="1057D4B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16.1 ± 8.2</w:t>
            </w:r>
          </w:p>
        </w:tc>
      </w:tr>
      <w:tr w:rsidR="007D27EF" w:rsidRPr="0077044E" w14:paraId="4384FACD" w14:textId="77777777" w:rsidTr="00A71083">
        <w:trPr>
          <w:trHeight w:val="467"/>
        </w:trPr>
        <w:tc>
          <w:tcPr>
            <w:tcW w:w="2245" w:type="dxa"/>
            <w:vAlign w:val="center"/>
          </w:tcPr>
          <w:p w14:paraId="2EBC89D4" w14:textId="547E7FA5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PD1</w:t>
            </w:r>
            <w:r w:rsidR="004245EE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(0-3 yrs)</w:t>
            </w:r>
          </w:p>
        </w:tc>
        <w:tc>
          <w:tcPr>
            <w:tcW w:w="1080" w:type="dxa"/>
            <w:vAlign w:val="center"/>
          </w:tcPr>
          <w:p w14:paraId="1200664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60" w:type="dxa"/>
            <w:vAlign w:val="center"/>
          </w:tcPr>
          <w:p w14:paraId="345F961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58.5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± 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12.1</w:t>
            </w:r>
          </w:p>
          <w:p w14:paraId="520DDF5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793D4D5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23:13</w:t>
            </w:r>
          </w:p>
        </w:tc>
        <w:tc>
          <w:tcPr>
            <w:tcW w:w="1440" w:type="dxa"/>
            <w:vAlign w:val="center"/>
          </w:tcPr>
          <w:p w14:paraId="3FCDDD4D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1.9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</w:t>
            </w: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0.8</w:t>
            </w:r>
          </w:p>
          <w:p w14:paraId="57AF97D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 w14:paraId="06609D7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16.1 ± 7.9</w:t>
            </w:r>
          </w:p>
        </w:tc>
      </w:tr>
      <w:tr w:rsidR="007D27EF" w:rsidRPr="0077044E" w14:paraId="6E09911F" w14:textId="77777777" w:rsidTr="00A71083">
        <w:tc>
          <w:tcPr>
            <w:tcW w:w="2245" w:type="dxa"/>
            <w:vAlign w:val="center"/>
          </w:tcPr>
          <w:p w14:paraId="5F9662E3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PD2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(4-7 yrs)</w:t>
            </w:r>
          </w:p>
        </w:tc>
        <w:tc>
          <w:tcPr>
            <w:tcW w:w="1080" w:type="dxa"/>
            <w:vAlign w:val="center"/>
          </w:tcPr>
          <w:p w14:paraId="275C853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260" w:type="dxa"/>
            <w:vAlign w:val="center"/>
          </w:tcPr>
          <w:p w14:paraId="236E83C4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57.8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12</w:t>
            </w:r>
          </w:p>
        </w:tc>
        <w:tc>
          <w:tcPr>
            <w:tcW w:w="1260" w:type="dxa"/>
            <w:vAlign w:val="center"/>
          </w:tcPr>
          <w:p w14:paraId="61C1BD4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29:8</w:t>
            </w:r>
          </w:p>
        </w:tc>
        <w:tc>
          <w:tcPr>
            <w:tcW w:w="1440" w:type="dxa"/>
            <w:vAlign w:val="center"/>
          </w:tcPr>
          <w:p w14:paraId="608867FF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5.6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1</w:t>
            </w:r>
          </w:p>
        </w:tc>
        <w:tc>
          <w:tcPr>
            <w:tcW w:w="2070" w:type="dxa"/>
            <w:vAlign w:val="center"/>
          </w:tcPr>
          <w:p w14:paraId="6C0A9BD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29 ± 14</w:t>
            </w:r>
          </w:p>
        </w:tc>
      </w:tr>
      <w:tr w:rsidR="007D27EF" w:rsidRPr="0077044E" w14:paraId="1FCFECEF" w14:textId="77777777" w:rsidTr="00A71083">
        <w:tc>
          <w:tcPr>
            <w:tcW w:w="2245" w:type="dxa"/>
            <w:vAlign w:val="center"/>
          </w:tcPr>
          <w:p w14:paraId="0011429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PD3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(8-11 yrs)</w:t>
            </w:r>
          </w:p>
        </w:tc>
        <w:tc>
          <w:tcPr>
            <w:tcW w:w="1080" w:type="dxa"/>
            <w:vAlign w:val="center"/>
          </w:tcPr>
          <w:p w14:paraId="31340C6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60" w:type="dxa"/>
            <w:vAlign w:val="center"/>
          </w:tcPr>
          <w:p w14:paraId="34CC565C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62.1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9</w:t>
            </w:r>
          </w:p>
        </w:tc>
        <w:tc>
          <w:tcPr>
            <w:tcW w:w="1260" w:type="dxa"/>
            <w:vAlign w:val="center"/>
          </w:tcPr>
          <w:p w14:paraId="1E19DC78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27:8</w:t>
            </w:r>
          </w:p>
        </w:tc>
        <w:tc>
          <w:tcPr>
            <w:tcW w:w="1440" w:type="dxa"/>
            <w:vAlign w:val="center"/>
          </w:tcPr>
          <w:p w14:paraId="612BA149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9.9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1.6</w:t>
            </w:r>
          </w:p>
        </w:tc>
        <w:tc>
          <w:tcPr>
            <w:tcW w:w="2070" w:type="dxa"/>
            <w:vAlign w:val="center"/>
          </w:tcPr>
          <w:p w14:paraId="61D7687A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30.7 ± 13.9</w:t>
            </w:r>
          </w:p>
        </w:tc>
      </w:tr>
      <w:tr w:rsidR="007D27EF" w:rsidRPr="0077044E" w14:paraId="1E0507ED" w14:textId="77777777" w:rsidTr="00A71083">
        <w:tc>
          <w:tcPr>
            <w:tcW w:w="2245" w:type="dxa"/>
            <w:vAlign w:val="center"/>
          </w:tcPr>
          <w:p w14:paraId="06C153C9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PD4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4245EE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A7108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br/>
            </w:r>
            <w:r w:rsidRPr="00A71083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(12-21 yrs)</w:t>
            </w:r>
          </w:p>
        </w:tc>
        <w:tc>
          <w:tcPr>
            <w:tcW w:w="1080" w:type="dxa"/>
            <w:vAlign w:val="center"/>
          </w:tcPr>
          <w:p w14:paraId="41B7FA05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60" w:type="dxa"/>
            <w:vAlign w:val="center"/>
          </w:tcPr>
          <w:p w14:paraId="49FF6DE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60.6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9.6</w:t>
            </w:r>
          </w:p>
        </w:tc>
        <w:tc>
          <w:tcPr>
            <w:tcW w:w="1260" w:type="dxa"/>
            <w:vAlign w:val="center"/>
          </w:tcPr>
          <w:p w14:paraId="672819D2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>24:9</w:t>
            </w:r>
          </w:p>
        </w:tc>
        <w:tc>
          <w:tcPr>
            <w:tcW w:w="1440" w:type="dxa"/>
            <w:vAlign w:val="center"/>
          </w:tcPr>
          <w:p w14:paraId="08738481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17.1 </w:t>
            </w: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± 4.5</w:t>
            </w:r>
          </w:p>
        </w:tc>
        <w:tc>
          <w:tcPr>
            <w:tcW w:w="2070" w:type="dxa"/>
            <w:vAlign w:val="center"/>
          </w:tcPr>
          <w:p w14:paraId="52AEFBF7" w14:textId="77777777" w:rsidR="007D27EF" w:rsidRPr="00A71083" w:rsidRDefault="007D27EF" w:rsidP="00E80119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7108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37.7 ± 14.4</w:t>
            </w:r>
          </w:p>
        </w:tc>
      </w:tr>
    </w:tbl>
    <w:p w14:paraId="420DD6BB" w14:textId="257FB01A" w:rsidR="007D27EF" w:rsidRPr="004245EE" w:rsidRDefault="007D27EF" w:rsidP="007D27EF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*Mean ± </w:t>
      </w:r>
      <w:r w:rsid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>s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tandard deviation (SD) </w:t>
      </w:r>
    </w:p>
    <w:p w14:paraId="5791B1C3" w14:textId="27F3BDB7" w:rsidR="007D27EF" w:rsidRDefault="007D27EF" w:rsidP="00F36CE2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a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>Ma (20</w:t>
      </w:r>
      <w:r w:rsid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>07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); 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b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Schindlbeck (2020); 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c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Holtbernd (2014); 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d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>Schindlbeck (2021);</w:t>
      </w:r>
      <w:r w:rsid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 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  <w:vertAlign w:val="superscript"/>
        </w:rPr>
        <w:t>e</w:t>
      </w:r>
      <w:r w:rsidRPr="004245EE">
        <w:rPr>
          <w:rFonts w:ascii="Calibri" w:hAnsi="Calibri" w:cs="Calibri"/>
          <w:i/>
          <w:iCs/>
          <w:color w:val="000000" w:themeColor="text1"/>
          <w:sz w:val="18"/>
          <w:szCs w:val="18"/>
        </w:rPr>
        <w:t xml:space="preserve">Spetsieris (2023)  </w:t>
      </w:r>
    </w:p>
    <w:p w14:paraId="5B7E8BD1" w14:textId="77777777" w:rsidR="00EC55AA" w:rsidRDefault="00EC55AA" w:rsidP="00F36CE2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</w:p>
    <w:p w14:paraId="3E919F61" w14:textId="77777777" w:rsidR="00C614B9" w:rsidRDefault="00C614B9" w:rsidP="00F36CE2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</w:p>
    <w:p w14:paraId="46039ABE" w14:textId="77777777" w:rsidR="00C614B9" w:rsidRDefault="00C614B9" w:rsidP="00F36CE2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</w:p>
    <w:p w14:paraId="01EAE35C" w14:textId="4D6467D2" w:rsidR="00EC55AA" w:rsidRPr="004245EE" w:rsidRDefault="00EC55AA" w:rsidP="00F36CE2">
      <w:pPr>
        <w:rPr>
          <w:rFonts w:ascii="Calibri" w:hAnsi="Calibri" w:cs="Calibri"/>
          <w:i/>
          <w:iCs/>
          <w:color w:val="000000" w:themeColor="text1"/>
          <w:sz w:val="18"/>
          <w:szCs w:val="18"/>
        </w:rPr>
      </w:pPr>
    </w:p>
    <w:sectPr w:rsidR="00EC55AA" w:rsidRPr="004245EE">
      <w:headerReference w:type="even" r:id="rId11"/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F137E" w14:textId="77777777" w:rsidR="00656F53" w:rsidRDefault="00656F53" w:rsidP="00F36CE2">
      <w:r>
        <w:separator/>
      </w:r>
    </w:p>
  </w:endnote>
  <w:endnote w:type="continuationSeparator" w:id="0">
    <w:p w14:paraId="24B89C8A" w14:textId="77777777" w:rsidR="00656F53" w:rsidRDefault="00656F53" w:rsidP="00F36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9B5F8" w14:textId="77777777" w:rsidR="00656F53" w:rsidRDefault="00656F53" w:rsidP="00F36CE2">
      <w:r>
        <w:separator/>
      </w:r>
    </w:p>
  </w:footnote>
  <w:footnote w:type="continuationSeparator" w:id="0">
    <w:p w14:paraId="3478FAB5" w14:textId="77777777" w:rsidR="00656F53" w:rsidRDefault="00656F53" w:rsidP="00F36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20247043"/>
      <w:docPartObj>
        <w:docPartGallery w:val="Page Numbers (Top of Page)"/>
        <w:docPartUnique/>
      </w:docPartObj>
    </w:sdtPr>
    <w:sdtContent>
      <w:p w14:paraId="33CA4CE6" w14:textId="37FF3BFA" w:rsidR="00F36CE2" w:rsidRDefault="00F36CE2" w:rsidP="00D70EA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EDF8EE1" w14:textId="77777777" w:rsidR="00F36CE2" w:rsidRDefault="00F36CE2" w:rsidP="00F36CE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64116702"/>
      <w:docPartObj>
        <w:docPartGallery w:val="Page Numbers (Top of Page)"/>
        <w:docPartUnique/>
      </w:docPartObj>
    </w:sdtPr>
    <w:sdtContent>
      <w:p w14:paraId="5E351A59" w14:textId="721A245D" w:rsidR="00F36CE2" w:rsidRDefault="00F36CE2" w:rsidP="00D70EA0">
        <w:pPr>
          <w:pStyle w:val="Header"/>
          <w:framePr w:wrap="none" w:vAnchor="text" w:hAnchor="margin" w:xAlign="right" w:y="1"/>
          <w:rPr>
            <w:rStyle w:val="PageNumber"/>
          </w:rPr>
        </w:pPr>
        <w:r w:rsidRPr="00F36CE2">
          <w:rPr>
            <w:rStyle w:val="PageNumber"/>
            <w:rFonts w:ascii="Calibri" w:hAnsi="Calibri" w:cs="Calibri"/>
            <w:sz w:val="24"/>
          </w:rPr>
          <w:fldChar w:fldCharType="begin"/>
        </w:r>
        <w:r w:rsidRPr="00F36CE2">
          <w:rPr>
            <w:rStyle w:val="PageNumber"/>
            <w:rFonts w:ascii="Calibri" w:hAnsi="Calibri" w:cs="Calibri"/>
            <w:sz w:val="24"/>
          </w:rPr>
          <w:instrText xml:space="preserve"> PAGE </w:instrText>
        </w:r>
        <w:r w:rsidRPr="00F36CE2">
          <w:rPr>
            <w:rStyle w:val="PageNumber"/>
            <w:rFonts w:ascii="Calibri" w:hAnsi="Calibri" w:cs="Calibri"/>
            <w:sz w:val="24"/>
          </w:rPr>
          <w:fldChar w:fldCharType="separate"/>
        </w:r>
        <w:r w:rsidRPr="00F36CE2">
          <w:rPr>
            <w:rStyle w:val="PageNumber"/>
            <w:rFonts w:ascii="Calibri" w:hAnsi="Calibri" w:cs="Calibri"/>
            <w:noProof/>
            <w:sz w:val="24"/>
          </w:rPr>
          <w:t>1</w:t>
        </w:r>
        <w:r w:rsidRPr="00F36CE2">
          <w:rPr>
            <w:rStyle w:val="PageNumber"/>
            <w:rFonts w:ascii="Calibri" w:hAnsi="Calibri" w:cs="Calibri"/>
            <w:sz w:val="24"/>
          </w:rPr>
          <w:fldChar w:fldCharType="end"/>
        </w:r>
      </w:p>
    </w:sdtContent>
  </w:sdt>
  <w:p w14:paraId="03EF7C7A" w14:textId="2C90BE17" w:rsidR="00F36CE2" w:rsidRPr="00F36CE2" w:rsidRDefault="00F36CE2" w:rsidP="00F36CE2">
    <w:pPr>
      <w:pStyle w:val="Header"/>
      <w:ind w:right="360"/>
      <w:jc w:val="right"/>
      <w:rPr>
        <w:rFonts w:ascii="Calibri" w:hAnsi="Calibri" w:cs="Calibri"/>
        <w:sz w:val="24"/>
      </w:rPr>
    </w:pPr>
    <w:r w:rsidRPr="00F36CE2">
      <w:rPr>
        <w:rFonts w:ascii="Calibri" w:hAnsi="Calibri" w:cs="Calibri"/>
        <w:sz w:val="24"/>
      </w:rPr>
      <w:t>Unadkat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Copy&lt;/Style&gt;&lt;LeftDelim&gt;{&lt;/LeftDelim&gt;&lt;RightDelim&gt;}&lt;/RightDelim&gt;&lt;FontName&gt;Georg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41243"/>
    <w:rsid w:val="0000577E"/>
    <w:rsid w:val="00075C6B"/>
    <w:rsid w:val="000E59BF"/>
    <w:rsid w:val="00110B77"/>
    <w:rsid w:val="00196808"/>
    <w:rsid w:val="001F185D"/>
    <w:rsid w:val="00224D03"/>
    <w:rsid w:val="003563AD"/>
    <w:rsid w:val="00401796"/>
    <w:rsid w:val="00415056"/>
    <w:rsid w:val="004245EE"/>
    <w:rsid w:val="00495364"/>
    <w:rsid w:val="00505AFA"/>
    <w:rsid w:val="00541243"/>
    <w:rsid w:val="0059387E"/>
    <w:rsid w:val="0059642F"/>
    <w:rsid w:val="005969AE"/>
    <w:rsid w:val="00656F53"/>
    <w:rsid w:val="006D0422"/>
    <w:rsid w:val="006D0B62"/>
    <w:rsid w:val="007D27EF"/>
    <w:rsid w:val="0095444D"/>
    <w:rsid w:val="00A37436"/>
    <w:rsid w:val="00A71083"/>
    <w:rsid w:val="00AE2E0E"/>
    <w:rsid w:val="00BA00D3"/>
    <w:rsid w:val="00C378DA"/>
    <w:rsid w:val="00C614B9"/>
    <w:rsid w:val="00C95F75"/>
    <w:rsid w:val="00CA2391"/>
    <w:rsid w:val="00D37376"/>
    <w:rsid w:val="00D979C7"/>
    <w:rsid w:val="00DF1404"/>
    <w:rsid w:val="00E72B6A"/>
    <w:rsid w:val="00EC55AA"/>
    <w:rsid w:val="00ED7691"/>
    <w:rsid w:val="00F36CE2"/>
    <w:rsid w:val="00F7058E"/>
    <w:rsid w:val="00F87B0B"/>
    <w:rsid w:val="00FA4D93"/>
    <w:rsid w:val="00FF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934B6C"/>
  <w15:chartTrackingRefBased/>
  <w15:docId w15:val="{3FFDD3FA-70E7-4C4F-9213-BCBBC6240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EastAsia" w:hAnsi="Georgia" w:cs="Times New Roman (Body CS)"/>
        <w:sz w:val="22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2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2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24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24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24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24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24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24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24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2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2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24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24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24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24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24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24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24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2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12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24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24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2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2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2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2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2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2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24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36C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6CE2"/>
  </w:style>
  <w:style w:type="paragraph" w:styleId="Footer">
    <w:name w:val="footer"/>
    <w:basedOn w:val="Normal"/>
    <w:link w:val="FooterChar"/>
    <w:uiPriority w:val="99"/>
    <w:unhideWhenUsed/>
    <w:rsid w:val="00F36C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CE2"/>
  </w:style>
  <w:style w:type="character" w:styleId="PageNumber">
    <w:name w:val="page number"/>
    <w:basedOn w:val="DefaultParagraphFont"/>
    <w:uiPriority w:val="99"/>
    <w:semiHidden/>
    <w:unhideWhenUsed/>
    <w:rsid w:val="00F36CE2"/>
  </w:style>
  <w:style w:type="table" w:styleId="TableGrid">
    <w:name w:val="Table Grid"/>
    <w:basedOn w:val="TableNormal"/>
    <w:uiPriority w:val="39"/>
    <w:rsid w:val="007D27EF"/>
    <w:rPr>
      <w:rFonts w:asciiTheme="minorHAnsi" w:hAnsiTheme="minorHAnsi" w:cstheme="minorBidi"/>
      <w:kern w:val="2"/>
      <w:sz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614B9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C614B9"/>
  </w:style>
  <w:style w:type="paragraph" w:customStyle="1" w:styleId="EndNoteBibliography">
    <w:name w:val="EndNote Bibliography"/>
    <w:basedOn w:val="Normal"/>
    <w:link w:val="EndNoteBibliographyChar"/>
    <w:rsid w:val="00C614B9"/>
  </w:style>
  <w:style w:type="character" w:customStyle="1" w:styleId="EndNoteBibliographyChar">
    <w:name w:val="EndNote Bibliography Char"/>
    <w:basedOn w:val="DefaultParagraphFont"/>
    <w:link w:val="EndNoteBibliography"/>
    <w:rsid w:val="00C614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1607</Words>
  <Characters>9614</Characters>
  <Application>Microsoft Office Word</Application>
  <DocSecurity>0</DocSecurity>
  <Lines>152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2024-04-26T18:36:00Z</dcterms:created>
  <dcterms:modified xsi:type="dcterms:W3CDTF">2024-04-26T18:45:00Z</dcterms:modified>
</cp:coreProperties>
</file>