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1F7" w:rsidRPr="00854AD9" w:rsidRDefault="00C841F7" w:rsidP="00C841F7">
      <w:pPr>
        <w:pStyle w:val="Ttulo"/>
        <w:keepNext w:val="0"/>
        <w:keepLines w:val="0"/>
        <w:widowControl w:val="0"/>
        <w:spacing w:before="0" w:after="0" w:line="240" w:lineRule="auto"/>
        <w:jc w:val="both"/>
        <w:rPr>
          <w:rFonts w:ascii="Arial Narrow" w:eastAsia="Trebuchet MS" w:hAnsi="Arial Narrow" w:cstheme="majorHAnsi"/>
          <w:i/>
          <w:sz w:val="32"/>
          <w:szCs w:val="32"/>
        </w:rPr>
      </w:pPr>
      <w:r w:rsidRPr="00854AD9">
        <w:rPr>
          <w:rFonts w:ascii="Arial Narrow" w:eastAsia="Trebuchet MS" w:hAnsi="Arial Narrow" w:cstheme="majorHAnsi"/>
          <w:sz w:val="32"/>
          <w:szCs w:val="32"/>
        </w:rPr>
        <w:t xml:space="preserve">Antioxidant and </w:t>
      </w:r>
      <w:proofErr w:type="spellStart"/>
      <w:r w:rsidRPr="00854AD9">
        <w:rPr>
          <w:rFonts w:ascii="Arial Narrow" w:eastAsia="Trebuchet MS" w:hAnsi="Arial Narrow" w:cstheme="majorHAnsi"/>
          <w:sz w:val="32"/>
          <w:szCs w:val="32"/>
        </w:rPr>
        <w:t>antiglycant</w:t>
      </w:r>
      <w:proofErr w:type="spellEnd"/>
      <w:r w:rsidRPr="00854AD9">
        <w:rPr>
          <w:rFonts w:ascii="Arial Narrow" w:eastAsia="Trebuchet MS" w:hAnsi="Arial Narrow" w:cstheme="majorHAnsi"/>
          <w:sz w:val="32"/>
          <w:szCs w:val="32"/>
        </w:rPr>
        <w:t xml:space="preserve"> properties of different milling fractions of </w:t>
      </w:r>
      <w:proofErr w:type="spellStart"/>
      <w:r w:rsidRPr="00854AD9">
        <w:rPr>
          <w:rFonts w:ascii="Arial Narrow" w:eastAsia="Trebuchet MS" w:hAnsi="Arial Narrow" w:cstheme="majorHAnsi"/>
          <w:i/>
          <w:sz w:val="32"/>
          <w:szCs w:val="32"/>
        </w:rPr>
        <w:t>Neltuma</w:t>
      </w:r>
      <w:proofErr w:type="spellEnd"/>
      <w:r w:rsidRPr="00854AD9">
        <w:rPr>
          <w:rFonts w:ascii="Arial Narrow" w:eastAsia="Trebuchet MS" w:hAnsi="Arial Narrow" w:cstheme="majorHAnsi"/>
          <w:i/>
          <w:sz w:val="32"/>
          <w:szCs w:val="32"/>
        </w:rPr>
        <w:t xml:space="preserve"> ruscifolia</w:t>
      </w:r>
      <w:r w:rsidRPr="00854AD9">
        <w:rPr>
          <w:rFonts w:ascii="Arial Narrow" w:eastAsia="Trebuchet MS" w:hAnsi="Arial Narrow" w:cstheme="majorHAnsi"/>
          <w:sz w:val="32"/>
          <w:szCs w:val="32"/>
        </w:rPr>
        <w:t xml:space="preserve">, an underutilized species </w:t>
      </w:r>
    </w:p>
    <w:p w:rsidR="00C841F7" w:rsidRPr="00854AD9" w:rsidRDefault="00C841F7" w:rsidP="00C841F7">
      <w:pPr>
        <w:spacing w:before="324" w:line="240" w:lineRule="auto"/>
        <w:rPr>
          <w:rFonts w:ascii="Arial Narrow" w:eastAsia="Tahoma" w:hAnsi="Arial Narrow" w:cstheme="majorHAnsi"/>
          <w:b/>
          <w:vertAlign w:val="superscript"/>
          <w:lang w:val="es-AR"/>
        </w:rPr>
      </w:pPr>
      <w:r w:rsidRPr="00854AD9">
        <w:rPr>
          <w:rFonts w:ascii="Arial Narrow" w:eastAsia="Tahoma" w:hAnsi="Arial Narrow" w:cstheme="majorHAnsi"/>
          <w:b/>
          <w:lang w:val="es-AR"/>
        </w:rPr>
        <w:t>Giuliana Silvina Seling</w:t>
      </w:r>
      <w:r w:rsidRPr="00854AD9">
        <w:rPr>
          <w:rFonts w:ascii="Arial Narrow" w:eastAsia="Tahoma" w:hAnsi="Arial Narrow" w:cstheme="majorHAnsi"/>
          <w:b/>
          <w:vertAlign w:val="superscript"/>
        </w:rPr>
        <w:footnoteReference w:id="1"/>
      </w:r>
      <w:r w:rsidRPr="00854AD9">
        <w:rPr>
          <w:rFonts w:ascii="Arial Narrow" w:eastAsia="Tahoma" w:hAnsi="Arial Narrow" w:cstheme="majorHAnsi"/>
          <w:b/>
          <w:vertAlign w:val="superscript"/>
        </w:rPr>
        <w:footnoteReference w:id="2"/>
      </w:r>
      <w:r w:rsidRPr="00854AD9">
        <w:rPr>
          <w:rFonts w:ascii="Arial Narrow" w:eastAsia="Tahoma" w:hAnsi="Arial Narrow" w:cstheme="majorHAnsi"/>
          <w:b/>
          <w:lang w:val="es-AR"/>
        </w:rPr>
        <w:t xml:space="preserve"> · Roy Cristian Rivero</w:t>
      </w:r>
      <w:r w:rsidRPr="00854AD9">
        <w:rPr>
          <w:rFonts w:ascii="Arial Narrow" w:eastAsia="Tahoma" w:hAnsi="Arial Narrow" w:cstheme="majorHAnsi"/>
          <w:b/>
          <w:vertAlign w:val="superscript"/>
          <w:lang w:val="es-AR"/>
        </w:rPr>
        <w:t xml:space="preserve"> </w:t>
      </w:r>
      <w:r>
        <w:rPr>
          <w:rFonts w:ascii="Arial Narrow" w:eastAsia="Tahoma" w:hAnsi="Arial Narrow" w:cstheme="majorHAnsi"/>
          <w:b/>
          <w:vertAlign w:val="superscript"/>
          <w:lang w:val="es-AR"/>
        </w:rPr>
        <w:t>2</w:t>
      </w:r>
      <w:r w:rsidRPr="00854AD9">
        <w:rPr>
          <w:rFonts w:ascii="Arial Narrow" w:eastAsia="Tahoma" w:hAnsi="Arial Narrow" w:cstheme="majorHAnsi"/>
          <w:b/>
          <w:vertAlign w:val="superscript"/>
        </w:rPr>
        <w:footnoteReference w:id="3"/>
      </w:r>
      <w:r w:rsidRPr="00854AD9">
        <w:rPr>
          <w:rFonts w:ascii="Arial Narrow" w:eastAsia="Tahoma" w:hAnsi="Arial Narrow" w:cstheme="majorHAnsi"/>
          <w:b/>
          <w:lang w:val="es-AR"/>
        </w:rPr>
        <w:t>· Verónica María Busch</w:t>
      </w:r>
      <w:r w:rsidRPr="00854AD9">
        <w:rPr>
          <w:rFonts w:ascii="Arial Narrow" w:eastAsia="Tahoma" w:hAnsi="Arial Narrow" w:cstheme="majorHAnsi"/>
          <w:b/>
          <w:vertAlign w:val="superscript"/>
          <w:lang w:val="es-AR"/>
        </w:rPr>
        <w:t>2</w:t>
      </w:r>
      <w:r>
        <w:rPr>
          <w:rFonts w:ascii="Arial Narrow" w:eastAsia="Tahoma" w:hAnsi="Arial Narrow" w:cstheme="majorHAnsi"/>
          <w:b/>
          <w:vertAlign w:val="superscript"/>
          <w:lang w:val="es-AR"/>
        </w:rPr>
        <w:t>3</w:t>
      </w:r>
      <w:r w:rsidRPr="00854AD9">
        <w:rPr>
          <w:rFonts w:ascii="Arial Narrow" w:eastAsia="Tahoma" w:hAnsi="Arial Narrow" w:cstheme="majorHAnsi"/>
          <w:b/>
          <w:lang w:val="es-AR"/>
        </w:rPr>
        <w:t xml:space="preserve"> · María del Pilar Buera</w:t>
      </w:r>
      <w:r w:rsidRPr="00854AD9">
        <w:rPr>
          <w:rFonts w:ascii="Arial Narrow" w:eastAsia="Tahoma" w:hAnsi="Arial Narrow" w:cstheme="majorHAnsi"/>
          <w:b/>
          <w:vertAlign w:val="superscript"/>
          <w:lang w:val="es-AR"/>
        </w:rPr>
        <w:t>1</w:t>
      </w:r>
    </w:p>
    <w:p w:rsidR="00C841F7" w:rsidRPr="00305AF9" w:rsidRDefault="00C841F7" w:rsidP="00D44670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  <w:sz w:val="20"/>
          <w:szCs w:val="20"/>
          <w:lang w:val="es-ES"/>
        </w:rPr>
      </w:pPr>
      <w:bookmarkStart w:id="0" w:name="_GoBack"/>
      <w:bookmarkEnd w:id="0"/>
    </w:p>
    <w:p w:rsidR="00D44670" w:rsidRDefault="00D44670" w:rsidP="00D44670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i/>
          <w:color w:val="000000"/>
          <w:sz w:val="20"/>
          <w:szCs w:val="20"/>
        </w:rPr>
      </w:pPr>
      <w:r w:rsidRPr="00D44670">
        <w:rPr>
          <w:color w:val="000000"/>
          <w:sz w:val="20"/>
          <w:szCs w:val="20"/>
        </w:rPr>
        <w:t>Table 1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Determination of color in powder and extracts of different fractions of </w:t>
      </w:r>
      <w:proofErr w:type="spellStart"/>
      <w:r>
        <w:rPr>
          <w:i/>
          <w:color w:val="000000"/>
          <w:sz w:val="20"/>
          <w:szCs w:val="20"/>
        </w:rPr>
        <w:t>Neltuma</w:t>
      </w:r>
      <w:proofErr w:type="spellEnd"/>
      <w:r>
        <w:rPr>
          <w:i/>
          <w:color w:val="000000"/>
          <w:sz w:val="20"/>
          <w:szCs w:val="20"/>
        </w:rPr>
        <w:t xml:space="preserve"> ruscifolia</w:t>
      </w:r>
      <w:r>
        <w:rPr>
          <w:color w:val="000000"/>
          <w:sz w:val="20"/>
          <w:szCs w:val="20"/>
        </w:rPr>
        <w:t xml:space="preserve">. RP (residue powder); EP (endocarp powder); SP (seed powder); RE (residue extract); EE (endocarp extract) and SE (seed extract).  Different letters indicate statistical difference (p&lt;0,05) between </w:t>
      </w:r>
      <w:r w:rsidRPr="00475166">
        <w:rPr>
          <w:iCs/>
          <w:color w:val="000000"/>
          <w:sz w:val="20"/>
          <w:szCs w:val="20"/>
        </w:rPr>
        <w:t>columns</w:t>
      </w:r>
      <w:r>
        <w:rPr>
          <w:iCs/>
          <w:color w:val="000000"/>
          <w:sz w:val="20"/>
          <w:szCs w:val="20"/>
        </w:rPr>
        <w:t xml:space="preserve"> for the same raw.</w:t>
      </w:r>
    </w:p>
    <w:tbl>
      <w:tblPr>
        <w:tblStyle w:val="Tablanormal2"/>
        <w:tblW w:w="7541" w:type="dxa"/>
        <w:jc w:val="center"/>
        <w:tblLayout w:type="fixed"/>
        <w:tblLook w:val="04A0" w:firstRow="1" w:lastRow="0" w:firstColumn="1" w:lastColumn="0" w:noHBand="0" w:noVBand="1"/>
      </w:tblPr>
      <w:tblGrid>
        <w:gridCol w:w="1190"/>
        <w:gridCol w:w="2196"/>
        <w:gridCol w:w="2109"/>
        <w:gridCol w:w="2046"/>
      </w:tblGrid>
      <w:tr w:rsidR="00D44670" w:rsidTr="00CE47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Fractions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RP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EP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SP</w:t>
            </w:r>
          </w:p>
        </w:tc>
      </w:tr>
      <w:tr w:rsidR="00D44670" w:rsidTr="00CE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 Powders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noProof/>
                <w:sz w:val="20"/>
                <w:szCs w:val="20"/>
                <w:lang w:eastAsia="en-US"/>
              </w:rPr>
              <w:drawing>
                <wp:inline distT="0" distB="0" distL="0" distR="0" wp14:anchorId="0FAC2531" wp14:editId="5A1B77A1">
                  <wp:extent cx="721778" cy="1252598"/>
                  <wp:effectExtent l="0" t="0" r="0" b="0"/>
                  <wp:docPr id="3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 l="43469" t="9625" r="35133" b="6669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21778" cy="12525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i/>
                <w:noProof/>
                <w:color w:val="44546A"/>
                <w:sz w:val="20"/>
                <w:szCs w:val="20"/>
                <w:lang w:eastAsia="en-US"/>
              </w:rPr>
              <w:drawing>
                <wp:inline distT="0" distB="0" distL="0" distR="0" wp14:anchorId="6AC9497B" wp14:editId="4714E666">
                  <wp:extent cx="1206380" cy="728305"/>
                  <wp:effectExtent l="0" t="0" r="0" b="0"/>
                  <wp:docPr id="3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7"/>
                          <a:srcRect l="38211" r="358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380" cy="7283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i/>
                <w:noProof/>
                <w:color w:val="44546A"/>
                <w:sz w:val="20"/>
                <w:szCs w:val="20"/>
                <w:lang w:eastAsia="en-US"/>
              </w:rPr>
              <w:drawing>
                <wp:inline distT="0" distB="0" distL="0" distR="0" wp14:anchorId="07D7B47E" wp14:editId="79340CA7">
                  <wp:extent cx="1159352" cy="728336"/>
                  <wp:effectExtent l="0" t="0" r="0" b="0"/>
                  <wp:docPr id="35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7"/>
                          <a:srcRect l="70054" r="63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352" cy="7283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4670" w:rsidTr="00CE475D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jc w:val="center"/>
              <w:rPr>
                <w:i/>
                <w:sz w:val="20"/>
                <w:szCs w:val="20"/>
              </w:rPr>
            </w:pPr>
            <w:r w:rsidRPr="00117A3F">
              <w:rPr>
                <w:i/>
                <w:sz w:val="20"/>
                <w:szCs w:val="20"/>
              </w:rPr>
              <w:t>L*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52,7 ± 0,91</w:t>
            </w:r>
            <w:r w:rsidRPr="00117A3F">
              <w:rPr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 xml:space="preserve">64,9 ± 1,08 </w:t>
            </w:r>
            <w:r w:rsidRPr="00117A3F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 xml:space="preserve">77,0 ± 1,74 </w:t>
            </w:r>
            <w:r w:rsidRPr="00117A3F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D44670" w:rsidTr="00CE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jc w:val="center"/>
              <w:rPr>
                <w:i/>
                <w:sz w:val="20"/>
                <w:szCs w:val="20"/>
              </w:rPr>
            </w:pPr>
            <w:r w:rsidRPr="00117A3F">
              <w:rPr>
                <w:i/>
                <w:sz w:val="20"/>
                <w:szCs w:val="20"/>
              </w:rPr>
              <w:t>a*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6,3±0,19</w:t>
            </w:r>
            <w:r w:rsidRPr="00117A3F">
              <w:rPr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 xml:space="preserve">7,29±1,17 </w:t>
            </w:r>
            <w:r w:rsidRPr="00117A3F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0,93±0,31</w:t>
            </w:r>
            <w:r w:rsidRPr="00117A3F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D44670" w:rsidTr="00CE475D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jc w:val="center"/>
              <w:rPr>
                <w:i/>
                <w:sz w:val="20"/>
                <w:szCs w:val="20"/>
              </w:rPr>
            </w:pPr>
            <w:r w:rsidRPr="00117A3F">
              <w:rPr>
                <w:i/>
                <w:sz w:val="20"/>
                <w:szCs w:val="20"/>
              </w:rPr>
              <w:t>b*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15,13±0,52</w:t>
            </w:r>
            <w:r w:rsidRPr="00117A3F">
              <w:rPr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 xml:space="preserve">24,6±1,17 </w:t>
            </w:r>
            <w:r w:rsidRPr="00117A3F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20±1,09</w:t>
            </w:r>
            <w:r w:rsidRPr="00117A3F">
              <w:rPr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D44670" w:rsidTr="00CE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jc w:val="center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C*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16,4 ± 0,5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25,7 ± 1,1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20,0 ± 1,1</w:t>
            </w:r>
          </w:p>
        </w:tc>
      </w:tr>
      <w:tr w:rsidR="00D44670" w:rsidTr="00CE475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jc w:val="center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Hue°</w:t>
            </w:r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67,4 ± 0,2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73,5 ± 0,4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87,4 ± 0,8</w:t>
            </w:r>
          </w:p>
        </w:tc>
      </w:tr>
      <w:tr w:rsidR="00D44670" w:rsidTr="00CE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</w:tcPr>
          <w:p w:rsidR="00D44670" w:rsidRPr="00117A3F" w:rsidRDefault="00D44670" w:rsidP="00CE475D">
            <w:pPr>
              <w:jc w:val="center"/>
              <w:rPr>
                <w:sz w:val="20"/>
                <w:szCs w:val="20"/>
              </w:rPr>
            </w:pPr>
            <w:proofErr w:type="spellStart"/>
            <w:r w:rsidRPr="00117A3F">
              <w:rPr>
                <w:rFonts w:ascii="Arial" w:eastAsia="Arial" w:hAnsi="Arial" w:cs="Arial"/>
                <w:color w:val="4D5156"/>
                <w:sz w:val="20"/>
                <w:szCs w:val="20"/>
              </w:rPr>
              <w:t>λ</w:t>
            </w:r>
            <w:r w:rsidRPr="00117A3F">
              <w:rPr>
                <w:sz w:val="20"/>
                <w:szCs w:val="20"/>
              </w:rPr>
              <w:t>nm</w:t>
            </w:r>
            <w:proofErr w:type="spellEnd"/>
          </w:p>
        </w:tc>
        <w:tc>
          <w:tcPr>
            <w:tcW w:w="219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582</w:t>
            </w:r>
          </w:p>
        </w:tc>
        <w:tc>
          <w:tcPr>
            <w:tcW w:w="2109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578</w:t>
            </w:r>
          </w:p>
        </w:tc>
        <w:tc>
          <w:tcPr>
            <w:tcW w:w="2046" w:type="dxa"/>
          </w:tcPr>
          <w:p w:rsidR="00D44670" w:rsidRPr="00117A3F" w:rsidRDefault="00D44670" w:rsidP="00CE47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7A3F">
              <w:rPr>
                <w:sz w:val="20"/>
                <w:szCs w:val="20"/>
              </w:rPr>
              <w:t>574</w:t>
            </w:r>
          </w:p>
        </w:tc>
      </w:tr>
    </w:tbl>
    <w:p w:rsidR="00D44670" w:rsidRDefault="00D44670" w:rsidP="00EB1BBD"/>
    <w:sectPr w:rsidR="00D4467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366" w:rsidRDefault="00025366" w:rsidP="00C841F7">
      <w:pPr>
        <w:spacing w:after="0" w:line="240" w:lineRule="auto"/>
      </w:pPr>
      <w:r>
        <w:separator/>
      </w:r>
    </w:p>
  </w:endnote>
  <w:endnote w:type="continuationSeparator" w:id="0">
    <w:p w:rsidR="00025366" w:rsidRDefault="00025366" w:rsidP="00C84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366" w:rsidRDefault="00025366" w:rsidP="00C841F7">
      <w:pPr>
        <w:spacing w:after="0" w:line="240" w:lineRule="auto"/>
      </w:pPr>
      <w:r>
        <w:separator/>
      </w:r>
    </w:p>
  </w:footnote>
  <w:footnote w:type="continuationSeparator" w:id="0">
    <w:p w:rsidR="00025366" w:rsidRDefault="00025366" w:rsidP="00C841F7">
      <w:pPr>
        <w:spacing w:after="0" w:line="240" w:lineRule="auto"/>
      </w:pPr>
      <w:r>
        <w:continuationSeparator/>
      </w:r>
    </w:p>
  </w:footnote>
  <w:footnote w:id="1">
    <w:p w:rsidR="00C841F7" w:rsidRPr="00117A3F" w:rsidRDefault="00C841F7" w:rsidP="00C841F7">
      <w:pPr>
        <w:spacing w:before="78"/>
        <w:ind w:right="3291"/>
        <w:rPr>
          <w:sz w:val="17"/>
          <w:szCs w:val="17"/>
          <w:lang w:val="es-AR"/>
        </w:rPr>
      </w:pPr>
      <w:r w:rsidRPr="00280FB8">
        <w:rPr>
          <w:vertAlign w:val="superscript"/>
          <w:lang w:val="es-AR"/>
        </w:rPr>
        <w:t xml:space="preserve">      </w:t>
      </w:r>
      <w:r w:rsidRPr="00117A3F">
        <w:rPr>
          <w:sz w:val="17"/>
          <w:szCs w:val="17"/>
          <w:lang w:val="es-AR"/>
        </w:rPr>
        <w:t xml:space="preserve">María del Pilar Buera </w:t>
      </w:r>
    </w:p>
    <w:p w:rsidR="00C841F7" w:rsidRPr="00117A3F" w:rsidRDefault="00C841F7" w:rsidP="00C841F7">
      <w:pPr>
        <w:spacing w:before="78"/>
        <w:ind w:left="297" w:right="3291" w:hanging="297"/>
        <w:rPr>
          <w:sz w:val="17"/>
          <w:szCs w:val="17"/>
          <w:lang w:val="es-AR"/>
        </w:rPr>
      </w:pPr>
      <w:r w:rsidRPr="00117A3F">
        <w:rPr>
          <w:sz w:val="17"/>
          <w:szCs w:val="17"/>
          <w:lang w:val="es-AR"/>
        </w:rPr>
        <w:t xml:space="preserve">      pilar</w:t>
      </w:r>
      <w:hyperlink r:id="rId1">
        <w:r w:rsidRPr="00117A3F">
          <w:rPr>
            <w:sz w:val="17"/>
            <w:szCs w:val="17"/>
            <w:lang w:val="es-AR"/>
          </w:rPr>
          <w:t>@</w:t>
        </w:r>
      </w:hyperlink>
      <w:r w:rsidRPr="00117A3F">
        <w:rPr>
          <w:sz w:val="17"/>
          <w:szCs w:val="17"/>
          <w:lang w:val="es-AR"/>
        </w:rPr>
        <w:t xml:space="preserve"> di.fcen.uba.ar</w:t>
      </w:r>
    </w:p>
    <w:p w:rsidR="00C841F7" w:rsidRPr="00117A3F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49"/>
        <w:jc w:val="both"/>
        <w:rPr>
          <w:color w:val="000000"/>
          <w:sz w:val="17"/>
          <w:szCs w:val="17"/>
          <w:lang w:val="es-AR"/>
        </w:rPr>
      </w:pPr>
      <w:r w:rsidRPr="00117A3F">
        <w:rPr>
          <w:color w:val="000000"/>
          <w:sz w:val="20"/>
          <w:szCs w:val="20"/>
          <w:lang w:val="es-AR"/>
        </w:rPr>
        <w:t xml:space="preserve"> </w:t>
      </w:r>
      <w:r>
        <w:rPr>
          <w:vertAlign w:val="superscript"/>
        </w:rPr>
        <w:footnoteRef/>
      </w:r>
      <w:r w:rsidRPr="00117A3F">
        <w:rPr>
          <w:color w:val="000000"/>
          <w:sz w:val="17"/>
          <w:szCs w:val="17"/>
          <w:lang w:val="es-AR"/>
        </w:rPr>
        <w:t xml:space="preserve">Instituto de Tecnología de Alimentos y Proceso Químicos (ITAPROQ), Universidad de Buenos Aires, Facultad de Ciencias Exactas y Naturales, CONICET, </w:t>
      </w:r>
      <w:proofErr w:type="spellStart"/>
      <w:r w:rsidRPr="00117A3F">
        <w:rPr>
          <w:color w:val="000000"/>
          <w:sz w:val="17"/>
          <w:szCs w:val="17"/>
          <w:lang w:val="es-AR"/>
        </w:rPr>
        <w:t>Int</w:t>
      </w:r>
      <w:proofErr w:type="spellEnd"/>
      <w:r w:rsidRPr="00117A3F">
        <w:rPr>
          <w:color w:val="000000"/>
          <w:sz w:val="17"/>
          <w:szCs w:val="17"/>
          <w:lang w:val="es-AR"/>
        </w:rPr>
        <w:t>. Güiraldes 2160, CABA, Ciudad Autónoma de Buenos Aires CP 1406, Argentina</w:t>
      </w:r>
    </w:p>
    <w:p w:rsidR="00C841F7" w:rsidRPr="00117A3F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49"/>
        <w:jc w:val="both"/>
        <w:rPr>
          <w:color w:val="000000"/>
          <w:sz w:val="20"/>
          <w:szCs w:val="20"/>
          <w:lang w:val="es-AR"/>
        </w:rPr>
      </w:pPr>
    </w:p>
  </w:footnote>
  <w:footnote w:id="2">
    <w:p w:rsidR="00C841F7" w:rsidRPr="00117A3F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49"/>
        <w:jc w:val="both"/>
        <w:rPr>
          <w:color w:val="000000"/>
          <w:sz w:val="17"/>
          <w:szCs w:val="17"/>
          <w:lang w:val="es-AR"/>
        </w:rPr>
      </w:pPr>
      <w:r>
        <w:rPr>
          <w:vertAlign w:val="superscript"/>
        </w:rPr>
        <w:footnoteRef/>
      </w:r>
      <w:r w:rsidRPr="00117A3F">
        <w:rPr>
          <w:color w:val="000000"/>
          <w:sz w:val="20"/>
          <w:szCs w:val="20"/>
          <w:lang w:val="es-AR"/>
        </w:rPr>
        <w:t xml:space="preserve"> </w:t>
      </w:r>
      <w:r w:rsidRPr="00117A3F">
        <w:rPr>
          <w:color w:val="000000"/>
          <w:sz w:val="17"/>
          <w:szCs w:val="17"/>
          <w:lang w:val="es-AR"/>
        </w:rPr>
        <w:t>Facultad de Bromatología, Universidad Nacional de Entre Ríos, Pte. Perón 1152, Gualeguaychú 2820, Argentina</w:t>
      </w:r>
    </w:p>
    <w:p w:rsidR="00C841F7" w:rsidRPr="00117A3F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49"/>
        <w:jc w:val="both"/>
        <w:rPr>
          <w:color w:val="000000"/>
          <w:sz w:val="20"/>
          <w:szCs w:val="20"/>
          <w:lang w:val="es-AR"/>
        </w:rPr>
      </w:pPr>
    </w:p>
  </w:footnote>
  <w:footnote w:id="3">
    <w:p w:rsidR="00C841F7" w:rsidRPr="00751A30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49"/>
        <w:jc w:val="both"/>
        <w:rPr>
          <w:color w:val="000000"/>
          <w:sz w:val="17"/>
          <w:szCs w:val="17"/>
          <w:lang w:val="es-ES"/>
        </w:rPr>
      </w:pPr>
      <w:r>
        <w:rPr>
          <w:vertAlign w:val="superscript"/>
        </w:rPr>
        <w:footnoteRef/>
      </w:r>
      <w:r w:rsidRPr="00117A3F">
        <w:rPr>
          <w:color w:val="000000"/>
          <w:sz w:val="20"/>
          <w:szCs w:val="20"/>
          <w:lang w:val="es-AR"/>
        </w:rPr>
        <w:t xml:space="preserve"> </w:t>
      </w:r>
      <w:r w:rsidRPr="00117A3F">
        <w:rPr>
          <w:color w:val="000000"/>
          <w:sz w:val="17"/>
          <w:szCs w:val="17"/>
          <w:lang w:val="es-AR"/>
        </w:rPr>
        <w:t xml:space="preserve">Instituto de Ciencia y Tecnología de Alimentos de Entre Ríos (ICTAER), Universidad Nacional de Entre Ríos- Consejo Nacional de Investigaciones Científicas y Técnicas, Pte. </w:t>
      </w:r>
      <w:r w:rsidRPr="00751A30">
        <w:rPr>
          <w:color w:val="000000"/>
          <w:sz w:val="17"/>
          <w:szCs w:val="17"/>
          <w:lang w:val="es-ES"/>
        </w:rPr>
        <w:t>Perón 1152, Gualeguaychú, Entre Ríos 2820, Argentina</w:t>
      </w:r>
    </w:p>
    <w:p w:rsidR="00C841F7" w:rsidRPr="00751A30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49"/>
        <w:jc w:val="both"/>
        <w:rPr>
          <w:color w:val="000000"/>
          <w:sz w:val="17"/>
          <w:szCs w:val="17"/>
          <w:lang w:val="es-ES"/>
        </w:rPr>
      </w:pPr>
    </w:p>
    <w:p w:rsidR="00C841F7" w:rsidRPr="00751A30" w:rsidRDefault="00C841F7" w:rsidP="00C84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134"/>
        <w:jc w:val="both"/>
        <w:rPr>
          <w:color w:val="000000"/>
          <w:sz w:val="20"/>
          <w:szCs w:val="20"/>
          <w:lang w:val="es-E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41F7" w:rsidRPr="00305AF9" w:rsidRDefault="00305AF9">
    <w:pPr>
      <w:pStyle w:val="Encabezado"/>
      <w:rPr>
        <w:lang w:val="es-ES"/>
      </w:rPr>
    </w:pPr>
    <w:proofErr w:type="spellStart"/>
    <w:r>
      <w:rPr>
        <w:lang w:val="es-ES"/>
      </w:rPr>
      <w:t>Plant</w:t>
    </w:r>
    <w:proofErr w:type="spellEnd"/>
    <w:r>
      <w:rPr>
        <w:lang w:val="es-ES"/>
      </w:rPr>
      <w:t xml:space="preserve"> </w:t>
    </w:r>
    <w:proofErr w:type="spellStart"/>
    <w:r>
      <w:rPr>
        <w:lang w:val="es-ES"/>
      </w:rPr>
      <w:t>Foods</w:t>
    </w:r>
    <w:proofErr w:type="spellEnd"/>
    <w:r>
      <w:rPr>
        <w:lang w:val="es-ES"/>
      </w:rPr>
      <w:t xml:space="preserve"> </w:t>
    </w:r>
    <w:proofErr w:type="spellStart"/>
    <w:r>
      <w:rPr>
        <w:lang w:val="es-ES"/>
      </w:rPr>
      <w:t>for</w:t>
    </w:r>
    <w:proofErr w:type="spellEnd"/>
    <w:r>
      <w:rPr>
        <w:lang w:val="es-ES"/>
      </w:rPr>
      <w:t xml:space="preserve"> Human </w:t>
    </w:r>
    <w:proofErr w:type="spellStart"/>
    <w:r>
      <w:rPr>
        <w:lang w:val="es-ES"/>
      </w:rPr>
      <w:t>Nutrition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70"/>
    <w:rsid w:val="00025366"/>
    <w:rsid w:val="00097124"/>
    <w:rsid w:val="002028DE"/>
    <w:rsid w:val="00210B16"/>
    <w:rsid w:val="002B496F"/>
    <w:rsid w:val="00305AF9"/>
    <w:rsid w:val="00683B1C"/>
    <w:rsid w:val="00713E22"/>
    <w:rsid w:val="00935776"/>
    <w:rsid w:val="00B002FD"/>
    <w:rsid w:val="00BD341E"/>
    <w:rsid w:val="00C2436D"/>
    <w:rsid w:val="00C57FF4"/>
    <w:rsid w:val="00C841F7"/>
    <w:rsid w:val="00D23BF6"/>
    <w:rsid w:val="00D44670"/>
    <w:rsid w:val="00D97B67"/>
    <w:rsid w:val="00DE3C53"/>
    <w:rsid w:val="00EB1BBD"/>
    <w:rsid w:val="00F606A7"/>
    <w:rsid w:val="00FB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FEE04"/>
  <w15:chartTrackingRefBased/>
  <w15:docId w15:val="{D57D978B-8847-4D3B-9B4B-C52430E36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670"/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tulo1">
    <w:name w:val="heading 1"/>
    <w:basedOn w:val="Normal"/>
    <w:next w:val="Normal"/>
    <w:link w:val="Ttulo1Car"/>
    <w:uiPriority w:val="9"/>
    <w:qFormat/>
    <w:rsid w:val="00C841F7"/>
    <w:pPr>
      <w:keepNext/>
      <w:keepLines/>
      <w:spacing w:before="120" w:after="0" w:line="240" w:lineRule="auto"/>
      <w:outlineLvl w:val="0"/>
    </w:pPr>
    <w:rPr>
      <w:rFonts w:eastAsiaTheme="majorEastAsia" w:cstheme="majorBidi"/>
      <w:b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decuadrcula2-nfasis3">
    <w:name w:val="Grid Table 2 Accent 3"/>
    <w:basedOn w:val="Tablanormal"/>
    <w:uiPriority w:val="47"/>
    <w:rsid w:val="00D446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2">
    <w:name w:val="Plain Table 2"/>
    <w:basedOn w:val="Tablanormal"/>
    <w:uiPriority w:val="42"/>
    <w:rsid w:val="00D446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C841F7"/>
    <w:rPr>
      <w:rFonts w:ascii="Times New Roman" w:eastAsiaTheme="majorEastAsia" w:hAnsi="Times New Roman" w:cstheme="majorBidi"/>
      <w:b/>
      <w:sz w:val="28"/>
      <w:szCs w:val="32"/>
      <w:lang w:eastAsia="es-AR"/>
    </w:rPr>
  </w:style>
  <w:style w:type="paragraph" w:styleId="Ttulo">
    <w:name w:val="Title"/>
    <w:basedOn w:val="Normal"/>
    <w:next w:val="Normal"/>
    <w:link w:val="TtuloCar"/>
    <w:uiPriority w:val="10"/>
    <w:qFormat/>
    <w:rsid w:val="00C841F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C841F7"/>
    <w:rPr>
      <w:rFonts w:ascii="Times New Roman" w:eastAsia="Times New Roman" w:hAnsi="Times New Roman" w:cs="Times New Roman"/>
      <w:b/>
      <w:sz w:val="72"/>
      <w:szCs w:val="72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C841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841F7"/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C841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841F7"/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ff@fq.edu.uy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</dc:creator>
  <cp:keywords/>
  <dc:description/>
  <cp:lastModifiedBy>Giuliana</cp:lastModifiedBy>
  <cp:revision>2</cp:revision>
  <dcterms:created xsi:type="dcterms:W3CDTF">2024-03-27T16:00:00Z</dcterms:created>
  <dcterms:modified xsi:type="dcterms:W3CDTF">2024-03-27T16:00:00Z</dcterms:modified>
</cp:coreProperties>
</file>