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59C6" w14:textId="35C8E26B" w:rsidR="00287D60" w:rsidRPr="00146C69" w:rsidRDefault="00500671" w:rsidP="00FB472D">
      <w:pPr>
        <w:jc w:val="center"/>
        <w:rPr>
          <w:rFonts w:cstheme="minorHAnsi"/>
          <w:sz w:val="24"/>
          <w:szCs w:val="24"/>
        </w:rPr>
      </w:pPr>
      <w:r w:rsidRPr="00146C69">
        <w:rPr>
          <w:rFonts w:cstheme="minorHAnsi"/>
          <w:sz w:val="24"/>
          <w:szCs w:val="24"/>
        </w:rPr>
        <w:t>Supplementary in</w:t>
      </w:r>
      <w:r w:rsidR="00A2342C" w:rsidRPr="00146C69">
        <w:rPr>
          <w:rFonts w:cstheme="minorHAnsi"/>
          <w:sz w:val="24"/>
          <w:szCs w:val="24"/>
        </w:rPr>
        <w:t>f</w:t>
      </w:r>
      <w:r w:rsidRPr="00146C69">
        <w:rPr>
          <w:rFonts w:cstheme="minorHAnsi"/>
          <w:sz w:val="24"/>
          <w:szCs w:val="24"/>
        </w:rPr>
        <w:t>ormation</w:t>
      </w:r>
    </w:p>
    <w:p w14:paraId="4A32E8C3" w14:textId="77777777" w:rsidR="00500671" w:rsidRPr="00146C69" w:rsidRDefault="00500671" w:rsidP="00500671">
      <w:pPr>
        <w:jc w:val="center"/>
        <w:rPr>
          <w:rFonts w:cstheme="minorHAnsi"/>
          <w:sz w:val="40"/>
          <w:szCs w:val="40"/>
        </w:rPr>
      </w:pPr>
      <w:r w:rsidRPr="00146C69">
        <w:rPr>
          <w:rFonts w:cstheme="minorHAnsi"/>
          <w:sz w:val="40"/>
          <w:szCs w:val="40"/>
        </w:rPr>
        <w:t>Liquid crystalline structuring in dilute suspensions of high aspect ratio clay nanosheets.</w:t>
      </w:r>
    </w:p>
    <w:p w14:paraId="61222F9F" w14:textId="77777777" w:rsidR="008806AE" w:rsidRPr="00146C69" w:rsidRDefault="008806AE" w:rsidP="00500671">
      <w:pPr>
        <w:jc w:val="center"/>
        <w:rPr>
          <w:rFonts w:cstheme="minorHAnsi"/>
          <w:sz w:val="40"/>
          <w:szCs w:val="40"/>
        </w:rPr>
      </w:pPr>
    </w:p>
    <w:p w14:paraId="7AFDB2D0" w14:textId="0BD37A30" w:rsidR="0087552A" w:rsidRPr="00146C69" w:rsidRDefault="0087552A" w:rsidP="0087552A">
      <w:pPr>
        <w:jc w:val="both"/>
        <w:rPr>
          <w:rFonts w:cstheme="minorHAnsi"/>
          <w:sz w:val="20"/>
          <w:szCs w:val="20"/>
        </w:rPr>
      </w:pPr>
      <w:r w:rsidRPr="00146C69">
        <w:rPr>
          <w:rFonts w:cstheme="minorHAnsi"/>
          <w:sz w:val="20"/>
          <w:szCs w:val="20"/>
        </w:rPr>
        <w:t>Osvaldo Trigueiro Neto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="00BB07EF" w:rsidRPr="00146C69">
        <w:rPr>
          <w:rFonts w:cstheme="minorHAnsi"/>
          <w:sz w:val="20"/>
          <w:szCs w:val="20"/>
        </w:rPr>
        <w:t>, Sabine Rosenfeldt</w:t>
      </w:r>
      <w:r w:rsidR="00BB07EF">
        <w:rPr>
          <w:rFonts w:cstheme="minorHAnsi"/>
          <w:sz w:val="20"/>
          <w:szCs w:val="20"/>
          <w:vertAlign w:val="superscript"/>
        </w:rPr>
        <w:t>2</w:t>
      </w:r>
      <w:r w:rsidRPr="00146C69">
        <w:rPr>
          <w:rFonts w:cstheme="minorHAnsi"/>
          <w:sz w:val="20"/>
          <w:szCs w:val="20"/>
        </w:rPr>
        <w:t>, Paulo Henrique Michels-Brito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Pr="00146C69">
        <w:rPr>
          <w:rFonts w:cstheme="minorHAnsi"/>
          <w:sz w:val="20"/>
          <w:szCs w:val="20"/>
        </w:rPr>
        <w:t>, Konstanse Kvalem Seljelid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Pr="00146C69">
        <w:rPr>
          <w:rFonts w:cstheme="minorHAnsi"/>
          <w:sz w:val="20"/>
          <w:szCs w:val="20"/>
        </w:rPr>
        <w:t>, Andrew Akanno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Pr="00146C69">
        <w:rPr>
          <w:rFonts w:cstheme="minorHAnsi"/>
          <w:sz w:val="20"/>
          <w:szCs w:val="20"/>
        </w:rPr>
        <w:t>, Bruno Ceccato Telli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Pr="00146C69">
        <w:rPr>
          <w:rFonts w:cstheme="minorHAnsi"/>
          <w:sz w:val="20"/>
          <w:szCs w:val="20"/>
        </w:rPr>
        <w:t>, Rini P.R</w:t>
      </w:r>
      <w:r w:rsidRPr="00146C69">
        <w:rPr>
          <w:rFonts w:cstheme="minorHAnsi"/>
          <w:sz w:val="20"/>
          <w:szCs w:val="20"/>
          <w:vertAlign w:val="superscript"/>
        </w:rPr>
        <w:t>1,</w:t>
      </w:r>
      <w:r w:rsidR="00BB07EF">
        <w:rPr>
          <w:rFonts w:cstheme="minorHAnsi"/>
          <w:sz w:val="20"/>
          <w:szCs w:val="20"/>
          <w:vertAlign w:val="superscript"/>
        </w:rPr>
        <w:t>3</w:t>
      </w:r>
      <w:r w:rsidRPr="00146C69">
        <w:rPr>
          <w:rFonts w:cstheme="minorHAnsi"/>
          <w:sz w:val="20"/>
          <w:szCs w:val="20"/>
        </w:rPr>
        <w:t>, Leander Michels</w:t>
      </w:r>
      <w:r w:rsidRPr="00146C69">
        <w:rPr>
          <w:rFonts w:cstheme="minorHAnsi"/>
          <w:sz w:val="20"/>
          <w:szCs w:val="20"/>
          <w:vertAlign w:val="superscript"/>
        </w:rPr>
        <w:t>1</w:t>
      </w:r>
      <w:r w:rsidR="00BB07EF">
        <w:rPr>
          <w:rFonts w:cstheme="minorHAnsi"/>
          <w:sz w:val="20"/>
          <w:szCs w:val="20"/>
        </w:rPr>
        <w:t>,</w:t>
      </w:r>
      <w:r w:rsidRPr="00146C69">
        <w:rPr>
          <w:rFonts w:cstheme="minorHAnsi"/>
          <w:sz w:val="20"/>
          <w:szCs w:val="20"/>
        </w:rPr>
        <w:t xml:space="preserve"> Josef Breu</w:t>
      </w:r>
      <w:r w:rsidR="00BB07EF">
        <w:rPr>
          <w:rFonts w:cstheme="minorHAnsi"/>
          <w:sz w:val="20"/>
          <w:szCs w:val="20"/>
          <w:vertAlign w:val="superscript"/>
        </w:rPr>
        <w:t>2</w:t>
      </w:r>
      <w:r w:rsidRPr="00146C69">
        <w:rPr>
          <w:rFonts w:cstheme="minorHAnsi"/>
          <w:sz w:val="20"/>
          <w:szCs w:val="20"/>
        </w:rPr>
        <w:t>, Kenneth D. Knudsen</w:t>
      </w:r>
      <w:r w:rsidRPr="00146C69">
        <w:rPr>
          <w:rFonts w:cstheme="minorHAnsi"/>
          <w:sz w:val="20"/>
          <w:szCs w:val="20"/>
          <w:vertAlign w:val="superscript"/>
        </w:rPr>
        <w:t>1,</w:t>
      </w:r>
      <w:r w:rsidR="00BB07EF">
        <w:rPr>
          <w:rFonts w:cstheme="minorHAnsi"/>
          <w:sz w:val="20"/>
          <w:szCs w:val="20"/>
          <w:vertAlign w:val="superscript"/>
        </w:rPr>
        <w:t>3</w:t>
      </w:r>
      <w:r w:rsidRPr="00146C69">
        <w:rPr>
          <w:rFonts w:cstheme="minorHAnsi"/>
          <w:sz w:val="20"/>
          <w:szCs w:val="20"/>
        </w:rPr>
        <w:t>, Jon Otto Fossum</w:t>
      </w:r>
      <w:r w:rsidRPr="00146C69">
        <w:rPr>
          <w:rFonts w:cstheme="minorHAnsi"/>
          <w:sz w:val="20"/>
          <w:szCs w:val="20"/>
          <w:vertAlign w:val="superscript"/>
        </w:rPr>
        <w:t>1</w:t>
      </w:r>
    </w:p>
    <w:p w14:paraId="71C1CF65" w14:textId="77777777" w:rsidR="0087552A" w:rsidRPr="00146C69" w:rsidRDefault="0087552A" w:rsidP="0087552A">
      <w:pPr>
        <w:jc w:val="both"/>
        <w:rPr>
          <w:rFonts w:cstheme="minorHAnsi"/>
          <w:sz w:val="20"/>
          <w:szCs w:val="20"/>
        </w:rPr>
      </w:pPr>
      <w:r w:rsidRPr="00146C69">
        <w:rPr>
          <w:rFonts w:cstheme="minorHAnsi"/>
          <w:sz w:val="20"/>
          <w:szCs w:val="20"/>
          <w:vertAlign w:val="superscript"/>
        </w:rPr>
        <w:t xml:space="preserve">1 </w:t>
      </w:r>
      <w:r w:rsidRPr="00146C69">
        <w:rPr>
          <w:rFonts w:cstheme="minorHAnsi"/>
          <w:sz w:val="20"/>
          <w:szCs w:val="20"/>
        </w:rPr>
        <w:t>Department of Physics, Norwegian University of Science and Technology (NTNU), Trondheim, Norway.</w:t>
      </w:r>
    </w:p>
    <w:p w14:paraId="4CE9983B" w14:textId="77777777" w:rsidR="00BB07EF" w:rsidRPr="00146C69" w:rsidRDefault="00BB07EF" w:rsidP="00BB07EF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2</w:t>
      </w:r>
      <w:r w:rsidRPr="00146C69">
        <w:rPr>
          <w:rFonts w:cstheme="minorHAnsi"/>
          <w:sz w:val="20"/>
          <w:szCs w:val="20"/>
        </w:rPr>
        <w:t xml:space="preserve"> Department of Inorganic Chemistry I and Bavarian Polymer Institute, University of Bayreuth, Germany. </w:t>
      </w:r>
    </w:p>
    <w:p w14:paraId="333E3D05" w14:textId="4DFC4A4E" w:rsidR="0087552A" w:rsidRPr="00146C69" w:rsidRDefault="00BB07EF" w:rsidP="0087552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vertAlign w:val="superscript"/>
        </w:rPr>
        <w:t>3</w:t>
      </w:r>
      <w:r w:rsidR="0087552A" w:rsidRPr="00146C69">
        <w:rPr>
          <w:rFonts w:cstheme="minorHAnsi"/>
          <w:sz w:val="20"/>
          <w:szCs w:val="20"/>
        </w:rPr>
        <w:t xml:space="preserve"> Institute for Energy Technology (IFE), Kjeller, Norway.</w:t>
      </w:r>
    </w:p>
    <w:p w14:paraId="385A47B6" w14:textId="287CB8E0" w:rsidR="00AA5C6D" w:rsidRPr="00F01620" w:rsidRDefault="00AA5C6D" w:rsidP="00500671">
      <w:pPr>
        <w:jc w:val="both"/>
        <w:rPr>
          <w:rFonts w:cstheme="minorHAnsi"/>
          <w:b/>
          <w:bCs/>
          <w:sz w:val="28"/>
          <w:szCs w:val="28"/>
        </w:rPr>
      </w:pPr>
    </w:p>
    <w:p w14:paraId="0654A568" w14:textId="545BD60A" w:rsidR="00367DFE" w:rsidRPr="00F01620" w:rsidRDefault="00367DFE" w:rsidP="00F01620">
      <w:pPr>
        <w:pStyle w:val="ListParagraph"/>
        <w:numPr>
          <w:ilvl w:val="0"/>
          <w:numId w:val="4"/>
        </w:numPr>
        <w:jc w:val="both"/>
        <w:rPr>
          <w:rFonts w:cstheme="minorHAnsi"/>
          <w:b/>
          <w:bCs/>
          <w:sz w:val="28"/>
          <w:szCs w:val="28"/>
        </w:rPr>
      </w:pPr>
      <w:r w:rsidRPr="00F01620">
        <w:rPr>
          <w:rFonts w:cstheme="minorHAnsi"/>
          <w:b/>
          <w:bCs/>
          <w:sz w:val="28"/>
          <w:szCs w:val="28"/>
        </w:rPr>
        <w:t xml:space="preserve">Characterization of </w:t>
      </w:r>
      <w:r w:rsidR="00F01620" w:rsidRPr="00F01620">
        <w:rPr>
          <w:rFonts w:cstheme="minorHAnsi"/>
          <w:b/>
          <w:bCs/>
          <w:sz w:val="28"/>
          <w:szCs w:val="28"/>
        </w:rPr>
        <w:t>suspensions</w:t>
      </w:r>
    </w:p>
    <w:p w14:paraId="79616DBC" w14:textId="77777777" w:rsidR="00146C69" w:rsidRPr="00146C69" w:rsidRDefault="0044049E" w:rsidP="00146C69">
      <w:pPr>
        <w:pStyle w:val="ListParagraph"/>
        <w:keepNext/>
        <w:jc w:val="center"/>
        <w:rPr>
          <w:rFonts w:cstheme="minorHAnsi"/>
        </w:rPr>
      </w:pPr>
      <w:r w:rsidRPr="00146C69">
        <w:rPr>
          <w:rFonts w:cstheme="minorHAnsi"/>
          <w:noProof/>
        </w:rPr>
        <w:drawing>
          <wp:inline distT="0" distB="0" distL="0" distR="0" wp14:anchorId="1D57203F" wp14:editId="327CDE5D">
            <wp:extent cx="3422765" cy="2764490"/>
            <wp:effectExtent l="0" t="0" r="6350" b="0"/>
            <wp:docPr id="1375489360" name="Picture 1" descr="A graph of a graph showing different color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89360" name="Picture 1" descr="A graph of a graph showing different colors and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765" cy="27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B7618" w14:textId="736DCD23" w:rsidR="00146C69" w:rsidRPr="009345B0" w:rsidRDefault="009345B0" w:rsidP="00BB07E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Fig. </w:t>
      </w:r>
      <w:r w:rsidR="00DC2C66" w:rsidRPr="009345B0">
        <w:rPr>
          <w:rFonts w:cstheme="minorHAnsi"/>
          <w:sz w:val="18"/>
          <w:szCs w:val="18"/>
        </w:rPr>
        <w:t>S</w:t>
      </w:r>
      <w:r w:rsidR="00146C69" w:rsidRPr="009345B0">
        <w:rPr>
          <w:rFonts w:cstheme="minorHAnsi"/>
          <w:sz w:val="18"/>
          <w:szCs w:val="18"/>
        </w:rPr>
        <w:fldChar w:fldCharType="begin"/>
      </w:r>
      <w:r w:rsidR="00146C69" w:rsidRPr="009345B0">
        <w:rPr>
          <w:rFonts w:cstheme="minorHAnsi"/>
          <w:sz w:val="18"/>
          <w:szCs w:val="18"/>
        </w:rPr>
        <w:instrText xml:space="preserve"> SEQ Figure \* ARABIC </w:instrText>
      </w:r>
      <w:r w:rsidR="00146C69" w:rsidRPr="009345B0">
        <w:rPr>
          <w:rFonts w:cstheme="minorHAnsi"/>
          <w:sz w:val="18"/>
          <w:szCs w:val="18"/>
        </w:rPr>
        <w:fldChar w:fldCharType="separate"/>
      </w:r>
      <w:r w:rsidR="00146C69" w:rsidRPr="009345B0">
        <w:rPr>
          <w:rFonts w:cstheme="minorHAnsi"/>
          <w:noProof/>
          <w:sz w:val="18"/>
          <w:szCs w:val="18"/>
        </w:rPr>
        <w:t>1</w:t>
      </w:r>
      <w:r w:rsidR="00146C69" w:rsidRPr="009345B0">
        <w:rPr>
          <w:rFonts w:cstheme="minorHAnsi"/>
          <w:sz w:val="18"/>
          <w:szCs w:val="18"/>
        </w:rPr>
        <w:fldChar w:fldCharType="end"/>
      </w:r>
      <w:r w:rsidR="00146C69" w:rsidRPr="009345B0">
        <w:rPr>
          <w:rFonts w:cstheme="minorHAnsi"/>
          <w:sz w:val="18"/>
          <w:szCs w:val="18"/>
        </w:rPr>
        <w:t xml:space="preserve"> - Reflectance spectra of DBL suspensions. DBL samples used for structural coloration displaying similar colors to our samples</w:t>
      </w:r>
      <w:r w:rsidR="00DA5710">
        <w:rPr>
          <w:rFonts w:cstheme="minorHAnsi"/>
          <w:sz w:val="18"/>
          <w:szCs w:val="18"/>
        </w:rPr>
        <w:t xml:space="preserve"> (</w:t>
      </w:r>
      <w:r w:rsidR="00914B1D">
        <w:rPr>
          <w:rFonts w:cstheme="minorHAnsi"/>
          <w:sz w:val="18"/>
          <w:szCs w:val="18"/>
        </w:rPr>
        <w:t>D</w:t>
      </w:r>
      <w:r w:rsidR="00EC68AD">
        <w:rPr>
          <w:rFonts w:cstheme="minorHAnsi"/>
          <w:sz w:val="18"/>
          <w:szCs w:val="18"/>
        </w:rPr>
        <w:t xml:space="preserve">ata from Michels-Brito </w:t>
      </w:r>
      <w:r w:rsidR="00EC68AD" w:rsidRPr="00914B1D">
        <w:rPr>
          <w:rFonts w:cstheme="minorHAnsi"/>
          <w:i/>
          <w:iCs/>
          <w:sz w:val="18"/>
          <w:szCs w:val="18"/>
        </w:rPr>
        <w:t>et al.</w:t>
      </w:r>
      <w:r w:rsidR="00DA5710" w:rsidRPr="009345B0">
        <w:rPr>
          <w:rFonts w:cstheme="minorHAnsi"/>
          <w:sz w:val="18"/>
          <w:szCs w:val="18"/>
        </w:rPr>
        <w:t xml:space="preserve"> </w:t>
      </w:r>
      <w:r w:rsidR="00914B1D" w:rsidRPr="00914B1D">
        <w:rPr>
          <w:rFonts w:cstheme="minorHAnsi"/>
          <w:sz w:val="18"/>
          <w:szCs w:val="18"/>
        </w:rPr>
        <w:t xml:space="preserve">Sci. Adv. 2022, 8 (4), </w:t>
      </w:r>
      <w:r w:rsidR="00914B1D">
        <w:rPr>
          <w:rFonts w:cstheme="minorHAnsi"/>
          <w:sz w:val="18"/>
          <w:szCs w:val="18"/>
        </w:rPr>
        <w:t>d</w:t>
      </w:r>
      <w:r w:rsidR="00914B1D" w:rsidRPr="00914B1D">
        <w:rPr>
          <w:rFonts w:cstheme="minorHAnsi"/>
          <w:sz w:val="18"/>
          <w:szCs w:val="18"/>
        </w:rPr>
        <w:t>oi</w:t>
      </w:r>
      <w:r w:rsidR="00914B1D">
        <w:rPr>
          <w:rFonts w:cstheme="minorHAnsi"/>
          <w:sz w:val="18"/>
          <w:szCs w:val="18"/>
        </w:rPr>
        <w:t xml:space="preserve">: </w:t>
      </w:r>
      <w:r w:rsidR="00914B1D" w:rsidRPr="00914B1D">
        <w:rPr>
          <w:rFonts w:cstheme="minorHAnsi"/>
          <w:sz w:val="18"/>
          <w:szCs w:val="18"/>
        </w:rPr>
        <w:t>10.1126/sciadv.abl8147</w:t>
      </w:r>
      <w:r w:rsidR="00914B1D">
        <w:rPr>
          <w:rFonts w:cstheme="minorHAnsi"/>
          <w:sz w:val="18"/>
          <w:szCs w:val="18"/>
        </w:rPr>
        <w:t>).</w:t>
      </w:r>
    </w:p>
    <w:p w14:paraId="6B6B0A0D" w14:textId="77777777" w:rsidR="00146C69" w:rsidRPr="00146C69" w:rsidRDefault="00616D91" w:rsidP="00146C69">
      <w:pPr>
        <w:pStyle w:val="ListParagraph"/>
        <w:keepNext/>
        <w:jc w:val="center"/>
        <w:rPr>
          <w:rFonts w:cstheme="minorHAnsi"/>
        </w:rPr>
      </w:pPr>
      <w:r w:rsidRPr="00146C69">
        <w:rPr>
          <w:rFonts w:cstheme="minorHAnsi"/>
          <w:noProof/>
        </w:rPr>
        <w:lastRenderedPageBreak/>
        <w:drawing>
          <wp:inline distT="0" distB="0" distL="0" distR="0" wp14:anchorId="3787BA17" wp14:editId="6CFADB7F">
            <wp:extent cx="3119438" cy="2194678"/>
            <wp:effectExtent l="0" t="0" r="5080" b="0"/>
            <wp:docPr id="191601762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17627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572" cy="22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DE2E" w14:textId="1222892C" w:rsidR="00146C69" w:rsidRPr="00146C69" w:rsidRDefault="009345B0" w:rsidP="00BB07E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Fig. </w:t>
      </w:r>
      <w:r w:rsidR="00DC2C66">
        <w:rPr>
          <w:rFonts w:cstheme="minorHAnsi"/>
          <w:sz w:val="18"/>
          <w:szCs w:val="18"/>
        </w:rPr>
        <w:t>S</w:t>
      </w:r>
      <w:r w:rsidR="00146C69" w:rsidRPr="00146C69">
        <w:rPr>
          <w:rFonts w:cstheme="minorHAnsi"/>
          <w:sz w:val="18"/>
          <w:szCs w:val="18"/>
        </w:rPr>
        <w:fldChar w:fldCharType="begin"/>
      </w:r>
      <w:r w:rsidR="00146C69" w:rsidRPr="00146C69">
        <w:rPr>
          <w:rFonts w:cstheme="minorHAnsi"/>
          <w:sz w:val="18"/>
          <w:szCs w:val="18"/>
        </w:rPr>
        <w:instrText xml:space="preserve"> SEQ Figure \* ARABIC </w:instrText>
      </w:r>
      <w:r w:rsidR="00146C69" w:rsidRPr="00146C69">
        <w:rPr>
          <w:rFonts w:cstheme="minorHAnsi"/>
          <w:sz w:val="18"/>
          <w:szCs w:val="18"/>
        </w:rPr>
        <w:fldChar w:fldCharType="separate"/>
      </w:r>
      <w:r w:rsidR="00146C69" w:rsidRPr="00146C69">
        <w:rPr>
          <w:rFonts w:cstheme="minorHAnsi"/>
          <w:noProof/>
          <w:sz w:val="18"/>
          <w:szCs w:val="18"/>
        </w:rPr>
        <w:t>2</w:t>
      </w:r>
      <w:r w:rsidR="00146C69" w:rsidRPr="00146C69">
        <w:rPr>
          <w:rFonts w:cstheme="minorHAnsi"/>
          <w:sz w:val="18"/>
          <w:szCs w:val="18"/>
        </w:rPr>
        <w:fldChar w:fldCharType="end"/>
      </w:r>
      <w:r w:rsidR="00146C69" w:rsidRPr="00146C69">
        <w:rPr>
          <w:rFonts w:cstheme="minorHAnsi"/>
          <w:sz w:val="18"/>
          <w:szCs w:val="18"/>
        </w:rPr>
        <w:t xml:space="preserve"> - Crystalline structure of Na-Fluorohectorite clay. The clay nanosheets are composed of one octahedr</w:t>
      </w:r>
      <w:r w:rsidR="00BD3358">
        <w:rPr>
          <w:rFonts w:cstheme="minorHAnsi"/>
          <w:sz w:val="18"/>
          <w:szCs w:val="18"/>
        </w:rPr>
        <w:t>al layer</w:t>
      </w:r>
      <w:r w:rsidR="00146C69" w:rsidRPr="00146C69">
        <w:rPr>
          <w:rFonts w:cstheme="minorHAnsi"/>
          <w:sz w:val="18"/>
          <w:szCs w:val="18"/>
        </w:rPr>
        <w:t>, in yellow, sandwiched between two tetrahedra</w:t>
      </w:r>
      <w:r w:rsidR="00BD3358">
        <w:rPr>
          <w:rFonts w:cstheme="minorHAnsi"/>
          <w:sz w:val="18"/>
          <w:szCs w:val="18"/>
        </w:rPr>
        <w:t>l layers</w:t>
      </w:r>
      <w:r w:rsidR="00146C69" w:rsidRPr="00146C69">
        <w:rPr>
          <w:rFonts w:cstheme="minorHAnsi"/>
          <w:sz w:val="18"/>
          <w:szCs w:val="18"/>
        </w:rPr>
        <w:t>, in blue. Inside the octahedr</w:t>
      </w:r>
      <w:r w:rsidR="00BD3358">
        <w:rPr>
          <w:rFonts w:cstheme="minorHAnsi"/>
          <w:sz w:val="18"/>
          <w:szCs w:val="18"/>
        </w:rPr>
        <w:t>al layer</w:t>
      </w:r>
      <w:r w:rsidR="00146C69" w:rsidRPr="00146C69">
        <w:rPr>
          <w:rFonts w:cstheme="minorHAnsi"/>
          <w:sz w:val="18"/>
          <w:szCs w:val="18"/>
        </w:rPr>
        <w:t xml:space="preserve">, the purple spheres are magnesium and lithium cations. While inside the tetrahedral </w:t>
      </w:r>
      <w:r w:rsidR="00BD3358">
        <w:rPr>
          <w:rFonts w:cstheme="minorHAnsi"/>
          <w:sz w:val="18"/>
          <w:szCs w:val="18"/>
        </w:rPr>
        <w:t xml:space="preserve">layer only </w:t>
      </w:r>
      <w:r w:rsidR="00146C69" w:rsidRPr="00146C69">
        <w:rPr>
          <w:rFonts w:cstheme="minorHAnsi"/>
          <w:sz w:val="18"/>
          <w:szCs w:val="18"/>
        </w:rPr>
        <w:t>silicon is found</w:t>
      </w:r>
      <w:r w:rsidR="00BD3358">
        <w:rPr>
          <w:rFonts w:cstheme="minorHAnsi"/>
          <w:sz w:val="18"/>
          <w:szCs w:val="18"/>
        </w:rPr>
        <w:t xml:space="preserve"> (</w:t>
      </w:r>
      <w:r w:rsidR="00146C69" w:rsidRPr="00146C69">
        <w:rPr>
          <w:rFonts w:cstheme="minorHAnsi"/>
          <w:sz w:val="18"/>
          <w:szCs w:val="18"/>
        </w:rPr>
        <w:t>red spheres</w:t>
      </w:r>
      <w:r w:rsidR="00BD3358">
        <w:rPr>
          <w:rFonts w:cstheme="minorHAnsi"/>
          <w:sz w:val="18"/>
          <w:szCs w:val="18"/>
        </w:rPr>
        <w:t>)</w:t>
      </w:r>
      <w:r w:rsidR="00146C69" w:rsidRPr="00146C69">
        <w:rPr>
          <w:rFonts w:cstheme="minorHAnsi"/>
          <w:sz w:val="18"/>
          <w:szCs w:val="18"/>
        </w:rPr>
        <w:t xml:space="preserve">. The green </w:t>
      </w:r>
      <w:r w:rsidR="00146C69" w:rsidRPr="00A56856">
        <w:rPr>
          <w:rFonts w:cstheme="minorHAnsi"/>
          <w:sz w:val="18"/>
          <w:szCs w:val="18"/>
        </w:rPr>
        <w:t xml:space="preserve">spheres are fluorine, and the gray spheres are oxygen. The big brown sphere is the interlayer cation, in our case, either always 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m:t>N</m:t>
        </m:r>
        <m:sSup>
          <m:sSupPr>
            <m:ctrlPr>
              <w:rPr>
                <w:rFonts w:ascii="Cambria Math" w:hAnsi="Cambria Math" w:cstheme="minorHAnsi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+</m:t>
            </m:r>
          </m:sup>
        </m:sSup>
      </m:oMath>
      <w:r w:rsidR="00146C69" w:rsidRPr="00146C69">
        <w:rPr>
          <w:rFonts w:cstheme="minorHAnsi"/>
          <w:sz w:val="18"/>
          <w:szCs w:val="18"/>
        </w:rPr>
        <w:t xml:space="preserve"> for the SGL samples </w:t>
      </w:r>
      <w:r w:rsidR="00146C69" w:rsidRPr="00A56856">
        <w:rPr>
          <w:rFonts w:cstheme="minorHAnsi"/>
          <w:sz w:val="18"/>
          <w:szCs w:val="18"/>
        </w:rPr>
        <w:t xml:space="preserve">or 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m:t>N</m:t>
        </m:r>
        <m:sSup>
          <m:sSupPr>
            <m:ctrlPr>
              <w:rPr>
                <w:rFonts w:ascii="Cambria Math" w:hAnsi="Cambria Math" w:cstheme="minorHAnsi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+</m:t>
            </m:r>
          </m:sup>
        </m:sSup>
      </m:oMath>
      <w:r w:rsidR="00BD3358">
        <w:rPr>
          <w:rFonts w:cstheme="minorHAnsi"/>
          <w:sz w:val="18"/>
          <w:szCs w:val="18"/>
        </w:rPr>
        <w:t xml:space="preserve"> alternating with 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m:t>C</m:t>
        </m:r>
        <m:sSup>
          <m:sSupPr>
            <m:ctrlPr>
              <w:rPr>
                <w:rFonts w:ascii="Cambria Math" w:hAnsi="Cambria Math" w:cstheme="minorHAnsi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+</m:t>
            </m:r>
          </m:sup>
        </m:sSup>
      </m:oMath>
      <w:r w:rsidR="00146C69" w:rsidRPr="00146C69">
        <w:rPr>
          <w:rFonts w:cstheme="minorHAnsi"/>
          <w:sz w:val="18"/>
          <w:szCs w:val="18"/>
        </w:rPr>
        <w:t xml:space="preserve"> in the case of the DBL samples.</w:t>
      </w:r>
    </w:p>
    <w:p w14:paraId="5974BA08" w14:textId="09D68A05" w:rsidR="00616D91" w:rsidRPr="00146C69" w:rsidRDefault="00616D91" w:rsidP="00146C69">
      <w:pPr>
        <w:pStyle w:val="Caption"/>
        <w:jc w:val="center"/>
        <w:rPr>
          <w:rFonts w:cstheme="minorHAnsi"/>
        </w:rPr>
      </w:pPr>
    </w:p>
    <w:p w14:paraId="0728E5E0" w14:textId="77777777" w:rsidR="00500671" w:rsidRPr="00146C69" w:rsidRDefault="00500671" w:rsidP="00FB472D">
      <w:pPr>
        <w:jc w:val="center"/>
        <w:rPr>
          <w:rFonts w:cstheme="minorHAnsi"/>
        </w:rPr>
      </w:pPr>
    </w:p>
    <w:p w14:paraId="03CCB3A7" w14:textId="77777777" w:rsidR="00146C69" w:rsidRPr="00146C69" w:rsidRDefault="00DB3FA1" w:rsidP="00146C69">
      <w:pPr>
        <w:pStyle w:val="ListParagraph"/>
        <w:keepNext/>
        <w:jc w:val="center"/>
        <w:rPr>
          <w:rFonts w:cstheme="minorHAnsi"/>
        </w:rPr>
      </w:pPr>
      <w:r w:rsidRPr="00146C69">
        <w:rPr>
          <w:rFonts w:cstheme="minorHAnsi"/>
          <w:noProof/>
        </w:rPr>
        <w:drawing>
          <wp:inline distT="0" distB="0" distL="0" distR="0" wp14:anchorId="766F07FD" wp14:editId="1C927437">
            <wp:extent cx="2814638" cy="2351958"/>
            <wp:effectExtent l="0" t="0" r="5080" b="0"/>
            <wp:docPr id="2114486385" name="Picture 4" descr="A picture containing screenshot, diagram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86385" name="Picture 4" descr="A picture containing screenshot, diagram, lin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65" cy="235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9B4C" w14:textId="2407551D" w:rsidR="00146C69" w:rsidRPr="00203812" w:rsidRDefault="00146C69" w:rsidP="00BB07EF">
      <w:pPr>
        <w:jc w:val="center"/>
        <w:rPr>
          <w:rFonts w:cstheme="minorHAnsi"/>
          <w:sz w:val="18"/>
          <w:szCs w:val="18"/>
        </w:rPr>
      </w:pPr>
      <w:r w:rsidRPr="009345B0">
        <w:rPr>
          <w:rFonts w:cstheme="minorHAnsi"/>
          <w:sz w:val="18"/>
          <w:szCs w:val="18"/>
        </w:rPr>
        <w:t xml:space="preserve">Fig. </w:t>
      </w:r>
      <w:r w:rsidR="00DC2C66" w:rsidRPr="009345B0">
        <w:rPr>
          <w:rFonts w:cstheme="minorHAnsi"/>
          <w:sz w:val="18"/>
          <w:szCs w:val="18"/>
        </w:rPr>
        <w:t>S</w:t>
      </w:r>
      <w:r w:rsidRPr="009345B0">
        <w:rPr>
          <w:rFonts w:cstheme="minorHAnsi"/>
          <w:sz w:val="18"/>
          <w:szCs w:val="18"/>
        </w:rPr>
        <w:fldChar w:fldCharType="begin"/>
      </w:r>
      <w:r w:rsidRPr="009345B0">
        <w:rPr>
          <w:rFonts w:cstheme="minorHAnsi"/>
          <w:sz w:val="18"/>
          <w:szCs w:val="18"/>
        </w:rPr>
        <w:instrText xml:space="preserve"> SEQ Figure \* ARABIC </w:instrText>
      </w:r>
      <w:r w:rsidRPr="009345B0">
        <w:rPr>
          <w:rFonts w:cstheme="minorHAnsi"/>
          <w:sz w:val="18"/>
          <w:szCs w:val="18"/>
        </w:rPr>
        <w:fldChar w:fldCharType="separate"/>
      </w:r>
      <w:r w:rsidRPr="009345B0">
        <w:rPr>
          <w:rFonts w:cstheme="minorHAnsi"/>
          <w:noProof/>
          <w:sz w:val="18"/>
          <w:szCs w:val="18"/>
        </w:rPr>
        <w:t>3</w:t>
      </w:r>
      <w:r w:rsidRPr="009345B0">
        <w:rPr>
          <w:rFonts w:cstheme="minorHAnsi"/>
          <w:sz w:val="18"/>
          <w:szCs w:val="18"/>
        </w:rPr>
        <w:fldChar w:fldCharType="end"/>
      </w:r>
      <w:r w:rsidRPr="009345B0">
        <w:rPr>
          <w:rFonts w:cstheme="minorHAnsi"/>
          <w:sz w:val="18"/>
          <w:szCs w:val="18"/>
        </w:rPr>
        <w:t xml:space="preserve"> </w:t>
      </w:r>
      <w:r w:rsidR="00BD3358">
        <w:rPr>
          <w:rFonts w:cstheme="minorHAnsi"/>
          <w:sz w:val="18"/>
          <w:szCs w:val="18"/>
        </w:rPr>
        <w:t>–</w:t>
      </w:r>
      <w:r w:rsidRPr="009345B0">
        <w:rPr>
          <w:rFonts w:cstheme="minorHAnsi"/>
          <w:sz w:val="18"/>
          <w:szCs w:val="18"/>
        </w:rPr>
        <w:t xml:space="preserve"> X</w:t>
      </w:r>
      <w:r w:rsidR="00BD3358">
        <w:rPr>
          <w:rFonts w:cstheme="minorHAnsi"/>
          <w:sz w:val="18"/>
          <w:szCs w:val="18"/>
        </w:rPr>
        <w:t>-ray</w:t>
      </w:r>
      <w:r w:rsidRPr="009345B0">
        <w:rPr>
          <w:rFonts w:cstheme="minorHAnsi"/>
          <w:sz w:val="18"/>
          <w:szCs w:val="18"/>
        </w:rPr>
        <w:t xml:space="preserve"> </w:t>
      </w:r>
      <w:r w:rsidR="00BD3358">
        <w:rPr>
          <w:rFonts w:cstheme="minorHAnsi"/>
          <w:sz w:val="18"/>
          <w:szCs w:val="18"/>
        </w:rPr>
        <w:t>d</w:t>
      </w:r>
      <w:r w:rsidRPr="009345B0">
        <w:rPr>
          <w:rFonts w:cstheme="minorHAnsi"/>
          <w:sz w:val="18"/>
          <w:szCs w:val="18"/>
        </w:rPr>
        <w:t xml:space="preserve">iffractogram of clay particle with ordered interstratification. The </w:t>
      </w:r>
      <w:r w:rsidRPr="00581BFE">
        <w:rPr>
          <w:rFonts w:cstheme="minorHAnsi"/>
          <w:i/>
          <w:iCs/>
          <w:sz w:val="18"/>
          <w:szCs w:val="18"/>
        </w:rPr>
        <w:t>001</w:t>
      </w:r>
      <w:r w:rsidRPr="009345B0">
        <w:rPr>
          <w:rFonts w:cstheme="minorHAnsi"/>
          <w:sz w:val="18"/>
          <w:szCs w:val="18"/>
        </w:rPr>
        <w:t xml:space="preserve"> peak gives d = 22.8 Å, which is a sum of an interlayer with a hydrated </w:t>
      </w:r>
      <m:oMath>
        <m:r>
          <w:rPr>
            <w:rFonts w:ascii="Cambria Math" w:hAnsi="Cambria Math" w:cstheme="minorHAnsi"/>
            <w:sz w:val="18"/>
            <w:szCs w:val="18"/>
          </w:rPr>
          <m:t>N</m:t>
        </m:r>
        <m:sSup>
          <m:sSup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+</m:t>
            </m:r>
          </m:sup>
        </m:sSup>
      </m:oMath>
      <w:r w:rsidRPr="009345B0">
        <w:rPr>
          <w:rFonts w:cstheme="minorHAnsi"/>
          <w:sz w:val="18"/>
          <w:szCs w:val="18"/>
        </w:rPr>
        <w:t xml:space="preserve"> cation (</w:t>
      </w:r>
      <m:oMath>
        <m:r>
          <w:rPr>
            <w:rFonts w:ascii="Cambria Math" w:hAnsi="Cambria Math" w:cstheme="minorHAnsi"/>
            <w:sz w:val="18"/>
            <w:szCs w:val="18"/>
          </w:rPr>
          <m:t>~12.5 Å</m:t>
        </m:r>
      </m:oMath>
      <w:r w:rsidRPr="009345B0">
        <w:rPr>
          <w:rFonts w:cstheme="minorHAnsi"/>
          <w:sz w:val="18"/>
          <w:szCs w:val="18"/>
        </w:rPr>
        <w:t>) and another interlayer w</w:t>
      </w:r>
      <w:r w:rsidRPr="00203812">
        <w:rPr>
          <w:rFonts w:cstheme="minorHAnsi"/>
          <w:sz w:val="18"/>
          <w:szCs w:val="18"/>
        </w:rPr>
        <w:t xml:space="preserve">ith a 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m:t>C</m:t>
        </m:r>
        <m:sSup>
          <m:sSupPr>
            <m:ctrlPr>
              <w:rPr>
                <w:rFonts w:ascii="Cambria Math" w:hAnsi="Cambria Math" w:cstheme="minorHAnsi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18"/>
              </w:rPr>
              <m:t>+</m:t>
            </m:r>
          </m:sup>
        </m:sSup>
      </m:oMath>
      <w:r w:rsidRPr="00203812">
        <w:rPr>
          <w:rFonts w:cstheme="minorHAnsi"/>
          <w:sz w:val="18"/>
          <w:szCs w:val="18"/>
        </w:rPr>
        <w:t xml:space="preserve"> which is not solvated with water (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m:t>~10.1 Å</m:t>
        </m:r>
      </m:oMath>
      <w:r w:rsidRPr="00203812">
        <w:rPr>
          <w:rFonts w:cstheme="minorHAnsi"/>
          <w:sz w:val="18"/>
          <w:szCs w:val="18"/>
        </w:rPr>
        <w:t>).</w:t>
      </w:r>
    </w:p>
    <w:p w14:paraId="75F7547F" w14:textId="77777777" w:rsidR="00146C69" w:rsidRPr="00146C69" w:rsidRDefault="000F251D" w:rsidP="00146C69">
      <w:pPr>
        <w:keepNext/>
        <w:jc w:val="center"/>
        <w:rPr>
          <w:rFonts w:cstheme="minorHAnsi"/>
        </w:rPr>
      </w:pPr>
      <w:r w:rsidRPr="00146C69">
        <w:rPr>
          <w:rFonts w:cstheme="minorHAnsi"/>
          <w:noProof/>
        </w:rPr>
        <w:lastRenderedPageBreak/>
        <w:drawing>
          <wp:inline distT="0" distB="0" distL="0" distR="0" wp14:anchorId="0418EB85" wp14:editId="2A1624C3">
            <wp:extent cx="6224400" cy="1569600"/>
            <wp:effectExtent l="0" t="0" r="5080" b="0"/>
            <wp:docPr id="1928580888" name="Picture 1928580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80888" name="Picture 192858088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" b="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00" cy="15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45736" w14:textId="088BE218" w:rsidR="000F251D" w:rsidRDefault="009345B0" w:rsidP="00BB07EF">
      <w:pPr>
        <w:pStyle w:val="Caption"/>
        <w:jc w:val="center"/>
        <w:rPr>
          <w:rStyle w:val="rynqvb"/>
          <w:rFonts w:eastAsiaTheme="minorEastAsia" w:cstheme="minorHAnsi"/>
          <w:i w:val="0"/>
          <w:iCs w:val="0"/>
          <w:color w:val="auto"/>
          <w:lang w:val="en"/>
        </w:rPr>
      </w:pPr>
      <w:r>
        <w:rPr>
          <w:rFonts w:cstheme="minorHAnsi"/>
          <w:i w:val="0"/>
          <w:iCs w:val="0"/>
          <w:color w:val="auto"/>
        </w:rPr>
        <w:t xml:space="preserve">Fig. </w:t>
      </w:r>
      <w:r w:rsidR="00DC2C66">
        <w:rPr>
          <w:rFonts w:cstheme="minorHAnsi"/>
          <w:i w:val="0"/>
          <w:iCs w:val="0"/>
          <w:color w:val="auto"/>
        </w:rPr>
        <w:t>S</w:t>
      </w:r>
      <w:r w:rsidR="00146C69" w:rsidRPr="00DC2C66">
        <w:rPr>
          <w:rFonts w:cstheme="minorHAnsi"/>
          <w:i w:val="0"/>
          <w:iCs w:val="0"/>
          <w:color w:val="auto"/>
        </w:rPr>
        <w:fldChar w:fldCharType="begin"/>
      </w:r>
      <w:r w:rsidR="00146C69" w:rsidRPr="00DC2C66">
        <w:rPr>
          <w:rFonts w:cstheme="minorHAnsi"/>
          <w:i w:val="0"/>
          <w:iCs w:val="0"/>
          <w:color w:val="auto"/>
        </w:rPr>
        <w:instrText xml:space="preserve"> SEQ Figure \* ARABIC </w:instrText>
      </w:r>
      <w:r w:rsidR="00146C69" w:rsidRPr="00DC2C66">
        <w:rPr>
          <w:rFonts w:cstheme="minorHAnsi"/>
          <w:i w:val="0"/>
          <w:iCs w:val="0"/>
          <w:color w:val="auto"/>
        </w:rPr>
        <w:fldChar w:fldCharType="separate"/>
      </w:r>
      <w:r w:rsidR="00146C69" w:rsidRPr="00DC2C66">
        <w:rPr>
          <w:rFonts w:cstheme="minorHAnsi"/>
          <w:i w:val="0"/>
          <w:iCs w:val="0"/>
          <w:noProof/>
          <w:color w:val="auto"/>
        </w:rPr>
        <w:t>4</w:t>
      </w:r>
      <w:r w:rsidR="00146C69" w:rsidRPr="00DC2C66">
        <w:rPr>
          <w:rFonts w:cstheme="minorHAnsi"/>
          <w:i w:val="0"/>
          <w:iCs w:val="0"/>
          <w:color w:val="auto"/>
        </w:rPr>
        <w:fldChar w:fldCharType="end"/>
      </w:r>
      <w:r w:rsidR="00DC2C66" w:rsidRPr="00DC2C66">
        <w:rPr>
          <w:rFonts w:cstheme="minorHAnsi"/>
          <w:i w:val="0"/>
          <w:iCs w:val="0"/>
          <w:color w:val="auto"/>
        </w:rPr>
        <w:t xml:space="preserve"> - 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Flow behavior of </w:t>
      </w:r>
      <w:r w:rsidR="00BD3358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a 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DBL suspension compared to water. </w:t>
      </w:r>
      <w:r w:rsidR="0020515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The suspensions are turned, s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tarting</w:t>
      </w:r>
      <w:r w:rsidR="0020515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at 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0 ° (vertical)</w:t>
      </w:r>
      <w:r w:rsidR="0020515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,</w:t>
      </w:r>
      <w:r w:rsidR="00F9654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doing a 360</w:t>
      </w:r>
      <w:r w:rsidR="005F5EA8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</w:t>
      </w:r>
      <w:r w:rsidR="00522E5F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°</w:t>
      </w:r>
      <w:r w:rsidR="005F5EA8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rotation and taking pictures every 5 seconds</w:t>
      </w:r>
      <w:r w:rsidR="0020515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.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</w:t>
      </w:r>
      <w:r w:rsidR="00205155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A 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blue DBL </w:t>
      </w:r>
      <w:r w:rsidR="00BD3358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s</w:t>
      </w:r>
      <w:r w:rsidR="00BD3358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uspension</w:t>
      </w:r>
      <w:r w:rsidR="00BD3358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 xml:space="preserve"> </w:t>
      </w:r>
      <w:r w:rsidR="00DC2C66" w:rsidRPr="00DC2C66">
        <w:rPr>
          <w:rStyle w:val="rynqvb"/>
          <w:rFonts w:eastAsiaTheme="minorEastAsia" w:cstheme="minorHAnsi"/>
          <w:i w:val="0"/>
          <w:iCs w:val="0"/>
          <w:color w:val="auto"/>
          <w:lang w:val="en"/>
        </w:rPr>
        <w:t>and pure water sample were rotated to display the liquid behavior, showing that the clay suspension is not in a gel state.</w:t>
      </w:r>
    </w:p>
    <w:p w14:paraId="048F9BCD" w14:textId="4B831539" w:rsidR="00367DFE" w:rsidRDefault="00367DFE" w:rsidP="00367DFE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lang w:val="en"/>
        </w:rPr>
      </w:pPr>
      <w:r w:rsidRPr="00F01620">
        <w:rPr>
          <w:b/>
          <w:bCs/>
          <w:sz w:val="28"/>
          <w:szCs w:val="28"/>
          <w:lang w:val="en"/>
        </w:rPr>
        <w:t>SAXS data</w:t>
      </w:r>
    </w:p>
    <w:p w14:paraId="77D42310" w14:textId="77777777" w:rsidR="00146C69" w:rsidRPr="00146C69" w:rsidRDefault="0022423A" w:rsidP="00146C69">
      <w:pPr>
        <w:keepNext/>
        <w:jc w:val="center"/>
        <w:rPr>
          <w:rFonts w:cstheme="minorHAnsi"/>
        </w:rPr>
      </w:pPr>
      <w:r w:rsidRPr="00146C69">
        <w:rPr>
          <w:rStyle w:val="rynqvb"/>
          <w:rFonts w:cstheme="minorHAnsi"/>
          <w:noProof/>
          <w:sz w:val="18"/>
          <w:szCs w:val="18"/>
        </w:rPr>
        <w:drawing>
          <wp:inline distT="0" distB="0" distL="0" distR="0" wp14:anchorId="38B43CD2" wp14:editId="758E150F">
            <wp:extent cx="5133975" cy="4524375"/>
            <wp:effectExtent l="0" t="0" r="0" b="9525"/>
            <wp:docPr id="177183355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3355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69DC" w14:textId="72EA9962" w:rsidR="00DC2C66" w:rsidRDefault="009345B0" w:rsidP="00BB07EF">
      <w:pPr>
        <w:jc w:val="center"/>
        <w:rPr>
          <w:rStyle w:val="rynqvb"/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Fig. </w:t>
      </w:r>
      <w:r w:rsidR="00DC2C66" w:rsidRPr="00DC2C66">
        <w:rPr>
          <w:rFonts w:cstheme="minorHAnsi"/>
          <w:sz w:val="18"/>
          <w:szCs w:val="18"/>
        </w:rPr>
        <w:t>S</w:t>
      </w:r>
      <w:r w:rsidR="00146C69" w:rsidRPr="00DC2C66">
        <w:rPr>
          <w:rFonts w:cstheme="minorHAnsi"/>
          <w:sz w:val="18"/>
          <w:szCs w:val="18"/>
        </w:rPr>
        <w:fldChar w:fldCharType="begin"/>
      </w:r>
      <w:r w:rsidR="00146C69" w:rsidRPr="00DC2C66">
        <w:rPr>
          <w:rFonts w:cstheme="minorHAnsi"/>
          <w:sz w:val="18"/>
          <w:szCs w:val="18"/>
        </w:rPr>
        <w:instrText xml:space="preserve"> SEQ Figure \* ARABIC </w:instrText>
      </w:r>
      <w:r w:rsidR="00146C69" w:rsidRPr="00DC2C66">
        <w:rPr>
          <w:rFonts w:cstheme="minorHAnsi"/>
          <w:sz w:val="18"/>
          <w:szCs w:val="18"/>
        </w:rPr>
        <w:fldChar w:fldCharType="separate"/>
      </w:r>
      <w:r w:rsidR="00146C69" w:rsidRPr="00DC2C66">
        <w:rPr>
          <w:rFonts w:cstheme="minorHAnsi"/>
          <w:noProof/>
          <w:sz w:val="18"/>
          <w:szCs w:val="18"/>
        </w:rPr>
        <w:t>5</w:t>
      </w:r>
      <w:r w:rsidR="00146C69" w:rsidRPr="00DC2C66">
        <w:rPr>
          <w:rFonts w:cstheme="minorHAnsi"/>
          <w:sz w:val="18"/>
          <w:szCs w:val="18"/>
        </w:rPr>
        <w:fldChar w:fldCharType="end"/>
      </w:r>
      <w:r w:rsidR="00DC2C66" w:rsidRPr="00DC2C66">
        <w:rPr>
          <w:rFonts w:cstheme="minorHAnsi"/>
          <w:sz w:val="18"/>
          <w:szCs w:val="18"/>
        </w:rPr>
        <w:t xml:space="preserve"> </w:t>
      </w:r>
      <w:r w:rsidR="008F78D2">
        <w:rPr>
          <w:rFonts w:cstheme="minorHAnsi"/>
          <w:sz w:val="18"/>
          <w:szCs w:val="18"/>
        </w:rPr>
        <w:t>–</w:t>
      </w:r>
      <w:r w:rsidR="00DC2C66" w:rsidRPr="00DC2C66">
        <w:rPr>
          <w:rFonts w:cstheme="minorHAnsi"/>
          <w:sz w:val="18"/>
          <w:szCs w:val="18"/>
        </w:rPr>
        <w:t xml:space="preserve"> </w:t>
      </w:r>
      <w:r w:rsidR="008F78D2">
        <w:rPr>
          <w:rFonts w:cstheme="minorHAnsi"/>
          <w:sz w:val="18"/>
          <w:szCs w:val="18"/>
        </w:rPr>
        <w:t>Sketch of the e</w:t>
      </w:r>
      <w:r w:rsidR="00DC2C66" w:rsidRPr="00DC2C66">
        <w:rPr>
          <w:rStyle w:val="rynqvb"/>
          <w:rFonts w:cstheme="minorHAnsi"/>
          <w:sz w:val="18"/>
          <w:szCs w:val="18"/>
        </w:rPr>
        <w:t>ffective scattering volume for capillaries.</w:t>
      </w:r>
      <w:r w:rsidR="00DC2C66" w:rsidRPr="00DC2C66">
        <w:rPr>
          <w:rFonts w:cstheme="minorHAnsi"/>
          <w:sz w:val="18"/>
          <w:szCs w:val="18"/>
        </w:rPr>
        <w:t xml:space="preserve"> </w:t>
      </w:r>
      <w:r w:rsidR="00DC2C66" w:rsidRPr="00DC2C66">
        <w:rPr>
          <w:rStyle w:val="rynqvb"/>
          <w:rFonts w:cstheme="minorHAnsi"/>
          <w:sz w:val="18"/>
          <w:szCs w:val="18"/>
        </w:rPr>
        <w:t>The yellow zone represents the main scattering volume in the capillary case, while only a few</w:t>
      </w:r>
      <w:r w:rsidR="00BD3358">
        <w:rPr>
          <w:rStyle w:val="rynqvb"/>
          <w:rFonts w:cstheme="minorHAnsi"/>
          <w:sz w:val="18"/>
          <w:szCs w:val="18"/>
        </w:rPr>
        <w:t xml:space="preserve"> nematic domains </w:t>
      </w:r>
      <w:r w:rsidR="00DC2C66" w:rsidRPr="00DC2C66">
        <w:rPr>
          <w:rStyle w:val="rynqvb"/>
          <w:rFonts w:cstheme="minorHAnsi"/>
          <w:sz w:val="18"/>
          <w:szCs w:val="18"/>
        </w:rPr>
        <w:t>in the red zones contribute to it.</w:t>
      </w:r>
      <w:r w:rsidR="008F78D2">
        <w:rPr>
          <w:rStyle w:val="rynqvb"/>
          <w:rFonts w:cstheme="minorHAnsi"/>
          <w:sz w:val="18"/>
          <w:szCs w:val="18"/>
        </w:rPr>
        <w:t xml:space="preserve"> </w:t>
      </w:r>
      <w:r w:rsidR="00433B06">
        <w:rPr>
          <w:rStyle w:val="rynqvb"/>
          <w:rFonts w:cstheme="minorHAnsi"/>
          <w:sz w:val="18"/>
          <w:szCs w:val="18"/>
        </w:rPr>
        <w:t>Note</w:t>
      </w:r>
      <w:r w:rsidR="008F78D2">
        <w:rPr>
          <w:rStyle w:val="rynqvb"/>
          <w:rFonts w:cstheme="minorHAnsi"/>
          <w:sz w:val="18"/>
          <w:szCs w:val="18"/>
        </w:rPr>
        <w:t xml:space="preserve"> that the </w:t>
      </w:r>
      <w:r w:rsidR="00BD3358">
        <w:rPr>
          <w:rStyle w:val="rynqvb"/>
          <w:rFonts w:cstheme="minorHAnsi"/>
          <w:sz w:val="18"/>
          <w:szCs w:val="18"/>
        </w:rPr>
        <w:t>aspect ratio of nanosheets in coplanar arrangement</w:t>
      </w:r>
      <w:r w:rsidR="008F78D2">
        <w:rPr>
          <w:rStyle w:val="rynqvb"/>
          <w:rFonts w:cstheme="minorHAnsi"/>
          <w:sz w:val="18"/>
          <w:szCs w:val="18"/>
        </w:rPr>
        <w:t xml:space="preserve"> are not to scale</w:t>
      </w:r>
      <w:r w:rsidR="00BD3358">
        <w:rPr>
          <w:rStyle w:val="rynqvb"/>
          <w:rFonts w:cstheme="minorHAnsi"/>
          <w:sz w:val="18"/>
          <w:szCs w:val="18"/>
        </w:rPr>
        <w:t xml:space="preserve"> by fare and that they are shifted relative to each other resembling a nematic phase</w:t>
      </w:r>
      <w:r w:rsidR="008F78D2">
        <w:rPr>
          <w:rStyle w:val="rynqvb"/>
          <w:rFonts w:cstheme="minorHAnsi"/>
          <w:sz w:val="18"/>
          <w:szCs w:val="18"/>
        </w:rPr>
        <w:t>.</w:t>
      </w:r>
    </w:p>
    <w:p w14:paraId="0BDBCAC8" w14:textId="77777777" w:rsidR="00BD3358" w:rsidRDefault="00BD3358" w:rsidP="00BB07E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C17BC87" w14:textId="3AD19EEE" w:rsidR="00DC2C66" w:rsidRPr="009345B0" w:rsidRDefault="00146C69" w:rsidP="00BB07EF">
      <w:pPr>
        <w:jc w:val="center"/>
        <w:rPr>
          <w:rFonts w:cstheme="minorHAnsi"/>
          <w:sz w:val="18"/>
          <w:szCs w:val="18"/>
        </w:rPr>
      </w:pPr>
      <w:r w:rsidRPr="009345B0">
        <w:rPr>
          <w:rFonts w:cstheme="minorHAnsi"/>
          <w:sz w:val="18"/>
          <w:szCs w:val="18"/>
        </w:rPr>
        <w:lastRenderedPageBreak/>
        <w:t xml:space="preserve">Table </w:t>
      </w:r>
      <w:r w:rsidR="00DC2C66" w:rsidRPr="009345B0">
        <w:rPr>
          <w:rFonts w:cstheme="minorHAnsi"/>
          <w:sz w:val="18"/>
          <w:szCs w:val="18"/>
        </w:rPr>
        <w:t>S</w:t>
      </w:r>
      <w:r w:rsidRPr="009345B0">
        <w:rPr>
          <w:rFonts w:cstheme="minorHAnsi"/>
          <w:sz w:val="18"/>
          <w:szCs w:val="18"/>
        </w:rPr>
        <w:fldChar w:fldCharType="begin"/>
      </w:r>
      <w:r w:rsidRPr="009345B0">
        <w:rPr>
          <w:rFonts w:cstheme="minorHAnsi"/>
          <w:sz w:val="18"/>
          <w:szCs w:val="18"/>
        </w:rPr>
        <w:instrText xml:space="preserve"> SEQ Table \* ARABIC </w:instrText>
      </w:r>
      <w:r w:rsidRPr="009345B0">
        <w:rPr>
          <w:rFonts w:cstheme="minorHAnsi"/>
          <w:sz w:val="18"/>
          <w:szCs w:val="18"/>
        </w:rPr>
        <w:fldChar w:fldCharType="separate"/>
      </w:r>
      <w:r w:rsidRPr="009345B0">
        <w:rPr>
          <w:rFonts w:cstheme="minorHAnsi"/>
          <w:noProof/>
          <w:sz w:val="18"/>
          <w:szCs w:val="18"/>
        </w:rPr>
        <w:t>1</w:t>
      </w:r>
      <w:r w:rsidRPr="009345B0">
        <w:rPr>
          <w:rFonts w:cstheme="minorHAnsi"/>
          <w:sz w:val="18"/>
          <w:szCs w:val="18"/>
        </w:rPr>
        <w:fldChar w:fldCharType="end"/>
      </w:r>
      <w:r w:rsidR="00DC2C66" w:rsidRPr="009345B0">
        <w:rPr>
          <w:rStyle w:val="rynqvb"/>
          <w:rFonts w:cstheme="minorHAnsi"/>
          <w:sz w:val="18"/>
          <w:szCs w:val="18"/>
        </w:rPr>
        <w:t xml:space="preserve"> - Fit results for DBL and SGL suspensions for different </w:t>
      </w:r>
      <w:r w:rsidR="00DC2C66" w:rsidRPr="009345B0">
        <w:rPr>
          <w:rStyle w:val="rynqvb"/>
          <w:rFonts w:eastAsiaTheme="minorEastAsia" w:cstheme="minorHAnsi"/>
          <w:sz w:val="18"/>
          <w:szCs w:val="18"/>
        </w:rPr>
        <w:t>ϕ values</w:t>
      </w:r>
      <w:r w:rsidR="00DC2C66" w:rsidRPr="009345B0">
        <w:rPr>
          <w:rStyle w:val="rynqvb"/>
          <w:rFonts w:cstheme="minorHAnsi"/>
          <w:sz w:val="18"/>
          <w:szCs w:val="18"/>
        </w:rPr>
        <w:t xml:space="preserve"> and the two container geometries. T</w:t>
      </w:r>
      <w:r w:rsidR="00DC2C66" w:rsidRPr="009345B0">
        <w:rPr>
          <w:rStyle w:val="rynqvb"/>
          <w:rFonts w:eastAsiaTheme="minorEastAsia" w:cstheme="minorHAnsi"/>
          <w:sz w:val="18"/>
          <w:szCs w:val="18"/>
        </w:rPr>
        <w:t xml:space="preserve">heir d-spacing d, </w:t>
      </w:r>
      <w:r w:rsidR="00DC2C66" w:rsidRPr="009345B0">
        <w:rPr>
          <w:rStyle w:val="rynqvb"/>
          <w:rFonts w:cstheme="minorHAnsi"/>
          <w:sz w:val="18"/>
          <w:szCs w:val="18"/>
        </w:rPr>
        <w:t xml:space="preserve">the d-spacing displacement </w:t>
      </w:r>
      <w:r w:rsidR="00DC2C66" w:rsidRPr="009345B0">
        <w:rPr>
          <w:rStyle w:val="rynqvb"/>
          <w:rFonts w:eastAsiaTheme="minorEastAsia" w:cstheme="minorHAnsi"/>
          <w:sz w:val="18"/>
          <w:szCs w:val="18"/>
        </w:rPr>
        <w:t xml:space="preserve">Δd and coherence length </w:t>
      </w:r>
      <w:r w:rsidR="00DC2C66" w:rsidRPr="009345B0">
        <w:rPr>
          <w:rStyle w:val="rynqvb"/>
          <w:rFonts w:cstheme="minorHAnsi"/>
          <w:sz w:val="18"/>
          <w:szCs w:val="18"/>
        </w:rPr>
        <w:t>obtained from the fitting in Scatter.</w:t>
      </w:r>
      <w:r w:rsidR="00506985">
        <w:rPr>
          <w:rStyle w:val="rynqvb"/>
          <w:rFonts w:cstheme="minorHAnsi"/>
          <w:sz w:val="18"/>
          <w:szCs w:val="18"/>
        </w:rPr>
        <w:t xml:space="preserve"> </w:t>
      </w:r>
      <w:r w:rsidR="006611FF">
        <w:rPr>
          <w:rStyle w:val="rynqvb"/>
          <w:rFonts w:cstheme="minorHAnsi"/>
          <w:sz w:val="18"/>
          <w:szCs w:val="18"/>
        </w:rPr>
        <w:t>The standard error is assumed to be 1% for all the model parameters.</w:t>
      </w:r>
    </w:p>
    <w:tbl>
      <w:tblPr>
        <w:tblStyle w:val="TableGrid"/>
        <w:tblW w:w="10736" w:type="dxa"/>
        <w:jc w:val="center"/>
        <w:tblLook w:val="04A0" w:firstRow="1" w:lastRow="0" w:firstColumn="1" w:lastColumn="0" w:noHBand="0" w:noVBand="1"/>
      </w:tblPr>
      <w:tblGrid>
        <w:gridCol w:w="1390"/>
        <w:gridCol w:w="1134"/>
        <w:gridCol w:w="1134"/>
        <w:gridCol w:w="1218"/>
        <w:gridCol w:w="1465"/>
        <w:gridCol w:w="1465"/>
        <w:gridCol w:w="1465"/>
        <w:gridCol w:w="1465"/>
      </w:tblGrid>
      <w:tr w:rsidR="00994A2D" w:rsidRPr="00146C69" w14:paraId="527D84C9" w14:textId="4F1FAC81" w:rsidTr="00AC03D3">
        <w:trPr>
          <w:jc w:val="center"/>
        </w:trPr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36364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>Sample Name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68D46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eastAsiaTheme="minorEastAsia" w:cstheme="minorHAnsi"/>
                <w:b/>
              </w:rPr>
              <w:t>ϕ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AA8FC0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>Container Type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598207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</w:rPr>
            </w:pPr>
            <w:r w:rsidRPr="00146C69">
              <w:rPr>
                <w:rStyle w:val="rynqvb"/>
                <w:rFonts w:eastAsiaTheme="minorEastAsia" w:cstheme="minorHAnsi"/>
                <w:b/>
              </w:rPr>
              <w:t>d (nm)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DE391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</w:p>
          <w:p w14:paraId="1741B699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 xml:space="preserve">Displacement </w:t>
            </w:r>
            <w:r w:rsidRPr="00146C69">
              <w:rPr>
                <w:rStyle w:val="rynqvb"/>
                <w:rFonts w:eastAsiaTheme="minorEastAsia" w:cstheme="minorHAnsi"/>
                <w:b/>
              </w:rPr>
              <w:t>Δd</w:t>
            </w:r>
          </w:p>
          <w:p w14:paraId="4F06D3BD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eastAsiaTheme="minorEastAsia" w:cstheme="minorHAnsi"/>
                <w:b/>
              </w:rPr>
              <w:t>(</w:t>
            </w:r>
            <w:r w:rsidRPr="00146C69">
              <w:rPr>
                <w:rStyle w:val="rynqvb"/>
                <w:rFonts w:eastAsiaTheme="minorEastAsia" w:cstheme="minorHAnsi"/>
                <w:b/>
                <w:bCs/>
              </w:rPr>
              <w:t>nm</w:t>
            </w:r>
            <w:r w:rsidRPr="00146C69">
              <w:rPr>
                <w:rStyle w:val="rynqvb"/>
                <w:rFonts w:eastAsiaTheme="minorEastAsia" w:cstheme="minorHAnsi"/>
                <w:b/>
              </w:rPr>
              <w:t>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47A17B" w14:textId="70140B6A" w:rsidR="009D5D82" w:rsidRPr="00146C69" w:rsidRDefault="00994A2D" w:rsidP="00994A2D">
            <w:pPr>
              <w:jc w:val="center"/>
              <w:rPr>
                <w:rStyle w:val="rynqvb"/>
                <w:rFonts w:eastAsiaTheme="minorEastAsia" w:cstheme="minorHAnsi"/>
                <w:b/>
                <w:bCs/>
                <w:i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 xml:space="preserve">Relative displacement </w:t>
            </w:r>
            <m:oMath>
              <m:r>
                <m:rPr>
                  <m:sty m:val="bi"/>
                </m:rPr>
                <w:rPr>
                  <w:rStyle w:val="rynqvb"/>
                  <w:rFonts w:ascii="Cambria Math" w:hAnsi="Cambria Math" w:cstheme="minorHAnsi"/>
                </w:rPr>
                <m:t>(</m:t>
              </m:r>
              <m:f>
                <m:fPr>
                  <m:ctrlPr>
                    <w:rPr>
                      <w:rStyle w:val="rynqvb"/>
                      <w:rFonts w:ascii="Cambria Math" w:hAnsi="Cambria Math" w:cstheme="minorHAnsi"/>
                      <w:b/>
                      <w:bCs/>
                      <w:i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rynqvb"/>
                      <w:rFonts w:ascii="Cambria Math" w:hAnsi="Cambria Math" w:cstheme="minorHAnsi"/>
                    </w:rPr>
                    <m:t>Δ</m:t>
                  </m:r>
                  <m:r>
                    <m:rPr>
                      <m:sty m:val="bi"/>
                    </m:rPr>
                    <w:rPr>
                      <w:rStyle w:val="rynqvb"/>
                      <w:rFonts w:ascii="Cambria Math" w:hAnsi="Cambria Math" w:cstheme="minorHAnsi"/>
                    </w:rPr>
                    <m:t>d</m:t>
                  </m:r>
                </m:num>
                <m:den>
                  <m:r>
                    <m:rPr>
                      <m:sty m:val="b"/>
                    </m:rPr>
                    <w:rPr>
                      <w:rStyle w:val="rynqvb"/>
                      <w:rFonts w:ascii="Cambria Math" w:hAnsi="Cambria Math" w:cstheme="minorHAnsi"/>
                    </w:rPr>
                    <m:t>d</m:t>
                  </m:r>
                </m:den>
              </m:f>
              <m:r>
                <m:rPr>
                  <m:sty m:val="b"/>
                </m:rPr>
                <w:rPr>
                  <w:rStyle w:val="rynqvb"/>
                  <w:rFonts w:ascii="Cambria Math" w:hAnsi="Cambria Math" w:cstheme="minorHAnsi"/>
                </w:rPr>
                <m:t>*100</m:t>
              </m:r>
              <m:r>
                <m:rPr>
                  <m:sty m:val="bi"/>
                </m:rPr>
                <w:rPr>
                  <w:rStyle w:val="rynqvb"/>
                  <w:rFonts w:ascii="Cambria Math" w:hAnsi="Cambria Math" w:cstheme="minorHAnsi"/>
                </w:rPr>
                <m:t>)</m:t>
              </m:r>
            </m:oMath>
          </w:p>
          <w:p w14:paraId="0070702B" w14:textId="490AA647" w:rsidR="00994A2D" w:rsidRPr="00146C69" w:rsidRDefault="00994A2D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eastAsiaTheme="minorEastAsia" w:cstheme="minorHAnsi"/>
                <w:b/>
              </w:rPr>
              <w:t>(%)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75CD11" w14:textId="5F9B4474" w:rsidR="00994A2D" w:rsidRPr="00146C69" w:rsidRDefault="00680855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>Ideal c</w:t>
            </w:r>
            <w:r w:rsidR="00994A2D" w:rsidRPr="00146C69">
              <w:rPr>
                <w:rStyle w:val="rynqvb"/>
                <w:rFonts w:cstheme="minorHAnsi"/>
                <w:b/>
                <w:bCs/>
              </w:rPr>
              <w:t xml:space="preserve">oherence length </w:t>
            </w:r>
            <m:oMath>
              <m:r>
                <m:rPr>
                  <m:sty m:val="b"/>
                </m:rPr>
                <w:rPr>
                  <w:rStyle w:val="rynqvb"/>
                  <w:rFonts w:ascii="Cambria Math" w:hAnsi="Cambria Math" w:cstheme="minorHAnsi"/>
                </w:rPr>
                <m:t>ξ</m:t>
              </m:r>
            </m:oMath>
            <w:r w:rsidR="00994A2D" w:rsidRPr="00146C69">
              <w:rPr>
                <w:rStyle w:val="rynqvb"/>
                <w:rFonts w:cstheme="minorHAnsi"/>
                <w:b/>
                <w:bCs/>
              </w:rPr>
              <w:t xml:space="preserve"> </w:t>
            </w:r>
            <m:oMath>
              <m:r>
                <w:rPr>
                  <w:rStyle w:val="rynqvb"/>
                  <w:rFonts w:ascii="Cambria Math" w:hAnsi="Cambria Math" w:cstheme="minorHAnsi"/>
                </w:rPr>
                <m:t>=</m:t>
              </m:r>
              <m:f>
                <m:fPr>
                  <m:ctrlPr>
                    <w:rPr>
                      <w:rStyle w:val="rynqvb"/>
                      <w:rFonts w:ascii="Cambria Math" w:hAnsi="Cambria Math" w:cstheme="minorHAnsi"/>
                      <w:b/>
                      <w:bCs/>
                      <w:iCs/>
                    </w:rPr>
                  </m:ctrlPr>
                </m:fPr>
                <m:num>
                  <m:sSup>
                    <m:sSupPr>
                      <m:ctrlPr>
                        <w:rPr>
                          <w:rStyle w:val="rynqvb"/>
                          <w:rFonts w:ascii="Cambria Math" w:hAnsi="Cambria Math" w:cstheme="minorHAnsi"/>
                          <w:b/>
                          <w:bCs/>
                          <w:i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Style w:val="rynqvb"/>
                          <w:rFonts w:ascii="Cambria Math" w:hAnsi="Cambria Math" w:cstheme="minorHAnsi"/>
                        </w:rPr>
                        <m:t>d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Style w:val="rynqvb"/>
                          <w:rFonts w:ascii="Cambria Math" w:hAnsi="Cambria Math" w:cstheme="minorHAnsi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"/>
                    </m:rPr>
                    <w:rPr>
                      <w:rStyle w:val="rynqvb"/>
                      <w:rFonts w:ascii="Cambria Math" w:hAnsi="Cambria Math" w:cstheme="minorHAnsi"/>
                    </w:rPr>
                    <m:t>Δd</m:t>
                  </m:r>
                </m:den>
              </m:f>
            </m:oMath>
            <w:r w:rsidR="00994A2D" w:rsidRPr="00146C69">
              <w:rPr>
                <w:rStyle w:val="rynqvb"/>
                <w:rFonts w:cstheme="minorHAnsi"/>
                <w:b/>
                <w:bCs/>
              </w:rPr>
              <w:t xml:space="preserve"> (nm)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49CC7A" w14:textId="6CBDB9A5" w:rsidR="00994A2D" w:rsidRPr="00146C69" w:rsidRDefault="008C4952" w:rsidP="00994A2D">
            <w:pPr>
              <w:jc w:val="center"/>
              <w:rPr>
                <w:rStyle w:val="rynqvb"/>
                <w:rFonts w:cstheme="minorHAnsi"/>
                <w:b/>
                <w:bCs/>
              </w:rPr>
            </w:pPr>
            <w:r w:rsidRPr="00146C69">
              <w:rPr>
                <w:rStyle w:val="rynqvb"/>
                <w:rFonts w:cstheme="minorHAnsi"/>
                <w:b/>
                <w:bCs/>
              </w:rPr>
              <w:t>Correlation</w:t>
            </w:r>
            <w:r w:rsidR="00994A2D" w:rsidRPr="00146C69">
              <w:rPr>
                <w:rStyle w:val="rynqvb"/>
                <w:rFonts w:cstheme="minorHAnsi"/>
                <w:b/>
                <w:bCs/>
              </w:rPr>
              <w:t xml:space="preserve"> </w:t>
            </w:r>
            <w:r w:rsidRPr="00146C69">
              <w:rPr>
                <w:rStyle w:val="rynqvb"/>
                <w:rFonts w:cstheme="minorHAnsi"/>
                <w:b/>
                <w:bCs/>
              </w:rPr>
              <w:t xml:space="preserve">length </w:t>
            </w:r>
            <w:r w:rsidR="005422A8" w:rsidRPr="00146C69">
              <w:rPr>
                <w:rStyle w:val="rynqvb"/>
                <w:rFonts w:eastAsiaTheme="minorEastAsia" w:cstheme="minorHAnsi"/>
                <w:b/>
                <w:bCs/>
              </w:rPr>
              <w:t>after melting</w:t>
            </w:r>
            <w:r w:rsidR="0079672C">
              <w:rPr>
                <w:rStyle w:val="rynqvb"/>
                <w:rFonts w:eastAsiaTheme="minorEastAsia" w:cstheme="minorHAnsi"/>
                <w:b/>
                <w:bCs/>
              </w:rPr>
              <w:t xml:space="preserve"> </w:t>
            </w:r>
            <w:r w:rsidR="0079672C" w:rsidRPr="00146C69">
              <w:rPr>
                <w:rStyle w:val="rynqvb"/>
                <w:rFonts w:eastAsiaTheme="minorEastAsia" w:cstheme="minorHAnsi"/>
                <w:b/>
                <w:bCs/>
              </w:rPr>
              <w:t>(nm)</w:t>
            </w:r>
          </w:p>
        </w:tc>
      </w:tr>
      <w:tr w:rsidR="00994A2D" w:rsidRPr="00146C69" w14:paraId="33009ED8" w14:textId="3C4C1D40" w:rsidTr="00AC03D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5BFC12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Blue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7E20B57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D9E96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DC550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148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6B7FA37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586811" w14:textId="6120190E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13.5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23B0114" w14:textId="76AEA763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1095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06DAB0" w14:textId="1D9B8380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237</w:t>
            </w:r>
          </w:p>
        </w:tc>
      </w:tr>
      <w:tr w:rsidR="00994A2D" w:rsidRPr="00146C69" w14:paraId="1017F617" w14:textId="2C02FE57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A93D2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Blue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165A07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1.15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A4336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12EC2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152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EB8E8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43B30" w14:textId="276E19D6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13.2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3EAD13" w14:textId="5F656583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1155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083F" w14:textId="7A1F8279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260</w:t>
            </w:r>
          </w:p>
        </w:tc>
      </w:tr>
      <w:tr w:rsidR="00994A2D" w:rsidRPr="00146C69" w14:paraId="305303DF" w14:textId="3F6A9B8C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487EA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Green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22FFCF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08C5A8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3AFC6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177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1CB0E94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20.7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29232" w14:textId="45E1E1DC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11.7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3D00522" w14:textId="790BC1B1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1513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B20D4" w14:textId="68F6A75E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300</w:t>
            </w:r>
          </w:p>
        </w:tc>
      </w:tr>
      <w:tr w:rsidR="00994A2D" w:rsidRPr="00146C69" w14:paraId="43777361" w14:textId="688384B1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86058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Green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125041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B6EA1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FE2C3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5B4F99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19.5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25BC7" w14:textId="05A29AD4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10.3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19B20C" w14:textId="5ABDD648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1832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964B1" w14:textId="13AA9C13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365</w:t>
            </w:r>
          </w:p>
        </w:tc>
      </w:tr>
      <w:tr w:rsidR="00994A2D" w:rsidRPr="00146C69" w14:paraId="183D0523" w14:textId="493276C2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9224E8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Orange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99EBBDC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99D01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D20FF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213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1BCA891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26.3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BE1541" w14:textId="4A1A6BB1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12.3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F730DD9" w14:textId="19475CC1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1725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9B9120" w14:textId="1E2FDF2D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369</w:t>
            </w:r>
          </w:p>
        </w:tc>
      </w:tr>
      <w:tr w:rsidR="00994A2D" w:rsidRPr="00146C69" w14:paraId="49F20A52" w14:textId="15A2C8F9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ACB5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DBL Orange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585260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D1181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599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242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FFB5DA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20C94" w14:textId="72A23360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10.3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BE1D59" w14:textId="02DAD7B6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2342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5DC43" w14:textId="7F418AB9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500</w:t>
            </w:r>
          </w:p>
        </w:tc>
      </w:tr>
      <w:tr w:rsidR="00994A2D" w:rsidRPr="00146C69" w14:paraId="410F7E3F" w14:textId="1B466FB7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82B943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Blue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30A387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265554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A42E4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150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4909E41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173EBF" w14:textId="5399CE0E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16.0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A2CCA5B" w14:textId="54F3552B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937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14077E" w14:textId="4F3A45EA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300</w:t>
            </w:r>
          </w:p>
        </w:tc>
      </w:tr>
      <w:tr w:rsidR="00994A2D" w:rsidRPr="00146C69" w14:paraId="3674516F" w14:textId="28B2DC73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B13E0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Blue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E63BC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16052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907C0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158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1B220C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05B12" w14:textId="4E82C361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17.7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2BD71C" w14:textId="315BBB62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891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60346" w14:textId="69B5F07A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320</w:t>
            </w:r>
          </w:p>
        </w:tc>
      </w:tr>
      <w:tr w:rsidR="00994A2D" w:rsidRPr="00146C69" w14:paraId="313B0A02" w14:textId="34A0D278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64ECE9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Green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5E17B76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4A4F63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D4438F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165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930A06F" w14:textId="72155DE0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B2514E" w14:textId="098E4758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21.2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A90D0E4" w14:textId="7C800E52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919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87BA36" w14:textId="0C54E1CC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350</w:t>
            </w:r>
          </w:p>
        </w:tc>
      </w:tr>
      <w:tr w:rsidR="00994A2D" w:rsidRPr="00146C69" w14:paraId="5B7541EE" w14:textId="34D203D4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BB9B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Green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110DF5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12D5E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66648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192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CED12A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10AB0" w14:textId="3253AC0C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15.1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0F8F9D" w14:textId="55DA8DDC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1271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B1F83" w14:textId="24B5FBD0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400</w:t>
            </w:r>
          </w:p>
        </w:tc>
      </w:tr>
      <w:tr w:rsidR="00994A2D" w:rsidRPr="00146C69" w14:paraId="7F3185D1" w14:textId="71EA8148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6F3263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Orange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0ECC6A0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8CA69D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Capillary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E0C19B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213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57038B8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47.3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41B587" w14:textId="4EFC2139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22.2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C5AD1FF" w14:textId="54877934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959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3CA36B" w14:textId="5CD7366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400</w:t>
            </w:r>
          </w:p>
        </w:tc>
      </w:tr>
      <w:tr w:rsidR="00994A2D" w:rsidRPr="00146C69" w14:paraId="5ED38119" w14:textId="5420711B" w:rsidTr="00AC03D3">
        <w:trPr>
          <w:jc w:val="center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7B0FE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SGL Orange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DC2BC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0.28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4848E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Cuvette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E28C3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245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E66E7" w14:textId="77777777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43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B9528" w14:textId="399371E2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17.5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D5D99" w14:textId="744B6F59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1395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E903F" w14:textId="43EB919B" w:rsidR="00994A2D" w:rsidRPr="00146C69" w:rsidRDefault="00994A2D" w:rsidP="00994A2D">
            <w:pPr>
              <w:jc w:val="center"/>
              <w:rPr>
                <w:rStyle w:val="rynqvb"/>
                <w:rFonts w:cstheme="minorHAnsi"/>
              </w:rPr>
            </w:pPr>
            <w:r w:rsidRPr="00146C69">
              <w:rPr>
                <w:rStyle w:val="rynqvb"/>
                <w:rFonts w:cstheme="minorHAnsi"/>
              </w:rPr>
              <w:t>450</w:t>
            </w:r>
          </w:p>
        </w:tc>
      </w:tr>
    </w:tbl>
    <w:p w14:paraId="3093B914" w14:textId="77777777" w:rsidR="00267280" w:rsidRDefault="00267280" w:rsidP="00F01620">
      <w:pPr>
        <w:rPr>
          <w:rFonts w:eastAsiaTheme="minorEastAsia"/>
          <w:b/>
        </w:rPr>
      </w:pPr>
    </w:p>
    <w:p w14:paraId="374190E6" w14:textId="3CA211DA" w:rsidR="00E15F64" w:rsidRPr="005C7E40" w:rsidRDefault="009A11C1" w:rsidP="00F01620">
      <w:pPr>
        <w:rPr>
          <w:rFonts w:cstheme="minorHAnsi"/>
          <w:b/>
          <w:bCs/>
          <w:lang w:val="nb-NO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SasView</m:t>
        </m:r>
        <m:r>
          <m:rPr>
            <m:sty m:val="bi"/>
          </m:rPr>
          <w:rPr>
            <w:rFonts w:ascii="Cambria Math" w:hAnsi="Cambria Math" w:cstheme="minorHAnsi"/>
            <w:lang w:val="nb-NO"/>
          </w:rPr>
          <m:t xml:space="preserve"> </m:t>
        </m:r>
        <m:r>
          <m:rPr>
            <m:sty m:val="bi"/>
          </m:rPr>
          <w:rPr>
            <w:rFonts w:ascii="Cambria Math" w:hAnsi="Cambria Math" w:cstheme="minorHAnsi"/>
          </w:rPr>
          <m:t>5</m:t>
        </m:r>
        <m:r>
          <m:rPr>
            <m:sty m:val="bi"/>
          </m:rPr>
          <w:rPr>
            <w:rFonts w:ascii="Cambria Math" w:hAnsi="Cambria Math" w:cstheme="minorHAnsi"/>
            <w:lang w:val="nb-NO"/>
          </w:rPr>
          <m:t>.</m:t>
        </m:r>
        <m:r>
          <m:rPr>
            <m:sty m:val="bi"/>
          </m:rPr>
          <w:rPr>
            <w:rFonts w:ascii="Cambria Math" w:hAnsi="Cambria Math" w:cstheme="minorHAnsi"/>
          </w:rPr>
          <m:t>0</m:t>
        </m:r>
        <m:r>
          <m:rPr>
            <m:sty m:val="bi"/>
          </m:rPr>
          <w:rPr>
            <w:rFonts w:ascii="Cambria Math" w:hAnsi="Cambria Math" w:cstheme="minorHAnsi"/>
            <w:lang w:val="nb-NO"/>
          </w:rPr>
          <m:t>.</m:t>
        </m:r>
        <m:r>
          <m:rPr>
            <m:sty m:val="bi"/>
          </m:rPr>
          <w:rPr>
            <w:rFonts w:ascii="Cambria Math" w:hAnsi="Cambria Math" w:cstheme="minorHAnsi"/>
          </w:rPr>
          <m:t>4</m:t>
        </m:r>
      </m:oMath>
      <w:r w:rsidR="00261AB2" w:rsidRPr="005C7E40">
        <w:rPr>
          <w:rFonts w:cstheme="minorHAnsi"/>
          <w:b/>
          <w:bCs/>
          <w:lang w:val="nb-NO"/>
        </w:rPr>
        <w:t xml:space="preserve"> </w:t>
      </w:r>
    </w:p>
    <w:p w14:paraId="3CD2B4BD" w14:textId="2D0B488D" w:rsidR="001C202F" w:rsidRPr="00146C69" w:rsidRDefault="00EB3805" w:rsidP="001C202F">
      <w:pPr>
        <w:jc w:val="both"/>
        <w:rPr>
          <w:rStyle w:val="rynqvb"/>
          <w:rFonts w:cstheme="minorHAnsi"/>
        </w:rPr>
      </w:pPr>
      <w:r w:rsidRPr="00146C69">
        <w:rPr>
          <w:rStyle w:val="rynqvb"/>
          <w:rFonts w:cstheme="minorHAnsi"/>
          <w:lang w:val="en"/>
        </w:rPr>
        <w:t xml:space="preserve">Since a </w:t>
      </w:r>
      <w:r w:rsidR="008363A3" w:rsidRPr="00146C69">
        <w:rPr>
          <w:rStyle w:val="rynqvb"/>
          <w:rFonts w:cstheme="minorHAnsi"/>
          <w:lang w:val="en"/>
        </w:rPr>
        <w:t xml:space="preserve">proper </w:t>
      </w:r>
      <w:r w:rsidRPr="00146C69">
        <w:rPr>
          <w:rStyle w:val="rynqvb"/>
          <w:rFonts w:cstheme="minorHAnsi"/>
          <w:lang w:val="en"/>
        </w:rPr>
        <w:t>model did not</w:t>
      </w:r>
      <w:r w:rsidR="008363A3" w:rsidRPr="00146C69">
        <w:rPr>
          <w:rStyle w:val="rynqvb"/>
          <w:rFonts w:cstheme="minorHAnsi"/>
          <w:lang w:val="en"/>
        </w:rPr>
        <w:t xml:space="preserve"> previously </w:t>
      </w:r>
      <w:r w:rsidRPr="00146C69">
        <w:rPr>
          <w:rStyle w:val="rynqvb"/>
          <w:rFonts w:cstheme="minorHAnsi"/>
          <w:lang w:val="en"/>
        </w:rPr>
        <w:t>exist</w:t>
      </w:r>
      <w:r w:rsidR="008363A3" w:rsidRPr="00146C69">
        <w:rPr>
          <w:rStyle w:val="rynqvb"/>
          <w:rFonts w:cstheme="minorHAnsi"/>
          <w:lang w:val="en"/>
        </w:rPr>
        <w:t xml:space="preserve"> on the software’s list</w:t>
      </w:r>
      <w:r w:rsidRPr="00146C69">
        <w:rPr>
          <w:rStyle w:val="rynqvb"/>
          <w:rFonts w:cstheme="minorHAnsi"/>
          <w:lang w:val="en"/>
        </w:rPr>
        <w:t>,</w:t>
      </w:r>
      <w:r w:rsidR="001C202F" w:rsidRPr="00146C69">
        <w:rPr>
          <w:rStyle w:val="rynqvb"/>
          <w:rFonts w:cstheme="minorHAnsi"/>
        </w:rPr>
        <w:t xml:space="preserve"> a combination of two different models </w:t>
      </w:r>
      <w:r w:rsidRPr="00146C69">
        <w:rPr>
          <w:rStyle w:val="rynqvb"/>
          <w:rFonts w:cstheme="minorHAnsi"/>
        </w:rPr>
        <w:t xml:space="preserve">was </w:t>
      </w:r>
      <w:r w:rsidR="00BD3358">
        <w:rPr>
          <w:rStyle w:val="rynqvb"/>
          <w:rFonts w:cstheme="minorHAnsi"/>
        </w:rPr>
        <w:t>applied</w:t>
      </w:r>
      <w:r w:rsidR="008363A3" w:rsidRPr="00146C69">
        <w:rPr>
          <w:rStyle w:val="rynqvb"/>
          <w:rFonts w:cstheme="minorHAnsi"/>
        </w:rPr>
        <w:t>.</w:t>
      </w:r>
      <w:r w:rsidR="001C202F" w:rsidRPr="00146C69">
        <w:rPr>
          <w:rStyle w:val="rynqvb"/>
          <w:rFonts w:cstheme="minorHAnsi"/>
        </w:rPr>
        <w:t xml:space="preserve"> </w:t>
      </w:r>
      <w:r w:rsidR="008363A3" w:rsidRPr="00146C69">
        <w:rPr>
          <w:rStyle w:val="rynqvb"/>
          <w:rFonts w:cstheme="minorHAnsi"/>
        </w:rPr>
        <w:t>T</w:t>
      </w:r>
      <w:r w:rsidR="001C202F" w:rsidRPr="00146C69">
        <w:rPr>
          <w:rStyle w:val="rynqvb"/>
          <w:rFonts w:cstheme="minorHAnsi"/>
        </w:rPr>
        <w:t>he first</w:t>
      </w:r>
      <w:r w:rsidR="008363A3" w:rsidRPr="00146C69">
        <w:rPr>
          <w:rStyle w:val="rynqvb"/>
          <w:rFonts w:cstheme="minorHAnsi"/>
        </w:rPr>
        <w:t xml:space="preserve"> model</w:t>
      </w:r>
      <w:r w:rsidR="001C202F" w:rsidRPr="00146C69">
        <w:rPr>
          <w:rStyle w:val="rynqvb"/>
          <w:rFonts w:cstheme="minorHAnsi"/>
        </w:rPr>
        <w:t xml:space="preserve"> being the “Power Law” representing the form factor contribution from the nematically ordered coherent sub-domains, and the second</w:t>
      </w:r>
      <w:r w:rsidR="008363A3" w:rsidRPr="00146C69">
        <w:rPr>
          <w:rStyle w:val="rynqvb"/>
          <w:rFonts w:cstheme="minorHAnsi"/>
        </w:rPr>
        <w:t xml:space="preserve"> model</w:t>
      </w:r>
      <w:r w:rsidR="001C202F" w:rsidRPr="00146C69">
        <w:rPr>
          <w:rStyle w:val="rynqvb"/>
          <w:rFonts w:cstheme="minorHAnsi"/>
        </w:rPr>
        <w:t xml:space="preserve"> being the “Lamellar Stack Paracrystal”, representing the scattering (form factor and structure factor) from the </w:t>
      </w:r>
      <w:r w:rsidR="00502DF3" w:rsidRPr="00146C69">
        <w:rPr>
          <w:rStyle w:val="rynqvb"/>
          <w:rFonts w:cstheme="minorHAnsi"/>
        </w:rPr>
        <w:t>lamellar</w:t>
      </w:r>
      <w:r w:rsidR="001C202F" w:rsidRPr="00146C69">
        <w:rPr>
          <w:rStyle w:val="rynqvb"/>
          <w:rFonts w:cstheme="minorHAnsi"/>
        </w:rPr>
        <w:t xml:space="preserve"> ordering internally in the coherent sub-domains. Within the investigated q-range the clay layers have infinite lateral dimensions. This gives a final scattering intensity:</w:t>
      </w:r>
    </w:p>
    <w:p w14:paraId="7A6C7A78" w14:textId="77777777" w:rsidR="001C202F" w:rsidRPr="00146C69" w:rsidRDefault="001C202F" w:rsidP="001C202F">
      <w:pPr>
        <w:ind w:left="360"/>
        <w:rPr>
          <w:rStyle w:val="rynqvb"/>
          <w:rFonts w:eastAsiaTheme="minorEastAsia" w:cstheme="minorHAnsi"/>
        </w:rPr>
      </w:pPr>
      <m:oMathPara>
        <m:oMath>
          <m:r>
            <w:rPr>
              <w:rStyle w:val="rynqvb"/>
              <w:rFonts w:ascii="Cambria Math" w:eastAsiaTheme="minorEastAsia" w:hAnsi="Cambria Math" w:cstheme="minorHAnsi"/>
            </w:rPr>
            <m:t>I</m:t>
          </m:r>
          <m:d>
            <m:dPr>
              <m:ctrlPr>
                <w:rPr>
                  <w:rStyle w:val="rynqvb"/>
                  <w:rFonts w:ascii="Cambria Math" w:eastAsiaTheme="minorEastAsia" w:hAnsi="Cambria Math" w:cstheme="minorHAnsi"/>
                  <w:i/>
                </w:rPr>
              </m:ctrlPr>
            </m:dPr>
            <m:e>
              <m:r>
                <w:rPr>
                  <w:rStyle w:val="rynqvb"/>
                  <w:rFonts w:ascii="Cambria Math" w:eastAsiaTheme="minorEastAsia" w:hAnsi="Cambria Math" w:cstheme="minorHAnsi"/>
                </w:rPr>
                <m:t>q</m:t>
              </m:r>
            </m:e>
          </m:d>
          <m:r>
            <w:rPr>
              <w:rStyle w:val="rynqvb"/>
              <w:rFonts w:ascii="Cambria Math" w:eastAsiaTheme="minorEastAsia" w:hAnsi="Cambria Math" w:cstheme="minorHAnsi"/>
            </w:rPr>
            <m:t>=</m:t>
          </m:r>
          <m:r>
            <w:rPr>
              <w:rFonts w:ascii="Cambria Math" w:eastAsiaTheme="minorEastAsia" w:hAnsi="Cambria Math" w:cstheme="minorHAnsi"/>
            </w:rPr>
            <m:t>A*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</w:rPr>
                <m:t>q</m:t>
              </m:r>
            </m:e>
            <m:sup>
              <m:r>
                <w:rPr>
                  <w:rFonts w:ascii="Cambria Math" w:eastAsiaTheme="minorEastAsia" w:hAnsi="Cambria Math" w:cstheme="minorHAnsi"/>
                </w:rPr>
                <m:t>-n</m:t>
              </m:r>
            </m:sup>
          </m:sSup>
          <m:r>
            <w:rPr>
              <w:rStyle w:val="rynqvb"/>
              <w:rFonts w:ascii="Cambria Math" w:eastAsiaTheme="minorEastAsia" w:hAnsi="Cambria Math" w:cstheme="minorHAnsi"/>
            </w:rPr>
            <m:t xml:space="preserve">+ </m:t>
          </m:r>
          <m:r>
            <w:rPr>
              <w:rStyle w:val="rynqvb"/>
              <w:rFonts w:ascii="Cambria Math" w:hAnsi="Cambria Math" w:cstheme="minorHAnsi"/>
            </w:rPr>
            <m:t>B*</m:t>
          </m:r>
          <m:f>
            <m:fPr>
              <m:ctrlPr>
                <w:rPr>
                  <w:rStyle w:val="rynqvb"/>
                  <w:rFonts w:ascii="Cambria Math" w:hAnsi="Cambria Math" w:cstheme="minorHAnsi"/>
                  <w:i/>
                </w:rPr>
              </m:ctrlPr>
            </m:fPr>
            <m:num>
              <m:sSub>
                <m:sSubPr>
                  <m:ctrlPr>
                    <w:rPr>
                      <w:rStyle w:val="rynqvb"/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Style w:val="rynqvb"/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Style w:val="rynqvb"/>
                      <w:rFonts w:ascii="Cambria Math" w:hAnsi="Cambria Math" w:cstheme="minorHAnsi"/>
                    </w:rPr>
                    <m:t>bil</m:t>
                  </m:r>
                </m:sub>
              </m:sSub>
              <m:d>
                <m:dPr>
                  <m:ctrlPr>
                    <w:rPr>
                      <w:rStyle w:val="rynqvb"/>
                      <w:rFonts w:ascii="Cambria Math" w:hAnsi="Cambria Math" w:cstheme="minorHAnsi"/>
                      <w:i/>
                    </w:rPr>
                  </m:ctrlPr>
                </m:dPr>
                <m:e>
                  <m:r>
                    <w:rPr>
                      <w:rStyle w:val="rynqvb"/>
                      <w:rFonts w:ascii="Cambria Math" w:hAnsi="Cambria Math" w:cstheme="minorHAnsi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Style w:val="rynqvb"/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Style w:val="rynqvb"/>
                      <w:rFonts w:ascii="Cambria Math" w:hAnsi="Cambria Math" w:cstheme="minorHAnsi"/>
                    </w:rPr>
                    <m:t>q</m:t>
                  </m:r>
                </m:e>
                <m:sup>
                  <m:r>
                    <w:rPr>
                      <w:rStyle w:val="rynqvb"/>
                      <w:rFonts w:ascii="Cambria Math" w:hAnsi="Cambria Math" w:cstheme="minorHAnsi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Style w:val="rynqvb"/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Style w:val="rynqvb"/>
                  <w:rFonts w:ascii="Cambria Math" w:hAnsi="Cambria Math" w:cstheme="minorHAnsi"/>
                </w:rPr>
                <m:t>Z</m:t>
              </m:r>
            </m:e>
            <m:sub>
              <m:r>
                <w:rPr>
                  <w:rStyle w:val="rynqvb"/>
                  <w:rFonts w:ascii="Cambria Math" w:hAnsi="Cambria Math" w:cstheme="minorHAnsi"/>
                </w:rPr>
                <m:t>N</m:t>
              </m:r>
            </m:sub>
          </m:sSub>
          <m:d>
            <m:dPr>
              <m:ctrlPr>
                <w:rPr>
                  <w:rStyle w:val="rynqvb"/>
                  <w:rFonts w:ascii="Cambria Math" w:hAnsi="Cambria Math" w:cstheme="minorHAnsi"/>
                  <w:i/>
                </w:rPr>
              </m:ctrlPr>
            </m:dPr>
            <m:e>
              <m:r>
                <w:rPr>
                  <w:rStyle w:val="rynqvb"/>
                  <w:rFonts w:ascii="Cambria Math" w:hAnsi="Cambria Math" w:cstheme="minorHAnsi"/>
                </w:rPr>
                <m:t>q</m:t>
              </m:r>
            </m:e>
          </m:d>
          <m:r>
            <w:rPr>
              <w:rStyle w:val="rynqvb"/>
              <w:rFonts w:ascii="Cambria Math" w:hAnsi="Cambria Math" w:cstheme="minorHAnsi"/>
            </w:rPr>
            <m:t>+background</m:t>
          </m:r>
        </m:oMath>
      </m:oMathPara>
    </w:p>
    <w:p w14:paraId="2EA33632" w14:textId="24EB1E1E" w:rsidR="001C202F" w:rsidRPr="00146C69" w:rsidRDefault="001C202F" w:rsidP="001C202F">
      <w:pPr>
        <w:pStyle w:val="ListParagraph"/>
        <w:ind w:left="0"/>
        <w:jc w:val="both"/>
        <w:rPr>
          <w:rStyle w:val="rynqvb"/>
          <w:rFonts w:eastAsiaTheme="minorEastAsia" w:cstheme="minorHAnsi"/>
        </w:rPr>
      </w:pPr>
      <m:oMath>
        <m:r>
          <w:rPr>
            <w:rStyle w:val="rynqvb"/>
            <w:rFonts w:ascii="Cambria Math" w:eastAsiaTheme="minorEastAsia" w:hAnsi="Cambria Math" w:cstheme="minorHAnsi"/>
          </w:rPr>
          <m:t xml:space="preserve">A </m:t>
        </m:r>
        <m:r>
          <m:rPr>
            <m:sty m:val="p"/>
          </m:rPr>
          <w:rPr>
            <w:rStyle w:val="rynqvb"/>
            <w:rFonts w:ascii="Cambria Math" w:eastAsiaTheme="minorEastAsia" w:hAnsi="Cambria Math" w:cstheme="minorHAnsi"/>
          </w:rPr>
          <m:t>and</m:t>
        </m:r>
        <m:r>
          <w:rPr>
            <w:rStyle w:val="rynqvb"/>
            <w:rFonts w:ascii="Cambria Math" w:eastAsiaTheme="minorEastAsia" w:hAnsi="Cambria Math" w:cstheme="minorHAnsi"/>
          </w:rPr>
          <m:t xml:space="preserve"> B</m:t>
        </m:r>
      </m:oMath>
      <w:r w:rsidRPr="00146C69">
        <w:rPr>
          <w:rStyle w:val="rynqvb"/>
          <w:rFonts w:eastAsiaTheme="minorEastAsia" w:cstheme="minorHAnsi"/>
        </w:rPr>
        <w:t xml:space="preserve"> are relative scaling parameters for the two models. </w:t>
      </w:r>
      <m:oMath>
        <m:r>
          <w:rPr>
            <w:rStyle w:val="rynqvb"/>
            <w:rFonts w:ascii="Cambria Math" w:eastAsiaTheme="minorEastAsia" w:hAnsi="Cambria Math" w:cstheme="minorHAnsi"/>
          </w:rPr>
          <m:t xml:space="preserve">A </m:t>
        </m:r>
        <m:r>
          <m:rPr>
            <m:sty m:val="p"/>
          </m:rPr>
          <w:rPr>
            <w:rStyle w:val="rynqvb"/>
            <w:rFonts w:ascii="Cambria Math" w:eastAsiaTheme="minorEastAsia" w:hAnsi="Cambria Math" w:cstheme="minorHAnsi"/>
          </w:rPr>
          <m:t>and</m:t>
        </m:r>
        <m:r>
          <w:rPr>
            <w:rStyle w:val="rynqvb"/>
            <w:rFonts w:ascii="Cambria Math" w:eastAsiaTheme="minorEastAsia" w:hAnsi="Cambria Math" w:cstheme="minorHAnsi"/>
          </w:rPr>
          <m:t xml:space="preserve"> B</m:t>
        </m:r>
      </m:oMath>
      <w:r w:rsidRPr="00146C69">
        <w:rPr>
          <w:rStyle w:val="rynqvb"/>
          <w:rFonts w:eastAsiaTheme="minorEastAsia" w:cstheme="minorHAnsi"/>
        </w:rPr>
        <w:t xml:space="preserve"> include</w:t>
      </w:r>
      <w:r w:rsidRPr="00146C69">
        <w:rPr>
          <w:rFonts w:cstheme="minorHAnsi"/>
        </w:rPr>
        <w:t xml:space="preserve"> terms for the volume fraction of the material and </w:t>
      </w:r>
      <w:r w:rsidRPr="00146C69">
        <w:rPr>
          <w:rStyle w:val="rynqvb"/>
          <w:rFonts w:eastAsiaTheme="minorEastAsia" w:cstheme="minorHAnsi"/>
        </w:rPr>
        <w:t xml:space="preserve">the contrast </w:t>
      </w:r>
      <m:oMath>
        <m:r>
          <m:rPr>
            <m:sty m:val="p"/>
          </m:rPr>
          <w:rPr>
            <w:rStyle w:val="rynqvb"/>
            <w:rFonts w:ascii="Cambria Math" w:eastAsiaTheme="minorEastAsia" w:hAnsi="Cambria Math" w:cstheme="minorHAnsi"/>
          </w:rPr>
          <m:t>Δ</m:t>
        </m:r>
        <m:r>
          <w:rPr>
            <w:rStyle w:val="rynqvb"/>
            <w:rFonts w:ascii="Cambria Math" w:eastAsiaTheme="minorEastAsia" w:hAnsi="Cambria Math" w:cstheme="minorHAnsi"/>
          </w:rPr>
          <m:t>ρ</m:t>
        </m:r>
      </m:oMath>
      <w:r w:rsidRPr="00146C69">
        <w:rPr>
          <w:rStyle w:val="rynqvb"/>
          <w:rFonts w:eastAsiaTheme="minorEastAsia" w:cstheme="minorHAnsi"/>
        </w:rPr>
        <w:t xml:space="preserve">, among others. The power, </w:t>
      </w:r>
      <m:oMath>
        <m:r>
          <w:rPr>
            <w:rStyle w:val="rynqvb"/>
            <w:rFonts w:ascii="Cambria Math" w:eastAsiaTheme="minorEastAsia" w:hAnsi="Cambria Math" w:cstheme="minorHAnsi"/>
          </w:rPr>
          <m:t>n</m:t>
        </m:r>
      </m:oMath>
      <w:r w:rsidRPr="00146C69">
        <w:rPr>
          <w:rStyle w:val="rynqvb"/>
          <w:rFonts w:eastAsiaTheme="minorEastAsia" w:cstheme="minorHAnsi"/>
        </w:rPr>
        <w:t xml:space="preserve"> , was at first set free and quickly converged to a value very close to </w:t>
      </w:r>
      <m:oMath>
        <m:r>
          <w:rPr>
            <w:rStyle w:val="rynqvb"/>
            <w:rFonts w:ascii="Cambria Math" w:eastAsiaTheme="minorEastAsia" w:hAnsi="Cambria Math" w:cstheme="minorHAnsi"/>
          </w:rPr>
          <m:t>2</m:t>
        </m:r>
      </m:oMath>
      <w:r w:rsidRPr="00146C69">
        <w:rPr>
          <w:rStyle w:val="rynqvb"/>
          <w:rFonts w:eastAsiaTheme="minorEastAsia" w:cstheme="minorHAnsi"/>
        </w:rPr>
        <w:t xml:space="preserve">, and therefore it was fixed at </w:t>
      </w:r>
      <m:oMath>
        <m:r>
          <w:rPr>
            <w:rStyle w:val="rynqvb"/>
            <w:rFonts w:ascii="Cambria Math" w:eastAsiaTheme="minorEastAsia" w:hAnsi="Cambria Math" w:cstheme="minorHAnsi"/>
          </w:rPr>
          <m:t>2</m:t>
        </m:r>
      </m:oMath>
      <w:r w:rsidRPr="00146C69">
        <w:rPr>
          <w:rStyle w:val="rynqvb"/>
          <w:rFonts w:eastAsiaTheme="minorEastAsia" w:cstheme="minorHAnsi"/>
        </w:rPr>
        <w:t xml:space="preserve"> for all the diffractograms, as is expected for the form factor of platelets. The factor </w:t>
      </w:r>
      <m:oMath>
        <m:sSub>
          <m:sSubPr>
            <m:ctrlPr>
              <w:rPr>
                <w:rStyle w:val="rynqvb"/>
                <w:rFonts w:ascii="Cambria Math" w:hAnsi="Cambria Math" w:cstheme="minorHAnsi"/>
                <w:i/>
              </w:rPr>
            </m:ctrlPr>
          </m:sSubPr>
          <m:e>
            <m:r>
              <w:rPr>
                <w:rStyle w:val="rynqvb"/>
                <w:rFonts w:ascii="Cambria Math" w:hAnsi="Cambria Math" w:cstheme="minorHAnsi"/>
              </w:rPr>
              <m:t>P</m:t>
            </m:r>
          </m:e>
          <m:sub>
            <m:r>
              <w:rPr>
                <w:rStyle w:val="rynqvb"/>
                <w:rFonts w:ascii="Cambria Math" w:hAnsi="Cambria Math" w:cstheme="minorHAnsi"/>
              </w:rPr>
              <m:t>bil</m:t>
            </m:r>
          </m:sub>
        </m:sSub>
        <m:d>
          <m:dPr>
            <m:ctrlPr>
              <w:rPr>
                <w:rStyle w:val="rynqvb"/>
                <w:rFonts w:ascii="Cambria Math" w:hAnsi="Cambria Math" w:cstheme="minorHAnsi"/>
                <w:i/>
              </w:rPr>
            </m:ctrlPr>
          </m:dPr>
          <m:e>
            <m:r>
              <w:rPr>
                <w:rStyle w:val="rynqvb"/>
                <w:rFonts w:ascii="Cambria Math" w:hAnsi="Cambria Math" w:cstheme="minorHAnsi"/>
              </w:rPr>
              <m:t>q</m:t>
            </m:r>
          </m:e>
        </m:d>
      </m:oMath>
      <w:r w:rsidRPr="00146C69">
        <w:rPr>
          <w:rStyle w:val="rynqvb"/>
          <w:rFonts w:eastAsiaTheme="minorEastAsia" w:cstheme="minorHAnsi"/>
        </w:rPr>
        <w:t xml:space="preserve"> in the “Lamellar Stack Paracrystal model” is approximated as the cross section of an infinite, planar bilayer of thickness </w:t>
      </w:r>
      <m:oMath>
        <m:r>
          <w:rPr>
            <w:rStyle w:val="rynqvb"/>
            <w:rFonts w:ascii="Cambria Math" w:eastAsiaTheme="minorEastAsia" w:hAnsi="Cambria Math" w:cstheme="minorHAnsi"/>
          </w:rPr>
          <m:t>t</m:t>
        </m:r>
      </m:oMath>
      <w:r w:rsidRPr="00146C69">
        <w:rPr>
          <w:rStyle w:val="rynqvb"/>
          <w:rFonts w:eastAsiaTheme="minorEastAsia" w:cstheme="minorHAnsi"/>
        </w:rPr>
        <w:t xml:space="preserve">. </w:t>
      </w:r>
      <m:oMath>
        <m:sSub>
          <m:sSubPr>
            <m:ctrlPr>
              <w:rPr>
                <w:rStyle w:val="rynqvb"/>
                <w:rFonts w:ascii="Cambria Math" w:hAnsi="Cambria Math" w:cstheme="minorHAnsi"/>
                <w:i/>
              </w:rPr>
            </m:ctrlPr>
          </m:sSubPr>
          <m:e>
            <m:r>
              <w:rPr>
                <w:rStyle w:val="rynqvb"/>
                <w:rFonts w:ascii="Cambria Math" w:hAnsi="Cambria Math" w:cstheme="minorHAnsi"/>
              </w:rPr>
              <m:t>Z</m:t>
            </m:r>
          </m:e>
          <m:sub>
            <m:r>
              <w:rPr>
                <w:rStyle w:val="rynqvb"/>
                <w:rFonts w:ascii="Cambria Math" w:hAnsi="Cambria Math" w:cstheme="minorHAnsi"/>
              </w:rPr>
              <m:t>N</m:t>
            </m:r>
          </m:sub>
        </m:sSub>
        <m:d>
          <m:dPr>
            <m:ctrlPr>
              <w:rPr>
                <w:rStyle w:val="rynqvb"/>
                <w:rFonts w:ascii="Cambria Math" w:hAnsi="Cambria Math" w:cstheme="minorHAnsi"/>
                <w:i/>
              </w:rPr>
            </m:ctrlPr>
          </m:dPr>
          <m:e>
            <m:r>
              <w:rPr>
                <w:rStyle w:val="rynqvb"/>
                <w:rFonts w:ascii="Cambria Math" w:hAnsi="Cambria Math" w:cstheme="minorHAnsi"/>
              </w:rPr>
              <m:t>q</m:t>
            </m:r>
          </m:e>
        </m:d>
      </m:oMath>
      <w:r w:rsidRPr="00146C69">
        <w:rPr>
          <w:rStyle w:val="rynqvb"/>
          <w:rFonts w:eastAsiaTheme="minorEastAsia" w:cstheme="minorHAnsi"/>
        </w:rPr>
        <w:t xml:space="preserve"> is the structure factor which describes the interference effects of Bragg stack domains consisting of more than one bilayer. Both models have background terms in them</w:t>
      </w:r>
      <w:r w:rsidR="00BD3358">
        <w:rPr>
          <w:rStyle w:val="rynqvb"/>
          <w:rFonts w:eastAsiaTheme="minorEastAsia" w:cstheme="minorHAnsi"/>
        </w:rPr>
        <w:t>,</w:t>
      </w:r>
      <w:r w:rsidRPr="00146C69">
        <w:rPr>
          <w:rStyle w:val="rynqvb"/>
          <w:rFonts w:eastAsiaTheme="minorEastAsia" w:cstheme="minorHAnsi"/>
        </w:rPr>
        <w:t xml:space="preserve"> which in this description are merged as </w:t>
      </w:r>
      <m:oMath>
        <m:r>
          <w:rPr>
            <w:rStyle w:val="rynqvb"/>
            <w:rFonts w:ascii="Cambria Math" w:eastAsiaTheme="minorEastAsia" w:hAnsi="Cambria Math" w:cstheme="minorHAnsi"/>
          </w:rPr>
          <m:t>background</m:t>
        </m:r>
      </m:oMath>
      <w:r w:rsidRPr="00146C69">
        <w:rPr>
          <w:rStyle w:val="rynqvb"/>
          <w:rFonts w:eastAsiaTheme="minorEastAsia" w:cstheme="minorHAnsi"/>
        </w:rPr>
        <w:t xml:space="preserve">. More details on the functions used for modeling can be found in </w:t>
      </w:r>
      <w:r w:rsidR="008C0094" w:rsidRPr="00146C69">
        <w:rPr>
          <w:rStyle w:val="rynqvb"/>
          <w:rFonts w:eastAsiaTheme="minorEastAsia" w:cstheme="minorHAnsi"/>
        </w:rPr>
        <w:t>SasView’s documentation (</w:t>
      </w:r>
      <w:hyperlink r:id="rId13" w:history="1">
        <w:r w:rsidR="005928F5" w:rsidRPr="00146C69">
          <w:rPr>
            <w:rStyle w:val="Hyperlink"/>
            <w:rFonts w:eastAsiaTheme="minorEastAsia" w:cstheme="minorHAnsi"/>
          </w:rPr>
          <w:t>https://www.sasview.org/docs/old_docs/5.0.4/user/qtgui/Perspectives/Fitting/models/index.html</w:t>
        </w:r>
      </w:hyperlink>
      <w:r w:rsidR="005928F5" w:rsidRPr="00146C69">
        <w:rPr>
          <w:rStyle w:val="rynqvb"/>
          <w:rFonts w:eastAsiaTheme="minorEastAsia" w:cstheme="minorHAnsi"/>
        </w:rPr>
        <w:t>)</w:t>
      </w:r>
      <w:r w:rsidR="00370E33">
        <w:rPr>
          <w:rStyle w:val="rynqvb"/>
          <w:rFonts w:eastAsiaTheme="minorEastAsia" w:cstheme="minorHAnsi"/>
        </w:rPr>
        <w:t>.</w:t>
      </w:r>
    </w:p>
    <w:p w14:paraId="00E21847" w14:textId="77777777" w:rsidR="00C51668" w:rsidRPr="00146C69" w:rsidRDefault="00C51668" w:rsidP="001C202F">
      <w:pPr>
        <w:pStyle w:val="ListParagraph"/>
        <w:ind w:left="0"/>
        <w:jc w:val="both"/>
        <w:rPr>
          <w:rStyle w:val="rynqvb"/>
          <w:rFonts w:eastAsiaTheme="minorEastAsia" w:cstheme="minorHAnsi"/>
        </w:rPr>
      </w:pPr>
    </w:p>
    <w:p w14:paraId="3D180279" w14:textId="77777777" w:rsidR="00146C69" w:rsidRPr="00146C69" w:rsidRDefault="009E57B4" w:rsidP="00146C69">
      <w:pPr>
        <w:keepNext/>
        <w:jc w:val="center"/>
        <w:rPr>
          <w:rFonts w:cstheme="minorHAnsi"/>
        </w:rPr>
      </w:pPr>
      <w:r w:rsidRPr="00146C69">
        <w:rPr>
          <w:rFonts w:cstheme="minorHAnsi"/>
          <w:noProof/>
        </w:rPr>
        <w:lastRenderedPageBreak/>
        <w:drawing>
          <wp:inline distT="0" distB="0" distL="0" distR="0" wp14:anchorId="259D2927" wp14:editId="240494F0">
            <wp:extent cx="5943600" cy="2613025"/>
            <wp:effectExtent l="0" t="0" r="0" b="0"/>
            <wp:docPr id="1577625224" name="Picture 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25224" name="Picture 2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BE56" w14:textId="2DE13308" w:rsidR="00146C69" w:rsidRPr="009345B0" w:rsidRDefault="009345B0" w:rsidP="00146C69">
      <w:pPr>
        <w:pStyle w:val="Caption"/>
        <w:jc w:val="center"/>
        <w:rPr>
          <w:rFonts w:cstheme="minorHAnsi"/>
          <w:i w:val="0"/>
          <w:iCs w:val="0"/>
          <w:color w:val="auto"/>
        </w:rPr>
      </w:pPr>
      <w:r>
        <w:rPr>
          <w:rFonts w:cstheme="minorHAnsi"/>
          <w:i w:val="0"/>
          <w:iCs w:val="0"/>
          <w:color w:val="auto"/>
        </w:rPr>
        <w:t>Fig. S</w:t>
      </w:r>
      <w:r w:rsidR="00146C69" w:rsidRPr="009345B0">
        <w:rPr>
          <w:rFonts w:cstheme="minorHAnsi"/>
          <w:i w:val="0"/>
          <w:iCs w:val="0"/>
          <w:color w:val="auto"/>
        </w:rPr>
        <w:fldChar w:fldCharType="begin"/>
      </w:r>
      <w:r w:rsidR="00146C69" w:rsidRPr="009345B0">
        <w:rPr>
          <w:rFonts w:cstheme="minorHAnsi"/>
          <w:i w:val="0"/>
          <w:iCs w:val="0"/>
          <w:color w:val="auto"/>
        </w:rPr>
        <w:instrText xml:space="preserve"> SEQ Figure \* ARABIC </w:instrText>
      </w:r>
      <w:r w:rsidR="00146C69" w:rsidRPr="009345B0">
        <w:rPr>
          <w:rFonts w:cstheme="minorHAnsi"/>
          <w:i w:val="0"/>
          <w:iCs w:val="0"/>
          <w:color w:val="auto"/>
        </w:rPr>
        <w:fldChar w:fldCharType="separate"/>
      </w:r>
      <w:r w:rsidR="00146C69" w:rsidRPr="009345B0">
        <w:rPr>
          <w:rFonts w:cstheme="minorHAnsi"/>
          <w:i w:val="0"/>
          <w:iCs w:val="0"/>
          <w:noProof/>
          <w:color w:val="auto"/>
        </w:rPr>
        <w:t>6</w:t>
      </w:r>
      <w:r w:rsidR="00146C69" w:rsidRPr="009345B0">
        <w:rPr>
          <w:rFonts w:cstheme="minorHAnsi"/>
          <w:i w:val="0"/>
          <w:iCs w:val="0"/>
          <w:color w:val="auto"/>
        </w:rPr>
        <w:fldChar w:fldCharType="end"/>
      </w:r>
      <w:r w:rsidR="00146C69" w:rsidRPr="009345B0">
        <w:rPr>
          <w:rFonts w:cstheme="minorHAnsi"/>
          <w:i w:val="0"/>
          <w:iCs w:val="0"/>
          <w:color w:val="auto"/>
        </w:rPr>
        <w:t xml:space="preserve"> -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 xml:space="preserve"> Power law behavior of d-spacing</w:t>
      </w:r>
      <w:r w:rsidR="00BD3358">
        <w:rPr>
          <w:rStyle w:val="rynqvb"/>
          <w:rFonts w:cstheme="minorHAnsi"/>
          <w:i w:val="0"/>
          <w:iCs w:val="0"/>
          <w:color w:val="auto"/>
        </w:rPr>
        <w:t>s</w:t>
      </w:r>
      <w:r w:rsidR="00146C69" w:rsidRPr="009345B0">
        <w:rPr>
          <w:rStyle w:val="rynqvb"/>
          <w:rFonts w:eastAsiaTheme="minorEastAsia" w:cstheme="minorHAnsi"/>
          <w:i w:val="0"/>
          <w:iCs w:val="0"/>
          <w:color w:val="auto"/>
        </w:rPr>
        <w:t xml:space="preserve"> </w:t>
      </w:r>
      <w:r w:rsidR="00370E33">
        <w:rPr>
          <w:rStyle w:val="rynqvb"/>
          <w:rFonts w:eastAsiaTheme="minorEastAsia" w:cstheme="minorHAnsi"/>
          <w:i w:val="0"/>
          <w:iCs w:val="0"/>
          <w:color w:val="auto"/>
        </w:rPr>
        <w:t>obtained by</w:t>
      </w:r>
      <w:r w:rsidR="005A2B2E">
        <w:rPr>
          <w:rStyle w:val="rynqvb"/>
          <w:rFonts w:eastAsiaTheme="minorEastAsia" w:cstheme="minorHAnsi"/>
          <w:i w:val="0"/>
          <w:iCs w:val="0"/>
          <w:color w:val="auto"/>
        </w:rPr>
        <w:t xml:space="preserve"> using </w:t>
      </w:r>
      <w:r w:rsidR="00146C69" w:rsidRPr="009345B0">
        <w:rPr>
          <w:rStyle w:val="rynqvb"/>
          <w:rFonts w:eastAsiaTheme="minorEastAsia" w:cstheme="minorHAnsi"/>
          <w:i w:val="0"/>
          <w:iCs w:val="0"/>
          <w:color w:val="auto"/>
        </w:rPr>
        <w:t xml:space="preserve">SasView </w:t>
      </w:r>
      <w:r w:rsidR="005A2B2E">
        <w:rPr>
          <w:rStyle w:val="rynqvb"/>
          <w:rFonts w:eastAsiaTheme="minorEastAsia" w:cstheme="minorHAnsi"/>
          <w:i w:val="0"/>
          <w:iCs w:val="0"/>
          <w:color w:val="auto"/>
        </w:rPr>
        <w:t xml:space="preserve">for </w:t>
      </w:r>
      <w:r w:rsidR="00146C69" w:rsidRPr="009345B0">
        <w:rPr>
          <w:rStyle w:val="rynqvb"/>
          <w:rFonts w:eastAsiaTheme="minorEastAsia" w:cstheme="minorHAnsi"/>
          <w:i w:val="0"/>
          <w:iCs w:val="0"/>
          <w:color w:val="auto"/>
        </w:rPr>
        <w:t>modeling.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 xml:space="preserve"> </w:t>
      </w:r>
      <m:oMath>
        <m:r>
          <w:rPr>
            <w:rStyle w:val="rynqvb"/>
            <w:rFonts w:ascii="Cambria Math" w:hAnsi="Cambria Math" w:cstheme="minorHAnsi"/>
            <w:color w:val="auto"/>
          </w:rPr>
          <m:t>log-log</m:t>
        </m:r>
      </m:oMath>
      <w:r w:rsidR="00146C69" w:rsidRPr="009345B0">
        <w:rPr>
          <w:rStyle w:val="rynqvb"/>
          <w:rFonts w:cstheme="minorHAnsi"/>
          <w:i w:val="0"/>
          <w:iCs w:val="0"/>
          <w:color w:val="auto"/>
        </w:rPr>
        <w:t xml:space="preserve"> plots of d-spacing versus volume % for DBL and SGL suspensions with their respective fits </w:t>
      </w:r>
      <w:r w:rsidR="00370E33">
        <w:rPr>
          <w:rStyle w:val="rynqvb"/>
          <w:rFonts w:cstheme="minorHAnsi"/>
          <w:i w:val="0"/>
          <w:iCs w:val="0"/>
          <w:color w:val="auto"/>
        </w:rPr>
        <w:t>(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>for</w:t>
      </w:r>
      <w:r w:rsidR="005A2B2E">
        <w:rPr>
          <w:rStyle w:val="rynqvb"/>
          <w:rFonts w:cstheme="minorHAnsi"/>
          <w:i w:val="0"/>
          <w:iCs w:val="0"/>
          <w:color w:val="auto"/>
        </w:rPr>
        <w:t xml:space="preserve"> </w:t>
      </w:r>
      <w:r w:rsidR="00370E33">
        <w:rPr>
          <w:rStyle w:val="rynqvb"/>
          <w:rFonts w:cstheme="minorHAnsi"/>
          <w:i w:val="0"/>
          <w:iCs w:val="0"/>
          <w:color w:val="auto"/>
        </w:rPr>
        <w:t>samples in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 xml:space="preserve"> cuvettes</w:t>
      </w:r>
      <w:r w:rsidR="005A2B2E">
        <w:rPr>
          <w:rStyle w:val="rynqvb"/>
          <w:rFonts w:cstheme="minorHAnsi"/>
          <w:i w:val="0"/>
          <w:iCs w:val="0"/>
          <w:color w:val="auto"/>
        </w:rPr>
        <w:t>, Cuv,</w:t>
      </w:r>
      <w:r w:rsidR="00F01620">
        <w:rPr>
          <w:rStyle w:val="rynqvb"/>
          <w:rFonts w:cstheme="minorHAnsi"/>
          <w:i w:val="0"/>
          <w:iCs w:val="0"/>
          <w:color w:val="auto"/>
        </w:rPr>
        <w:t xml:space="preserve"> 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 xml:space="preserve">and </w:t>
      </w:r>
      <w:r w:rsidR="005A2B2E">
        <w:rPr>
          <w:rStyle w:val="rynqvb"/>
          <w:rFonts w:cstheme="minorHAnsi"/>
          <w:i w:val="0"/>
          <w:iCs w:val="0"/>
          <w:color w:val="auto"/>
        </w:rPr>
        <w:t xml:space="preserve">in 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>capillaries</w:t>
      </w:r>
      <w:r w:rsidR="005A2B2E">
        <w:rPr>
          <w:rStyle w:val="rynqvb"/>
          <w:rFonts w:cstheme="minorHAnsi"/>
          <w:i w:val="0"/>
          <w:iCs w:val="0"/>
          <w:color w:val="auto"/>
        </w:rPr>
        <w:t>, Cap</w:t>
      </w:r>
      <w:r w:rsidR="00370E33">
        <w:rPr>
          <w:rStyle w:val="rynqvb"/>
          <w:rFonts w:cstheme="minorHAnsi"/>
          <w:i w:val="0"/>
          <w:iCs w:val="0"/>
          <w:color w:val="auto"/>
        </w:rPr>
        <w:t>)</w:t>
      </w:r>
      <w:r w:rsidR="00146C69" w:rsidRPr="009345B0">
        <w:rPr>
          <w:rStyle w:val="rynqvb"/>
          <w:rFonts w:cstheme="minorHAnsi"/>
          <w:i w:val="0"/>
          <w:iCs w:val="0"/>
          <w:color w:val="auto"/>
        </w:rPr>
        <w:t>.</w:t>
      </w:r>
    </w:p>
    <w:p w14:paraId="3A6D2A87" w14:textId="0BCD71FA" w:rsidR="00FE78A4" w:rsidRPr="00146C69" w:rsidRDefault="00FE78A4" w:rsidP="00FE78A4">
      <w:pPr>
        <w:pStyle w:val="ListParagraph"/>
        <w:ind w:left="0"/>
        <w:jc w:val="both"/>
        <w:rPr>
          <w:rStyle w:val="rynqvb"/>
          <w:rFonts w:eastAsiaTheme="minorEastAsia" w:cstheme="minorHAnsi"/>
        </w:rPr>
      </w:pPr>
      <w:r w:rsidRPr="00146C69">
        <w:rPr>
          <w:rStyle w:val="rynqvb"/>
          <w:rFonts w:cstheme="minorHAnsi"/>
          <w:b/>
          <w:bCs/>
        </w:rPr>
        <w:t>Normalized intensity vs</w:t>
      </w:r>
      <w:r w:rsidR="0034238D">
        <w:rPr>
          <w:rStyle w:val="rynqvb"/>
          <w:rFonts w:cstheme="minorHAnsi"/>
          <w:b/>
          <w:bCs/>
        </w:rPr>
        <w:t>.</w:t>
      </w:r>
      <w:r w:rsidRPr="00146C69">
        <w:rPr>
          <w:rStyle w:val="rynqvb"/>
          <w:rFonts w:cstheme="minorHAnsi"/>
          <w:b/>
          <w:bCs/>
        </w:rPr>
        <w:t xml:space="preserve"> Azimuthal angle:</w:t>
      </w:r>
    </w:p>
    <w:p w14:paraId="5C1716A0" w14:textId="77777777" w:rsidR="00146C69" w:rsidRPr="00146C69" w:rsidRDefault="007303E9" w:rsidP="008A28B0">
      <w:pPr>
        <w:keepNext/>
        <w:ind w:left="360"/>
        <w:jc w:val="center"/>
        <w:rPr>
          <w:rFonts w:cstheme="minorHAnsi"/>
        </w:rPr>
      </w:pPr>
      <w:r w:rsidRPr="00146C69">
        <w:rPr>
          <w:rFonts w:cstheme="minorHAnsi"/>
          <w:noProof/>
        </w:rPr>
        <w:drawing>
          <wp:inline distT="0" distB="0" distL="0" distR="0" wp14:anchorId="0DD9C649" wp14:editId="0F537FC9">
            <wp:extent cx="4817659" cy="2122736"/>
            <wp:effectExtent l="0" t="0" r="2540" b="0"/>
            <wp:docPr id="176574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413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9" t="8399" r="6448" b="4001"/>
                    <a:stretch/>
                  </pic:blipFill>
                  <pic:spPr bwMode="auto">
                    <a:xfrm>
                      <a:off x="0" y="0"/>
                      <a:ext cx="4844681" cy="213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E4693" w14:textId="27A792EE" w:rsidR="000D708C" w:rsidRPr="00146C69" w:rsidRDefault="009345B0" w:rsidP="00BB07EF">
      <w:pPr>
        <w:pStyle w:val="Caption"/>
        <w:jc w:val="center"/>
        <w:rPr>
          <w:rFonts w:cstheme="minorHAnsi"/>
          <w:i w:val="0"/>
          <w:iCs w:val="0"/>
          <w:color w:val="auto"/>
        </w:rPr>
      </w:pPr>
      <w:r>
        <w:rPr>
          <w:rFonts w:cstheme="minorHAnsi"/>
          <w:i w:val="0"/>
          <w:iCs w:val="0"/>
          <w:color w:val="auto"/>
        </w:rPr>
        <w:t xml:space="preserve">Fig. </w:t>
      </w:r>
      <w:r w:rsidR="00146C69" w:rsidRPr="00146C69">
        <w:rPr>
          <w:rFonts w:cstheme="minorHAnsi"/>
          <w:i w:val="0"/>
          <w:iCs w:val="0"/>
          <w:color w:val="auto"/>
        </w:rPr>
        <w:t>S</w:t>
      </w:r>
      <w:r w:rsidR="00146C69" w:rsidRPr="00146C69">
        <w:rPr>
          <w:rFonts w:cstheme="minorHAnsi"/>
          <w:i w:val="0"/>
          <w:iCs w:val="0"/>
          <w:color w:val="auto"/>
        </w:rPr>
        <w:fldChar w:fldCharType="begin"/>
      </w:r>
      <w:r w:rsidR="00146C69" w:rsidRPr="00146C69">
        <w:rPr>
          <w:rFonts w:cstheme="minorHAnsi"/>
          <w:i w:val="0"/>
          <w:iCs w:val="0"/>
          <w:color w:val="auto"/>
        </w:rPr>
        <w:instrText xml:space="preserve"> SEQ Figure \* ARABIC </w:instrText>
      </w:r>
      <w:r w:rsidR="00146C69" w:rsidRPr="00146C69">
        <w:rPr>
          <w:rFonts w:cstheme="minorHAnsi"/>
          <w:i w:val="0"/>
          <w:iCs w:val="0"/>
          <w:color w:val="auto"/>
        </w:rPr>
        <w:fldChar w:fldCharType="separate"/>
      </w:r>
      <w:r w:rsidR="00146C69" w:rsidRPr="00146C69">
        <w:rPr>
          <w:rFonts w:cstheme="minorHAnsi"/>
          <w:i w:val="0"/>
          <w:iCs w:val="0"/>
          <w:noProof/>
          <w:color w:val="auto"/>
        </w:rPr>
        <w:t>7</w:t>
      </w:r>
      <w:r w:rsidR="00146C69" w:rsidRPr="00146C69">
        <w:rPr>
          <w:rFonts w:cstheme="minorHAnsi"/>
          <w:i w:val="0"/>
          <w:iCs w:val="0"/>
          <w:color w:val="auto"/>
        </w:rPr>
        <w:fldChar w:fldCharType="end"/>
      </w:r>
      <w:r w:rsidR="00146C69" w:rsidRPr="00146C69">
        <w:rPr>
          <w:rFonts w:cstheme="minorHAnsi"/>
          <w:i w:val="0"/>
          <w:iCs w:val="0"/>
          <w:color w:val="auto"/>
        </w:rPr>
        <w:t>-</w:t>
      </w:r>
      <w:r w:rsidR="00146C69" w:rsidRPr="00146C69">
        <w:rPr>
          <w:rFonts w:cstheme="minorHAnsi"/>
          <w:b/>
          <w:bCs/>
          <w:i w:val="0"/>
          <w:iCs w:val="0"/>
          <w:color w:val="auto"/>
        </w:rPr>
        <w:t xml:space="preserve"> </w:t>
      </w:r>
      <w:r w:rsidR="00146C69" w:rsidRPr="00146C69">
        <w:rPr>
          <w:rFonts w:cstheme="minorHAnsi"/>
          <w:i w:val="0"/>
          <w:iCs w:val="0"/>
          <w:color w:val="auto"/>
        </w:rPr>
        <w:t xml:space="preserve">Azimuthal </w:t>
      </w:r>
      <w:r w:rsidR="0034238D">
        <w:rPr>
          <w:rFonts w:cstheme="minorHAnsi"/>
          <w:i w:val="0"/>
          <w:iCs w:val="0"/>
          <w:color w:val="auto"/>
        </w:rPr>
        <w:t>a</w:t>
      </w:r>
      <w:r w:rsidR="0034238D" w:rsidRPr="00146C69">
        <w:rPr>
          <w:rFonts w:cstheme="minorHAnsi"/>
          <w:i w:val="0"/>
          <w:iCs w:val="0"/>
          <w:color w:val="auto"/>
        </w:rPr>
        <w:t xml:space="preserve">ngle </w:t>
      </w:r>
      <w:r w:rsidR="00146C69" w:rsidRPr="00146C69">
        <w:rPr>
          <w:rFonts w:cstheme="minorHAnsi"/>
          <w:i w:val="0"/>
          <w:iCs w:val="0"/>
          <w:color w:val="auto"/>
        </w:rPr>
        <w:t>plots</w:t>
      </w:r>
      <w:r w:rsidR="0034238D">
        <w:rPr>
          <w:rFonts w:cstheme="minorHAnsi"/>
          <w:i w:val="0"/>
          <w:iCs w:val="0"/>
          <w:color w:val="auto"/>
        </w:rPr>
        <w:t xml:space="preserve"> for SGL samples</w:t>
      </w:r>
      <w:r w:rsidR="00146C69" w:rsidRPr="00146C69">
        <w:rPr>
          <w:rFonts w:cstheme="minorHAnsi"/>
          <w:i w:val="0"/>
          <w:iCs w:val="0"/>
          <w:color w:val="auto"/>
        </w:rPr>
        <w:t>.</w:t>
      </w:r>
      <w:r w:rsidR="00146C69" w:rsidRPr="00146C69">
        <w:rPr>
          <w:rFonts w:cstheme="minorHAnsi"/>
          <w:b/>
          <w:bCs/>
          <w:i w:val="0"/>
          <w:iCs w:val="0"/>
          <w:color w:val="auto"/>
        </w:rPr>
        <w:t xml:space="preserve"> </w:t>
      </w:r>
      <w:r w:rsidR="00146C69" w:rsidRPr="00146C69">
        <w:rPr>
          <w:rFonts w:cstheme="minorHAnsi"/>
          <w:i w:val="0"/>
          <w:iCs w:val="0"/>
          <w:color w:val="auto"/>
        </w:rPr>
        <w:t xml:space="preserve">The </w:t>
      </w:r>
      <m:oMath>
        <m:r>
          <w:rPr>
            <w:rFonts w:ascii="Cambria Math" w:hAnsi="Cambria Math" w:cstheme="minorHAnsi"/>
            <w:color w:val="auto"/>
          </w:rPr>
          <m:t>0.28 %</m:t>
        </m:r>
      </m:oMath>
      <w:r w:rsidR="00146C69" w:rsidRPr="00146C69">
        <w:rPr>
          <w:rFonts w:cstheme="minorHAnsi"/>
          <w:i w:val="0"/>
          <w:iCs w:val="0"/>
          <w:color w:val="auto"/>
        </w:rPr>
        <w:t xml:space="preserve"> SGL solution in cuvette (left) and capillary (right) are shown. Similar to DBL, the FWHM for cuvette samples is smaller than for capillaries.</w:t>
      </w:r>
    </w:p>
    <w:p w14:paraId="31D806C3" w14:textId="194D8240" w:rsidR="007A12AC" w:rsidRPr="00146C69" w:rsidRDefault="007A12AC" w:rsidP="00AA5C6D">
      <w:pPr>
        <w:jc w:val="both"/>
        <w:rPr>
          <w:rFonts w:cstheme="minorHAnsi"/>
          <w:sz w:val="18"/>
          <w:szCs w:val="18"/>
        </w:rPr>
      </w:pPr>
    </w:p>
    <w:p w14:paraId="69693EF6" w14:textId="758FF26B" w:rsidR="00DF4C75" w:rsidRDefault="00DF4C75" w:rsidP="00BB07E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w:lastRenderedPageBreak/>
        <w:drawing>
          <wp:inline distT="0" distB="0" distL="0" distR="0" wp14:anchorId="00417293" wp14:editId="185AFC5B">
            <wp:extent cx="5943600" cy="2633980"/>
            <wp:effectExtent l="0" t="0" r="0" b="0"/>
            <wp:docPr id="924571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7F974" w14:textId="6C6E9579" w:rsidR="00146C69" w:rsidRPr="00146C69" w:rsidRDefault="009345B0" w:rsidP="00BB07EF">
      <w:pPr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Fig. S</w:t>
      </w:r>
      <w:r w:rsidR="00146C69" w:rsidRPr="00146C69">
        <w:rPr>
          <w:rFonts w:cstheme="minorHAnsi"/>
          <w:sz w:val="18"/>
          <w:szCs w:val="18"/>
        </w:rPr>
        <w:fldChar w:fldCharType="begin"/>
      </w:r>
      <w:r w:rsidR="00146C69" w:rsidRPr="00146C69">
        <w:rPr>
          <w:rFonts w:cstheme="minorHAnsi"/>
          <w:sz w:val="18"/>
          <w:szCs w:val="18"/>
        </w:rPr>
        <w:instrText xml:space="preserve"> SEQ Figure \* ARABIC </w:instrText>
      </w:r>
      <w:r w:rsidR="00146C69" w:rsidRPr="00146C69">
        <w:rPr>
          <w:rFonts w:cstheme="minorHAnsi"/>
          <w:sz w:val="18"/>
          <w:szCs w:val="18"/>
        </w:rPr>
        <w:fldChar w:fldCharType="separate"/>
      </w:r>
      <w:r w:rsidR="00146C69" w:rsidRPr="00146C69">
        <w:rPr>
          <w:rFonts w:cstheme="minorHAnsi"/>
          <w:noProof/>
          <w:sz w:val="18"/>
          <w:szCs w:val="18"/>
        </w:rPr>
        <w:t>8</w:t>
      </w:r>
      <w:r w:rsidR="00146C69" w:rsidRPr="00146C69">
        <w:rPr>
          <w:rFonts w:cstheme="minorHAnsi"/>
          <w:sz w:val="18"/>
          <w:szCs w:val="18"/>
        </w:rPr>
        <w:fldChar w:fldCharType="end"/>
      </w:r>
      <w:r w:rsidR="00146C69" w:rsidRPr="00146C69">
        <w:rPr>
          <w:rFonts w:cstheme="minorHAnsi"/>
          <w:sz w:val="18"/>
          <w:szCs w:val="18"/>
        </w:rPr>
        <w:t xml:space="preserve"> - Azimuthal </w:t>
      </w:r>
      <w:r w:rsidR="0034238D">
        <w:rPr>
          <w:rFonts w:cstheme="minorHAnsi"/>
          <w:sz w:val="18"/>
          <w:szCs w:val="18"/>
        </w:rPr>
        <w:t>a</w:t>
      </w:r>
      <w:r w:rsidR="0034238D" w:rsidRPr="00146C69">
        <w:rPr>
          <w:rFonts w:cstheme="minorHAnsi"/>
          <w:sz w:val="18"/>
          <w:szCs w:val="18"/>
        </w:rPr>
        <w:t xml:space="preserve">ngle </w:t>
      </w:r>
      <w:r w:rsidR="00146C69" w:rsidRPr="00146C69">
        <w:rPr>
          <w:rFonts w:cstheme="minorHAnsi"/>
          <w:sz w:val="18"/>
          <w:szCs w:val="18"/>
        </w:rPr>
        <w:t>plot</w:t>
      </w:r>
      <w:r w:rsidR="0034238D">
        <w:rPr>
          <w:rFonts w:cstheme="minorHAnsi"/>
          <w:sz w:val="18"/>
          <w:szCs w:val="18"/>
        </w:rPr>
        <w:t xml:space="preserve">s for </w:t>
      </w:r>
      <w:r w:rsidR="0034238D" w:rsidRPr="00146C69">
        <w:rPr>
          <w:rFonts w:cstheme="minorHAnsi"/>
          <w:sz w:val="18"/>
          <w:szCs w:val="18"/>
        </w:rPr>
        <w:t>DBL in cuvettes and capillaries</w:t>
      </w:r>
      <w:r w:rsidR="00146C69" w:rsidRPr="00146C69">
        <w:rPr>
          <w:rFonts w:cstheme="minorHAnsi"/>
          <w:sz w:val="18"/>
          <w:szCs w:val="18"/>
        </w:rPr>
        <w:t xml:space="preserve">. The normalized </w:t>
      </w:r>
      <w:r w:rsidR="0034238D" w:rsidRPr="00146C69">
        <w:rPr>
          <w:rFonts w:cstheme="minorHAnsi"/>
          <w:sz w:val="18"/>
          <w:szCs w:val="18"/>
        </w:rPr>
        <w:t>intensit</w:t>
      </w:r>
      <w:r w:rsidR="0034238D">
        <w:rPr>
          <w:rFonts w:cstheme="minorHAnsi"/>
          <w:sz w:val="18"/>
          <w:szCs w:val="18"/>
        </w:rPr>
        <w:t>ies</w:t>
      </w:r>
      <w:r w:rsidR="0034238D" w:rsidRPr="00146C69">
        <w:rPr>
          <w:rFonts w:cstheme="minorHAnsi"/>
          <w:sz w:val="18"/>
          <w:szCs w:val="18"/>
        </w:rPr>
        <w:t xml:space="preserve"> </w:t>
      </w:r>
      <w:r w:rsidR="00146C69" w:rsidRPr="00146C69">
        <w:rPr>
          <w:rFonts w:cstheme="minorHAnsi"/>
          <w:sz w:val="18"/>
          <w:szCs w:val="18"/>
        </w:rPr>
        <w:t>vs</w:t>
      </w:r>
      <w:r w:rsidR="0034238D">
        <w:rPr>
          <w:rFonts w:cstheme="minorHAnsi"/>
          <w:sz w:val="18"/>
          <w:szCs w:val="18"/>
        </w:rPr>
        <w:t>.</w:t>
      </w:r>
      <w:r w:rsidR="00146C69" w:rsidRPr="00146C69">
        <w:rPr>
          <w:rFonts w:cstheme="minorHAnsi"/>
          <w:sz w:val="18"/>
          <w:szCs w:val="18"/>
        </w:rPr>
        <w:t xml:space="preserve"> azimuthal angle for all three </w:t>
      </w:r>
      <w:r w:rsidR="0034238D">
        <w:rPr>
          <w:rFonts w:cstheme="minorHAnsi"/>
          <w:sz w:val="18"/>
          <w:szCs w:val="18"/>
        </w:rPr>
        <w:t xml:space="preserve">concentrations of </w:t>
      </w:r>
      <w:r w:rsidR="00146C69" w:rsidRPr="00146C69">
        <w:rPr>
          <w:rFonts w:cstheme="minorHAnsi"/>
          <w:sz w:val="18"/>
          <w:szCs w:val="18"/>
        </w:rPr>
        <w:t>DBL in cuvettes and capillaries are shown.</w:t>
      </w:r>
    </w:p>
    <w:p w14:paraId="1E2BB1ED" w14:textId="3299D027" w:rsidR="003D38CA" w:rsidRPr="00146C69" w:rsidRDefault="003D38CA" w:rsidP="00146C69">
      <w:pPr>
        <w:pStyle w:val="Caption"/>
        <w:rPr>
          <w:rFonts w:cstheme="minorHAnsi"/>
        </w:rPr>
      </w:pPr>
    </w:p>
    <w:p w14:paraId="7A998E36" w14:textId="4FC775AD" w:rsidR="00687B16" w:rsidRPr="00146C69" w:rsidRDefault="008948C0" w:rsidP="00AA5C6D">
      <w:pPr>
        <w:jc w:val="both"/>
        <w:rPr>
          <w:rFonts w:cstheme="minorHAnsi"/>
          <w:b/>
          <w:bCs/>
        </w:rPr>
      </w:pPr>
      <w:r w:rsidRPr="00146C69">
        <w:rPr>
          <w:rFonts w:cstheme="minorHAnsi"/>
          <w:b/>
          <w:bCs/>
        </w:rPr>
        <w:t>Movies:</w:t>
      </w:r>
    </w:p>
    <w:p w14:paraId="6B387CB9" w14:textId="451DDC2B" w:rsidR="00687B16" w:rsidRPr="00146C69" w:rsidRDefault="00687B16" w:rsidP="00AA5C6D">
      <w:pPr>
        <w:jc w:val="both"/>
        <w:rPr>
          <w:rFonts w:cstheme="minorHAnsi"/>
          <w:sz w:val="18"/>
          <w:szCs w:val="18"/>
        </w:rPr>
      </w:pPr>
      <w:r w:rsidRPr="00146C69">
        <w:rPr>
          <w:rFonts w:cstheme="minorHAnsi"/>
          <w:sz w:val="18"/>
          <w:szCs w:val="18"/>
        </w:rPr>
        <w:t>Movie S1 –</w:t>
      </w:r>
      <w:r w:rsidR="00E110FB" w:rsidRPr="00146C69">
        <w:rPr>
          <w:rFonts w:cstheme="minorHAnsi"/>
          <w:sz w:val="18"/>
          <w:szCs w:val="18"/>
        </w:rPr>
        <w:t xml:space="preserve"> </w:t>
      </w:r>
      <w:r w:rsidR="005928F5" w:rsidRPr="00146C69">
        <w:rPr>
          <w:rStyle w:val="rynqvb"/>
          <w:rFonts w:cstheme="minorHAnsi"/>
          <w:sz w:val="18"/>
          <w:szCs w:val="18"/>
        </w:rPr>
        <w:t>D</w:t>
      </w:r>
      <w:r w:rsidR="001D1414" w:rsidRPr="00146C69">
        <w:rPr>
          <w:rStyle w:val="rynqvb"/>
          <w:rFonts w:cstheme="minorHAnsi"/>
          <w:sz w:val="18"/>
          <w:szCs w:val="18"/>
        </w:rPr>
        <w:t xml:space="preserve">emonstration of wall anchoring of the subdomains by rotating the capillary </w:t>
      </w:r>
      <w:r w:rsidR="007B0E63" w:rsidRPr="00146C69">
        <w:rPr>
          <w:rStyle w:val="rynqvb"/>
          <w:rFonts w:cstheme="minorHAnsi"/>
          <w:sz w:val="18"/>
          <w:szCs w:val="18"/>
        </w:rPr>
        <w:t>shown</w:t>
      </w:r>
      <w:r w:rsidR="005928F5" w:rsidRPr="00146C69">
        <w:rPr>
          <w:rStyle w:val="rynqvb"/>
          <w:rFonts w:cstheme="minorHAnsi"/>
          <w:sz w:val="18"/>
          <w:szCs w:val="18"/>
        </w:rPr>
        <w:t xml:space="preserve"> in </w:t>
      </w:r>
      <w:r w:rsidR="009345B0">
        <w:rPr>
          <w:rStyle w:val="rynqvb"/>
          <w:rFonts w:cstheme="minorHAnsi"/>
          <w:sz w:val="18"/>
          <w:szCs w:val="18"/>
        </w:rPr>
        <w:t xml:space="preserve">Fig. </w:t>
      </w:r>
      <w:r w:rsidR="001D1414" w:rsidRPr="00146C69">
        <w:rPr>
          <w:rStyle w:val="rynqvb"/>
          <w:rFonts w:cstheme="minorHAnsi"/>
          <w:sz w:val="18"/>
          <w:szCs w:val="18"/>
        </w:rPr>
        <w:t>2 (c)</w:t>
      </w:r>
      <w:r w:rsidR="0013180E">
        <w:rPr>
          <w:rStyle w:val="rynqvb"/>
          <w:rFonts w:cstheme="minorHAnsi"/>
          <w:sz w:val="18"/>
          <w:szCs w:val="18"/>
        </w:rPr>
        <w:t xml:space="preserve"> by</w:t>
      </w:r>
      <w:r w:rsidR="001D1414" w:rsidRPr="00146C69">
        <w:rPr>
          <w:rStyle w:val="rynqvb"/>
          <w:rFonts w:cstheme="minorHAnsi"/>
          <w:sz w:val="18"/>
          <w:szCs w:val="18"/>
        </w:rPr>
        <w:t xml:space="preserve"> </w:t>
      </w:r>
      <m:oMath>
        <m:r>
          <w:rPr>
            <w:rStyle w:val="rynqvb"/>
            <w:rFonts w:ascii="Cambria Math" w:hAnsi="Cambria Math" w:cstheme="minorHAnsi"/>
            <w:sz w:val="18"/>
            <w:szCs w:val="18"/>
          </w:rPr>
          <m:t>180°</m:t>
        </m:r>
      </m:oMath>
      <w:r w:rsidR="001D1414" w:rsidRPr="00146C69">
        <w:rPr>
          <w:rStyle w:val="rynqvb"/>
          <w:rFonts w:eastAsiaTheme="minorEastAsia" w:cstheme="minorHAnsi"/>
          <w:sz w:val="18"/>
          <w:szCs w:val="18"/>
        </w:rPr>
        <w:t xml:space="preserve"> around its axis</w:t>
      </w:r>
      <w:r w:rsidR="001D1414" w:rsidRPr="00146C69">
        <w:rPr>
          <w:rStyle w:val="rynqvb"/>
          <w:rFonts w:cstheme="minorHAnsi"/>
          <w:sz w:val="18"/>
          <w:szCs w:val="18"/>
        </w:rPr>
        <w:t>. This also demonstrates that the structural coloration comes from Bragg interference and not from refraction, which would result in iridescence during such a rotation</w:t>
      </w:r>
      <w:r w:rsidR="00E110FB" w:rsidRPr="00146C69">
        <w:rPr>
          <w:rStyle w:val="rynqvb"/>
          <w:rFonts w:cstheme="minorHAnsi"/>
          <w:sz w:val="18"/>
          <w:szCs w:val="18"/>
        </w:rPr>
        <w:t>.</w:t>
      </w:r>
      <w:r w:rsidR="005B22FB" w:rsidRPr="00146C69">
        <w:rPr>
          <w:rStyle w:val="rynqvb"/>
          <w:rFonts w:cstheme="minorHAnsi"/>
          <w:sz w:val="18"/>
          <w:szCs w:val="18"/>
        </w:rPr>
        <w:t xml:space="preserve"> Turning the samples </w:t>
      </w:r>
      <w:r w:rsidR="005C7E40" w:rsidRPr="00146C69">
        <w:rPr>
          <w:rStyle w:val="rynqvb"/>
          <w:rFonts w:cstheme="minorHAnsi"/>
          <w:sz w:val="18"/>
          <w:szCs w:val="18"/>
        </w:rPr>
        <w:t>shows</w:t>
      </w:r>
      <w:r w:rsidR="005B22FB" w:rsidRPr="00146C69">
        <w:rPr>
          <w:rStyle w:val="rynqvb"/>
          <w:rFonts w:cstheme="minorHAnsi"/>
          <w:sz w:val="18"/>
          <w:szCs w:val="18"/>
        </w:rPr>
        <w:t xml:space="preserve"> that parts of the samples</w:t>
      </w:r>
      <w:r w:rsidR="00527D0D" w:rsidRPr="00146C69">
        <w:rPr>
          <w:rStyle w:val="rynqvb"/>
          <w:rFonts w:cstheme="minorHAnsi"/>
          <w:sz w:val="18"/>
          <w:szCs w:val="18"/>
        </w:rPr>
        <w:t xml:space="preserve"> may</w:t>
      </w:r>
      <w:r w:rsidR="005B22FB" w:rsidRPr="00146C69">
        <w:rPr>
          <w:rStyle w:val="rynqvb"/>
          <w:rFonts w:cstheme="minorHAnsi"/>
          <w:sz w:val="18"/>
          <w:szCs w:val="18"/>
        </w:rPr>
        <w:t xml:space="preserve"> appear more iridescent than others</w:t>
      </w:r>
      <w:r w:rsidR="0053531D" w:rsidRPr="00146C69">
        <w:rPr>
          <w:rStyle w:val="rynqvb"/>
          <w:rFonts w:cstheme="minorHAnsi"/>
          <w:sz w:val="18"/>
          <w:szCs w:val="18"/>
        </w:rPr>
        <w:t xml:space="preserve">, however </w:t>
      </w:r>
      <w:r w:rsidR="0013180E">
        <w:rPr>
          <w:rStyle w:val="rynqvb"/>
          <w:rFonts w:cstheme="minorHAnsi"/>
          <w:sz w:val="18"/>
          <w:szCs w:val="18"/>
        </w:rPr>
        <w:t>this may be</w:t>
      </w:r>
      <w:r w:rsidR="00BD7B2E" w:rsidRPr="00146C69">
        <w:rPr>
          <w:rStyle w:val="rynqvb"/>
          <w:rFonts w:cstheme="minorHAnsi"/>
          <w:sz w:val="18"/>
          <w:szCs w:val="18"/>
        </w:rPr>
        <w:t xml:space="preserve"> a result of the </w:t>
      </w:r>
      <w:r w:rsidR="00AA5EB0" w:rsidRPr="00146C69">
        <w:rPr>
          <w:rStyle w:val="rynqvb"/>
          <w:rFonts w:cstheme="minorHAnsi"/>
          <w:sz w:val="18"/>
          <w:szCs w:val="18"/>
        </w:rPr>
        <w:t>removal of the injection syringe which causes</w:t>
      </w:r>
      <w:r w:rsidR="002C40E8" w:rsidRPr="00146C69">
        <w:rPr>
          <w:rStyle w:val="rynqvb"/>
          <w:rFonts w:cstheme="minorHAnsi"/>
          <w:sz w:val="18"/>
          <w:szCs w:val="18"/>
        </w:rPr>
        <w:t xml:space="preserve"> some</w:t>
      </w:r>
      <w:r w:rsidR="00AA5EB0" w:rsidRPr="00146C69">
        <w:rPr>
          <w:rStyle w:val="rynqvb"/>
          <w:rFonts w:cstheme="minorHAnsi"/>
          <w:sz w:val="18"/>
          <w:szCs w:val="18"/>
        </w:rPr>
        <w:t xml:space="preserve"> </w:t>
      </w:r>
      <w:r w:rsidR="002C40E8" w:rsidRPr="00146C69">
        <w:rPr>
          <w:rStyle w:val="rynqvb"/>
          <w:rFonts w:cstheme="minorHAnsi"/>
          <w:sz w:val="18"/>
          <w:szCs w:val="18"/>
        </w:rPr>
        <w:t>non-uniformity in the concentration of the suspension.</w:t>
      </w:r>
    </w:p>
    <w:sectPr w:rsidR="00687B16" w:rsidRPr="00146C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A52"/>
    <w:multiLevelType w:val="hybridMultilevel"/>
    <w:tmpl w:val="D2CC54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6041"/>
    <w:multiLevelType w:val="hybridMultilevel"/>
    <w:tmpl w:val="CACEE12E"/>
    <w:lvl w:ilvl="0" w:tplc="FFFFFFFF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644708">
      <w:start w:val="1"/>
      <w:numFmt w:val="decimal"/>
      <w:lvlText w:val="%3."/>
      <w:lvlJc w:val="left"/>
      <w:pPr>
        <w:ind w:left="1800" w:hanging="360"/>
      </w:pPr>
      <w:rPr>
        <w:b w:val="0"/>
        <w:bCs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1B329C"/>
    <w:multiLevelType w:val="hybridMultilevel"/>
    <w:tmpl w:val="008A1010"/>
    <w:lvl w:ilvl="0" w:tplc="FFFFFFFF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540455"/>
    <w:multiLevelType w:val="hybridMultilevel"/>
    <w:tmpl w:val="6C9056BA"/>
    <w:lvl w:ilvl="0" w:tplc="AB8CA99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6F0712"/>
    <w:multiLevelType w:val="hybridMultilevel"/>
    <w:tmpl w:val="D2CC5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30199">
    <w:abstractNumId w:val="3"/>
  </w:num>
  <w:num w:numId="2" w16cid:durableId="915286251">
    <w:abstractNumId w:val="2"/>
  </w:num>
  <w:num w:numId="3" w16cid:durableId="1698657000">
    <w:abstractNumId w:val="1"/>
  </w:num>
  <w:num w:numId="4" w16cid:durableId="142283485">
    <w:abstractNumId w:val="0"/>
  </w:num>
  <w:num w:numId="5" w16cid:durableId="188817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C6"/>
    <w:rsid w:val="00004784"/>
    <w:rsid w:val="00005DAE"/>
    <w:rsid w:val="000163C4"/>
    <w:rsid w:val="00016E1D"/>
    <w:rsid w:val="00021425"/>
    <w:rsid w:val="00024CE0"/>
    <w:rsid w:val="00046BF4"/>
    <w:rsid w:val="00064AFD"/>
    <w:rsid w:val="000675F8"/>
    <w:rsid w:val="00096028"/>
    <w:rsid w:val="000A2685"/>
    <w:rsid w:val="000D708C"/>
    <w:rsid w:val="000E2A80"/>
    <w:rsid w:val="000E30D9"/>
    <w:rsid w:val="000F251D"/>
    <w:rsid w:val="000F4044"/>
    <w:rsid w:val="00122D6D"/>
    <w:rsid w:val="0012651D"/>
    <w:rsid w:val="0013180E"/>
    <w:rsid w:val="00143FB6"/>
    <w:rsid w:val="00145941"/>
    <w:rsid w:val="00146C69"/>
    <w:rsid w:val="00154057"/>
    <w:rsid w:val="001669B4"/>
    <w:rsid w:val="00173B8B"/>
    <w:rsid w:val="00177D77"/>
    <w:rsid w:val="00180AE5"/>
    <w:rsid w:val="00186ADD"/>
    <w:rsid w:val="00196CD3"/>
    <w:rsid w:val="001A22FF"/>
    <w:rsid w:val="001B5322"/>
    <w:rsid w:val="001C1866"/>
    <w:rsid w:val="001C202F"/>
    <w:rsid w:val="001D1414"/>
    <w:rsid w:val="001D3B60"/>
    <w:rsid w:val="001D3BD8"/>
    <w:rsid w:val="001D7FF6"/>
    <w:rsid w:val="001F4EEC"/>
    <w:rsid w:val="00203812"/>
    <w:rsid w:val="00205155"/>
    <w:rsid w:val="0021655C"/>
    <w:rsid w:val="0022073C"/>
    <w:rsid w:val="0022423A"/>
    <w:rsid w:val="00224414"/>
    <w:rsid w:val="002264BB"/>
    <w:rsid w:val="00251E53"/>
    <w:rsid w:val="0025323F"/>
    <w:rsid w:val="00260710"/>
    <w:rsid w:val="002619EE"/>
    <w:rsid w:val="00261AB2"/>
    <w:rsid w:val="00267280"/>
    <w:rsid w:val="002703D0"/>
    <w:rsid w:val="00284E8D"/>
    <w:rsid w:val="00284F25"/>
    <w:rsid w:val="00287D60"/>
    <w:rsid w:val="00296FEA"/>
    <w:rsid w:val="002B266C"/>
    <w:rsid w:val="002C40E8"/>
    <w:rsid w:val="002D420F"/>
    <w:rsid w:val="002D7690"/>
    <w:rsid w:val="002E6CF9"/>
    <w:rsid w:val="002F1FE6"/>
    <w:rsid w:val="00302014"/>
    <w:rsid w:val="00316B99"/>
    <w:rsid w:val="00324FC9"/>
    <w:rsid w:val="0034238D"/>
    <w:rsid w:val="003439A9"/>
    <w:rsid w:val="00344A98"/>
    <w:rsid w:val="00345579"/>
    <w:rsid w:val="00347405"/>
    <w:rsid w:val="00350B88"/>
    <w:rsid w:val="0035761A"/>
    <w:rsid w:val="00367DFE"/>
    <w:rsid w:val="00370E33"/>
    <w:rsid w:val="00370E55"/>
    <w:rsid w:val="00380C44"/>
    <w:rsid w:val="00395C9A"/>
    <w:rsid w:val="003A1988"/>
    <w:rsid w:val="003B7C6A"/>
    <w:rsid w:val="003C0BE2"/>
    <w:rsid w:val="003C3D6E"/>
    <w:rsid w:val="003C479F"/>
    <w:rsid w:val="003C73B6"/>
    <w:rsid w:val="003D38CA"/>
    <w:rsid w:val="003E76D0"/>
    <w:rsid w:val="00400B15"/>
    <w:rsid w:val="004073FD"/>
    <w:rsid w:val="00412939"/>
    <w:rsid w:val="0042120F"/>
    <w:rsid w:val="00433B06"/>
    <w:rsid w:val="004347BB"/>
    <w:rsid w:val="00436D69"/>
    <w:rsid w:val="00437529"/>
    <w:rsid w:val="0044049E"/>
    <w:rsid w:val="0045518E"/>
    <w:rsid w:val="00474828"/>
    <w:rsid w:val="0048245C"/>
    <w:rsid w:val="00490AF2"/>
    <w:rsid w:val="004A652C"/>
    <w:rsid w:val="004A7769"/>
    <w:rsid w:val="004C05F8"/>
    <w:rsid w:val="004C28B7"/>
    <w:rsid w:val="00500671"/>
    <w:rsid w:val="005020EF"/>
    <w:rsid w:val="00502DF3"/>
    <w:rsid w:val="005040A3"/>
    <w:rsid w:val="00506985"/>
    <w:rsid w:val="00522E5F"/>
    <w:rsid w:val="00527D0D"/>
    <w:rsid w:val="0053531D"/>
    <w:rsid w:val="005422A8"/>
    <w:rsid w:val="00581BFE"/>
    <w:rsid w:val="005928F5"/>
    <w:rsid w:val="005A2B2E"/>
    <w:rsid w:val="005B22FB"/>
    <w:rsid w:val="005B50ED"/>
    <w:rsid w:val="005C1D82"/>
    <w:rsid w:val="005C2586"/>
    <w:rsid w:val="005C7E40"/>
    <w:rsid w:val="005D69CF"/>
    <w:rsid w:val="005E7774"/>
    <w:rsid w:val="005F5EA8"/>
    <w:rsid w:val="005F7882"/>
    <w:rsid w:val="006022FB"/>
    <w:rsid w:val="00613DA5"/>
    <w:rsid w:val="00616D91"/>
    <w:rsid w:val="00617498"/>
    <w:rsid w:val="00625F02"/>
    <w:rsid w:val="00645C86"/>
    <w:rsid w:val="006611FF"/>
    <w:rsid w:val="00677DAF"/>
    <w:rsid w:val="00680855"/>
    <w:rsid w:val="00687B16"/>
    <w:rsid w:val="006909E0"/>
    <w:rsid w:val="006A483E"/>
    <w:rsid w:val="006A5950"/>
    <w:rsid w:val="006B3A29"/>
    <w:rsid w:val="006C2983"/>
    <w:rsid w:val="006C3147"/>
    <w:rsid w:val="006C7E20"/>
    <w:rsid w:val="006F382C"/>
    <w:rsid w:val="00700604"/>
    <w:rsid w:val="00714CF6"/>
    <w:rsid w:val="00714F96"/>
    <w:rsid w:val="00717D90"/>
    <w:rsid w:val="007278C2"/>
    <w:rsid w:val="007303E9"/>
    <w:rsid w:val="0073243E"/>
    <w:rsid w:val="00760056"/>
    <w:rsid w:val="00767400"/>
    <w:rsid w:val="0077348E"/>
    <w:rsid w:val="00785C4D"/>
    <w:rsid w:val="0078642F"/>
    <w:rsid w:val="0079206D"/>
    <w:rsid w:val="0079672C"/>
    <w:rsid w:val="007A12AC"/>
    <w:rsid w:val="007A768D"/>
    <w:rsid w:val="007B0E63"/>
    <w:rsid w:val="007C7C60"/>
    <w:rsid w:val="007D3E94"/>
    <w:rsid w:val="007F3FD3"/>
    <w:rsid w:val="00804252"/>
    <w:rsid w:val="00820D44"/>
    <w:rsid w:val="008363A3"/>
    <w:rsid w:val="0084237D"/>
    <w:rsid w:val="00844044"/>
    <w:rsid w:val="00846AEC"/>
    <w:rsid w:val="00852D4C"/>
    <w:rsid w:val="0086358F"/>
    <w:rsid w:val="0087552A"/>
    <w:rsid w:val="008806AE"/>
    <w:rsid w:val="0088304D"/>
    <w:rsid w:val="008948C0"/>
    <w:rsid w:val="008A28B0"/>
    <w:rsid w:val="008C0094"/>
    <w:rsid w:val="008C28E2"/>
    <w:rsid w:val="008C4952"/>
    <w:rsid w:val="008D6B6C"/>
    <w:rsid w:val="008E40F7"/>
    <w:rsid w:val="008E5B57"/>
    <w:rsid w:val="008F78D2"/>
    <w:rsid w:val="009008B2"/>
    <w:rsid w:val="00901928"/>
    <w:rsid w:val="00914B1D"/>
    <w:rsid w:val="00923F63"/>
    <w:rsid w:val="009250D0"/>
    <w:rsid w:val="00933294"/>
    <w:rsid w:val="009344B4"/>
    <w:rsid w:val="009345B0"/>
    <w:rsid w:val="009358EA"/>
    <w:rsid w:val="009440E1"/>
    <w:rsid w:val="00944E6C"/>
    <w:rsid w:val="00946197"/>
    <w:rsid w:val="00980A26"/>
    <w:rsid w:val="00984FDA"/>
    <w:rsid w:val="00994A2D"/>
    <w:rsid w:val="009A0984"/>
    <w:rsid w:val="009A11C1"/>
    <w:rsid w:val="009A389D"/>
    <w:rsid w:val="009B113A"/>
    <w:rsid w:val="009C6457"/>
    <w:rsid w:val="009D4DC7"/>
    <w:rsid w:val="009D5D82"/>
    <w:rsid w:val="009E57B4"/>
    <w:rsid w:val="009F0168"/>
    <w:rsid w:val="009F0522"/>
    <w:rsid w:val="009F2B9E"/>
    <w:rsid w:val="00A00FC6"/>
    <w:rsid w:val="00A12C25"/>
    <w:rsid w:val="00A13348"/>
    <w:rsid w:val="00A227DD"/>
    <w:rsid w:val="00A2342C"/>
    <w:rsid w:val="00A25D23"/>
    <w:rsid w:val="00A50266"/>
    <w:rsid w:val="00A54931"/>
    <w:rsid w:val="00A55E94"/>
    <w:rsid w:val="00A55F85"/>
    <w:rsid w:val="00A5627B"/>
    <w:rsid w:val="00A56569"/>
    <w:rsid w:val="00A56856"/>
    <w:rsid w:val="00A57155"/>
    <w:rsid w:val="00A74A22"/>
    <w:rsid w:val="00A94995"/>
    <w:rsid w:val="00A950D6"/>
    <w:rsid w:val="00AA15DF"/>
    <w:rsid w:val="00AA5C6D"/>
    <w:rsid w:val="00AA5EB0"/>
    <w:rsid w:val="00AC3187"/>
    <w:rsid w:val="00AF084A"/>
    <w:rsid w:val="00AF3566"/>
    <w:rsid w:val="00B066B6"/>
    <w:rsid w:val="00B1202B"/>
    <w:rsid w:val="00B141B3"/>
    <w:rsid w:val="00B210C1"/>
    <w:rsid w:val="00B25DE5"/>
    <w:rsid w:val="00B41E0E"/>
    <w:rsid w:val="00B42A82"/>
    <w:rsid w:val="00B50B04"/>
    <w:rsid w:val="00B61E0D"/>
    <w:rsid w:val="00BB07EF"/>
    <w:rsid w:val="00BB3398"/>
    <w:rsid w:val="00BC0D16"/>
    <w:rsid w:val="00BD3358"/>
    <w:rsid w:val="00BD7B2E"/>
    <w:rsid w:val="00C001EB"/>
    <w:rsid w:val="00C00CFC"/>
    <w:rsid w:val="00C1035E"/>
    <w:rsid w:val="00C15808"/>
    <w:rsid w:val="00C25EB4"/>
    <w:rsid w:val="00C4317D"/>
    <w:rsid w:val="00C467BB"/>
    <w:rsid w:val="00C51668"/>
    <w:rsid w:val="00C53E9B"/>
    <w:rsid w:val="00C63AD2"/>
    <w:rsid w:val="00C67729"/>
    <w:rsid w:val="00C67F19"/>
    <w:rsid w:val="00C76166"/>
    <w:rsid w:val="00CA39DD"/>
    <w:rsid w:val="00CB1BFE"/>
    <w:rsid w:val="00CE0B28"/>
    <w:rsid w:val="00CF4A0D"/>
    <w:rsid w:val="00D150A3"/>
    <w:rsid w:val="00D1514B"/>
    <w:rsid w:val="00D179F5"/>
    <w:rsid w:val="00D31CF3"/>
    <w:rsid w:val="00D417B1"/>
    <w:rsid w:val="00D643C3"/>
    <w:rsid w:val="00D67DC8"/>
    <w:rsid w:val="00D71598"/>
    <w:rsid w:val="00D80005"/>
    <w:rsid w:val="00DA5710"/>
    <w:rsid w:val="00DB3FA1"/>
    <w:rsid w:val="00DC13B5"/>
    <w:rsid w:val="00DC2C66"/>
    <w:rsid w:val="00DD36D0"/>
    <w:rsid w:val="00DD7466"/>
    <w:rsid w:val="00DF187E"/>
    <w:rsid w:val="00DF3615"/>
    <w:rsid w:val="00DF4C75"/>
    <w:rsid w:val="00E06E58"/>
    <w:rsid w:val="00E110FB"/>
    <w:rsid w:val="00E133F1"/>
    <w:rsid w:val="00E15F64"/>
    <w:rsid w:val="00E3699F"/>
    <w:rsid w:val="00E37F45"/>
    <w:rsid w:val="00E42A3C"/>
    <w:rsid w:val="00E5473C"/>
    <w:rsid w:val="00E55C0B"/>
    <w:rsid w:val="00E60249"/>
    <w:rsid w:val="00E6128C"/>
    <w:rsid w:val="00E8587A"/>
    <w:rsid w:val="00E916F8"/>
    <w:rsid w:val="00E952F9"/>
    <w:rsid w:val="00EB3805"/>
    <w:rsid w:val="00EC4E16"/>
    <w:rsid w:val="00EC68AD"/>
    <w:rsid w:val="00ED4C4B"/>
    <w:rsid w:val="00EE6CFB"/>
    <w:rsid w:val="00EF0964"/>
    <w:rsid w:val="00EF40C5"/>
    <w:rsid w:val="00EF7BEB"/>
    <w:rsid w:val="00F0066B"/>
    <w:rsid w:val="00F01620"/>
    <w:rsid w:val="00F02BD9"/>
    <w:rsid w:val="00F04CE8"/>
    <w:rsid w:val="00F5666B"/>
    <w:rsid w:val="00F96545"/>
    <w:rsid w:val="00FA225A"/>
    <w:rsid w:val="00FA6F40"/>
    <w:rsid w:val="00FB472D"/>
    <w:rsid w:val="00FE78A4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94C32"/>
  <w15:chartTrackingRefBased/>
  <w15:docId w15:val="{F9D658B0-1A3E-4296-A42E-178C2A46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E0D"/>
    <w:pPr>
      <w:ind w:left="720"/>
      <w:contextualSpacing/>
    </w:pPr>
  </w:style>
  <w:style w:type="character" w:customStyle="1" w:styleId="markedcontent">
    <w:name w:val="markedcontent"/>
    <w:basedOn w:val="DefaultParagraphFont"/>
    <w:rsid w:val="00260710"/>
  </w:style>
  <w:style w:type="character" w:styleId="PlaceholderText">
    <w:name w:val="Placeholder Text"/>
    <w:basedOn w:val="DefaultParagraphFont"/>
    <w:uiPriority w:val="99"/>
    <w:semiHidden/>
    <w:rsid w:val="00B25DE5"/>
    <w:rPr>
      <w:color w:val="808080"/>
    </w:rPr>
  </w:style>
  <w:style w:type="character" w:customStyle="1" w:styleId="mjx-char">
    <w:name w:val="mjx-char"/>
    <w:basedOn w:val="DefaultParagraphFont"/>
    <w:rsid w:val="00B25DE5"/>
  </w:style>
  <w:style w:type="table" w:styleId="TableGrid">
    <w:name w:val="Table Grid"/>
    <w:basedOn w:val="TableNormal"/>
    <w:uiPriority w:val="39"/>
    <w:rsid w:val="00B2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25DE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3">
    <w:name w:val="Grid Table 2 Accent 3"/>
    <w:basedOn w:val="TableNormal"/>
    <w:uiPriority w:val="47"/>
    <w:rsid w:val="00E06E5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0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0671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0671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A23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42C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B141B3"/>
  </w:style>
  <w:style w:type="paragraph" w:styleId="Caption">
    <w:name w:val="caption"/>
    <w:basedOn w:val="Normal"/>
    <w:next w:val="Normal"/>
    <w:uiPriority w:val="35"/>
    <w:unhideWhenUsed/>
    <w:qFormat/>
    <w:rsid w:val="00146C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22073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73C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73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1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yperlink" Target="https://www.sasview.org/docs/old_docs/5.0.4/user/qtgui/Perspectives/Fitting/models/index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A65C-581C-414A-A70D-1ACEFBC6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Trigueiro Neto</dc:creator>
  <cp:keywords/>
  <dc:description/>
  <cp:lastModifiedBy>Osvaldo Trigueiro Neto</cp:lastModifiedBy>
  <cp:revision>11</cp:revision>
  <dcterms:created xsi:type="dcterms:W3CDTF">2024-03-18T13:25:00Z</dcterms:created>
  <dcterms:modified xsi:type="dcterms:W3CDTF">2024-03-26T20:44:00Z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id="u8JI0mWC"/&gt;&lt;style id="http://www.zotero.org/styles/american-chemical-society" hasBibliography="1" bibliographyStyleHasBeenSet="0"/&gt;&lt;prefs&gt;&lt;pref name="fieldType" value="Field"/&gt;&lt;/prefs&gt;&lt;/data&gt;</vt:lpwstr>
  </property>
</Properties>
</file>