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720" w:firstLine="1170"/>
        <w:rPr>
          <w:rFonts w:asciiTheme="majorHAnsi" w:hAnsiTheme="majorHAnsi"/>
          <w:b/>
          <w:sz w:val="28"/>
          <w:szCs w:val="28"/>
        </w:rPr>
      </w:pPr>
      <w:r>
        <w:rPr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7187565</wp:posOffset>
            </wp:positionH>
            <wp:positionV relativeFrom="paragraph">
              <wp:posOffset>20955</wp:posOffset>
            </wp:positionV>
            <wp:extent cx="757555" cy="161290"/>
            <wp:effectExtent l="0" t="0" r="4445" b="0"/>
            <wp:wrapNone/>
            <wp:docPr id="5" name="Picture 7" descr="ttp://i.creativecommons.org/l/by-nc-nd/3.0/80x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7" descr="ttp://i.creativecommons.org/l/by-nc-nd/3.0/80x1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55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sz w:val="28"/>
          <w:szCs w:val="28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8398510</wp:posOffset>
            </wp:positionH>
            <wp:positionV relativeFrom="paragraph">
              <wp:posOffset>-114300</wp:posOffset>
            </wp:positionV>
            <wp:extent cx="299720" cy="299720"/>
            <wp:effectExtent l="0" t="0" r="508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" cy="299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sz w:val="32"/>
          <w:szCs w:val="32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-255270</wp:posOffset>
            </wp:positionV>
            <wp:extent cx="831215" cy="544195"/>
            <wp:effectExtent l="0" t="0" r="698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215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sz w:val="28"/>
          <w:szCs w:val="28"/>
        </w:rPr>
        <w:t xml:space="preserve">     CARE Checklist (2013) of information to include when writing a case report</w:t>
      </w:r>
    </w:p>
    <w:p>
      <w:pPr>
        <w:spacing w:line="240" w:lineRule="exact"/>
        <w:ind w:left="720" w:firstLine="1166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</w:t>
      </w:r>
      <w:r>
        <w:t xml:space="preserve"> </w:t>
      </w:r>
    </w:p>
    <w:tbl>
      <w:tblPr>
        <w:tblStyle w:val="6"/>
        <w:tblW w:w="146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185"/>
        <w:gridCol w:w="720"/>
        <w:gridCol w:w="9630"/>
        <w:gridCol w:w="20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74" w:hRule="atLeast"/>
        </w:trPr>
        <w:tc>
          <w:tcPr>
            <w:tcW w:w="2185" w:type="dxa"/>
            <w:tcBorders>
              <w:left w:val="single" w:color="auto" w:sz="4" w:space="0"/>
            </w:tcBorders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Topic</w:t>
            </w:r>
          </w:p>
        </w:tc>
        <w:tc>
          <w:tcPr>
            <w:tcW w:w="720" w:type="dxa"/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 xml:space="preserve">Item </w:t>
            </w:r>
          </w:p>
        </w:tc>
        <w:tc>
          <w:tcPr>
            <w:tcW w:w="9630" w:type="dxa"/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Checklist item description</w:t>
            </w:r>
          </w:p>
        </w:tc>
        <w:tc>
          <w:tcPr>
            <w:tcW w:w="2081" w:type="dxa"/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Reported on 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46" w:hRule="exact"/>
        </w:trPr>
        <w:tc>
          <w:tcPr>
            <w:tcW w:w="2185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Title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center"/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The words “case report” should be in the title along with the area of focus . . . . . . . . . . . . . . . . . . . . . . . . . . . . . . . . . . . </w:t>
            </w:r>
          </w:p>
        </w:tc>
        <w:tc>
          <w:tcPr>
            <w:tcW w:w="2081" w:type="dxa"/>
            <w:tcBorders>
              <w:bottom w:val="single" w:color="auto" w:sz="4" w:space="0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46" w:hRule="exact"/>
        </w:trPr>
        <w:tc>
          <w:tcPr>
            <w:tcW w:w="2185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Key Words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center"/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 to 5 key words that identify areas covered in this case report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. . . . . . . . . . . . . .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b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b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Abstract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Introduction—What is unique about this case? What does it add to the medical literature?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The main symptoms of the patient and the important clinical findings . . . . . . . . . . . . . . . . . . . . . . . . . . . . . . . . . . . . . .  </w:t>
            </w:r>
          </w:p>
        </w:tc>
        <w:tc>
          <w:tcPr>
            <w:tcW w:w="2081" w:type="dxa"/>
            <w:tcBorders>
              <w:top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The main diagnoses, therapeutics interventions, and outcomes . . .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Conclusion—What are the main “take-away” lessons from this case?  . .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Introduction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One or two paragraphs summarizing why this case is unique with references . . . 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. . . . . . . . . . . . . . . . . . 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Patient Information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De-identified demographic information and other patient specific information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. . . . . . . . . . . . . . . . . . . . . . . 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Main concerns and symptoms of the patient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. . . . . . . . . . . . . . .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Medical, family, and psychosocial history including relevant genetic information (also see timeline).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Relevant past interventions and their outcomes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. . . . . . . . . . . . . . . . . . . . . . . . . . . . . . . . . . . . . . . . . . . . . . . . . . 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Clinical Findings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center"/>
          </w:tcPr>
          <w:p>
            <w:pPr>
              <w:tabs>
                <w:tab w:val="left" w:pos="2816"/>
              </w:tabs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Describe the relevant physical examination (PE) and other significant clinical findings.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 . . . . . . . . . . . . . .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Timeline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Important information from the patient’s history organized as a timeline . . . . . . . . . . . . . . . . .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None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Diagnostic Assessment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Diagnostic methods (such as PE, laboratory testing, imaging, surveys).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 . . . . . . . . . . . . . . . . . . . . . . . . . . . .</w:t>
            </w:r>
          </w:p>
        </w:tc>
        <w:tc>
          <w:tcPr>
            <w:tcW w:w="2081" w:type="dxa"/>
            <w:tcBorders>
              <w:top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Diagnostic challenges (such as access, financial, or cultural)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None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Diagnostic reasoning including other diagnoses considered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Prognostic characteristics (such as staging in oncology) where applicable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None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Therapeutic Intervention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Types of intervention (such as pharmacologic, surgical, preventive, self-care)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Administration of intervention (such as dosage, strength, duration) 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Changes in intervention (with rationale)  . . . . . . . . . . . . . . . . . . . . . . .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Follow-up and</w:t>
            </w:r>
          </w:p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Outcomes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eastAsia="PMingLiU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PMingLiU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Clinician and patient-assessed outcomes (when appropriate) . . . . . . . . . . . . . . . . ..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. . . . . . . . . . . . . . . . . . . . . . . . . .  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eastAsia="PMingLiU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PMingLiU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Important follow-up diagnostic and other test results  . . . . . .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 . . . . . . . . . . . . . . . . . . . . . . . . . . . . . . . . . . . . . . . . . .</w:t>
            </w:r>
            <w:r>
              <w:rPr>
                <w:rFonts w:ascii="Arial" w:hAnsi="Arial" w:eastAsia="PMingLiU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. . .    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Intervention adherence and tolerability (How was this assessed?) .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None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92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eastAsia="PMingLiU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Adverse and unanticipated events  . . . . . . . . . . . . . . . . . . . . . . . . . . .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13" w:hRule="atLeast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Discussion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Discussion of the strengths and limitations in your approach to this case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9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Discussion of the relevant medical literature. . . . . . . . . . . . . . . . . . . . . . . . . . . . . . . . . . . . . . . . .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The rationale for conclusions (including assessment of possible causes) . . . . . . . . . . . . . . . . . .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0" w:hRule="atLeast"/>
        </w:trPr>
        <w:tc>
          <w:tcPr>
            <w:tcW w:w="2185" w:type="dxa"/>
            <w:vMerge w:val="continue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The primary “take-away” lessons of this case report . . . . . . . . . . . . . . . . . . . . . . . . . .  .. . . . . . . . . . . . . . .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. . . . . . . . 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2" w:hRule="atLeast"/>
        </w:trPr>
        <w:tc>
          <w:tcPr>
            <w:tcW w:w="2185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Patient Perspective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When appropriate the patient should share their perspective on the treatments they received   . . . . . . . . . . . . . . . . . </w:t>
            </w:r>
          </w:p>
        </w:tc>
        <w:tc>
          <w:tcPr>
            <w:tcW w:w="2081" w:type="dxa"/>
            <w:tcBorders>
              <w:top w:val="single" w:color="auto" w:sz="4" w:space="0"/>
              <w:bottom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None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W w:w="2185" w:type="dxa"/>
            <w:tcMar>
              <w:top w:w="86" w:type="dxa"/>
              <w:bottom w:w="0" w:type="dxa"/>
            </w:tcMar>
          </w:tcPr>
          <w:p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Informed Consent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>
            <w:pP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Did the patient give informed consent? Please provide if requested  . . . . . . . . . . . . . . . . . . . . . . . . . . . . . . .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. . . . . .  </w:t>
            </w:r>
          </w:p>
        </w:tc>
        <w:tc>
          <w:tcPr>
            <w:tcW w:w="2081" w:type="dxa"/>
            <w:tcBorders>
              <w:top w:val="single" w:color="auto" w:sz="4" w:space="0"/>
            </w:tcBorders>
            <w:tcMar>
              <w:top w:w="86" w:type="dxa"/>
              <w:bottom w:w="0" w:type="dxa"/>
            </w:tcMar>
            <w:vAlign w:val="bottom"/>
          </w:tcPr>
          <w:p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  Yes  </w:t>
            </w:r>
            <w:r>
              <w:rPr>
                <w:rFonts w:ascii="MS Gothic" w:hAnsi="MS Gothic" w:eastAsia="MS Gothic" w:cs="Arial"/>
                <w:b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bookmarkStart w:id="0" w:name="Check1"/>
            <w:r>
              <w:rPr>
                <w:rFonts w:ascii="MS Gothic" w:hAnsi="MS Gothic" w:eastAsia="MS Gothic" w:cs="Arial"/>
                <w:b/>
                <w:sz w:val="21"/>
                <w:szCs w:val="21"/>
              </w:rPr>
              <w:instrText xml:space="preserve"> FORMCHECKBOX </w:instrText>
            </w:r>
            <w:r>
              <w:rPr>
                <w:rFonts w:ascii="MS Gothic" w:hAnsi="MS Gothic" w:eastAsia="MS Gothic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MS Gothic" w:hAnsi="MS Gothic" w:eastAsia="MS Gothic" w:cs="Arial"/>
                <w:b/>
                <w:sz w:val="21"/>
                <w:szCs w:val="21"/>
              </w:rPr>
              <w:fldChar w:fldCharType="end"/>
            </w:r>
            <w:bookmarkEnd w:id="0"/>
            <w:r>
              <w:rPr>
                <w:rFonts w:ascii="MS Gothic" w:hAnsi="MS Gothic" w:eastAsia="MS Gothic" w:cs="Arial"/>
                <w:b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 No  </w:t>
            </w:r>
            <w:r>
              <w:rPr>
                <w:rFonts w:ascii="MS Gothic" w:hAnsi="MS Gothic" w:eastAsia="MS Gothic" w:cs="Arial"/>
                <w:b/>
                <w:sz w:val="21"/>
                <w:szCs w:val="2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"/>
            <w:r>
              <w:rPr>
                <w:rFonts w:ascii="MS Gothic" w:hAnsi="MS Gothic" w:eastAsia="MS Gothic" w:cs="Arial"/>
                <w:b/>
                <w:sz w:val="21"/>
                <w:szCs w:val="21"/>
              </w:rPr>
              <w:instrText xml:space="preserve"> FORMCHECKBOX </w:instrText>
            </w:r>
            <w:r>
              <w:rPr>
                <w:rFonts w:ascii="MS Gothic" w:hAnsi="MS Gothic" w:eastAsia="MS Gothic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MS Gothic" w:hAnsi="MS Gothic" w:eastAsia="MS Gothic" w:cs="Arial"/>
                <w:b/>
                <w:sz w:val="21"/>
                <w:szCs w:val="21"/>
              </w:rPr>
              <w:fldChar w:fldCharType="end"/>
            </w:r>
            <w:bookmarkEnd w:id="1"/>
          </w:p>
        </w:tc>
      </w:tr>
    </w:tbl>
    <w:p>
      <w:pPr>
        <w:tabs>
          <w:tab w:val="left" w:pos="2029"/>
        </w:tabs>
        <w:rPr>
          <w:sz w:val="21"/>
          <w:szCs w:val="21"/>
        </w:rPr>
      </w:pPr>
      <w:bookmarkStart w:id="2" w:name="_GoBack"/>
      <w:bookmarkEnd w:id="2"/>
    </w:p>
    <w:sectPr>
      <w:pgSz w:w="15840" w:h="12240" w:orient="landscape"/>
      <w:pgMar w:top="540" w:right="720" w:bottom="216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001B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929"/>
    <w:rsid w:val="000443C5"/>
    <w:rsid w:val="00064BC7"/>
    <w:rsid w:val="000717BB"/>
    <w:rsid w:val="00092FF6"/>
    <w:rsid w:val="000B7F80"/>
    <w:rsid w:val="000C4E9F"/>
    <w:rsid w:val="000E5DFB"/>
    <w:rsid w:val="00150443"/>
    <w:rsid w:val="00191C69"/>
    <w:rsid w:val="00256DBE"/>
    <w:rsid w:val="00276343"/>
    <w:rsid w:val="0029224A"/>
    <w:rsid w:val="002A71F5"/>
    <w:rsid w:val="002E553E"/>
    <w:rsid w:val="002E5F4A"/>
    <w:rsid w:val="002F186F"/>
    <w:rsid w:val="003377AC"/>
    <w:rsid w:val="003B34D6"/>
    <w:rsid w:val="00402F6B"/>
    <w:rsid w:val="00404885"/>
    <w:rsid w:val="00431FAA"/>
    <w:rsid w:val="00437929"/>
    <w:rsid w:val="00482D8C"/>
    <w:rsid w:val="004944C8"/>
    <w:rsid w:val="004A5AFB"/>
    <w:rsid w:val="004D359B"/>
    <w:rsid w:val="004E1B03"/>
    <w:rsid w:val="00521C8F"/>
    <w:rsid w:val="00535C36"/>
    <w:rsid w:val="0053796E"/>
    <w:rsid w:val="005B475C"/>
    <w:rsid w:val="005D1EFC"/>
    <w:rsid w:val="005D5210"/>
    <w:rsid w:val="00643B92"/>
    <w:rsid w:val="00652B45"/>
    <w:rsid w:val="00690107"/>
    <w:rsid w:val="00751830"/>
    <w:rsid w:val="00761BFA"/>
    <w:rsid w:val="007B6C5D"/>
    <w:rsid w:val="007E323B"/>
    <w:rsid w:val="00806CF9"/>
    <w:rsid w:val="00826790"/>
    <w:rsid w:val="0084553E"/>
    <w:rsid w:val="00860017"/>
    <w:rsid w:val="00886A5B"/>
    <w:rsid w:val="008C68DF"/>
    <w:rsid w:val="00931B00"/>
    <w:rsid w:val="009A54A4"/>
    <w:rsid w:val="009C31E0"/>
    <w:rsid w:val="00A24371"/>
    <w:rsid w:val="00A26648"/>
    <w:rsid w:val="00AB698F"/>
    <w:rsid w:val="00AD0DDA"/>
    <w:rsid w:val="00AD2660"/>
    <w:rsid w:val="00AE1864"/>
    <w:rsid w:val="00B04039"/>
    <w:rsid w:val="00B16A4C"/>
    <w:rsid w:val="00B52B25"/>
    <w:rsid w:val="00BC2FC7"/>
    <w:rsid w:val="00BE6129"/>
    <w:rsid w:val="00BE6818"/>
    <w:rsid w:val="00BF00BB"/>
    <w:rsid w:val="00C02781"/>
    <w:rsid w:val="00C22600"/>
    <w:rsid w:val="00CA1A5D"/>
    <w:rsid w:val="00CB2B4B"/>
    <w:rsid w:val="00CD3927"/>
    <w:rsid w:val="00CF3117"/>
    <w:rsid w:val="00D15DA6"/>
    <w:rsid w:val="00D571EE"/>
    <w:rsid w:val="00D95BD1"/>
    <w:rsid w:val="00DB5B52"/>
    <w:rsid w:val="00E1219A"/>
    <w:rsid w:val="00E6228D"/>
    <w:rsid w:val="00E67C5F"/>
    <w:rsid w:val="00F17AF2"/>
    <w:rsid w:val="00F379ED"/>
    <w:rsid w:val="00F5276C"/>
    <w:rsid w:val="00FC03F0"/>
    <w:rsid w:val="00FC5006"/>
    <w:rsid w:val="12D35CDC"/>
    <w:rsid w:val="22CE03F9"/>
    <w:rsid w:val="2A8443E4"/>
    <w:rsid w:val="4885037E"/>
    <w:rsid w:val="58A979F7"/>
    <w:rsid w:val="6FBA22F3"/>
    <w:rsid w:val="753D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rFonts w:ascii="Lucida Grande" w:hAnsi="Lucida Grande" w:cs="Lucida Grande"/>
      <w:sz w:val="18"/>
      <w:szCs w:val="18"/>
    </w:rPr>
  </w:style>
  <w:style w:type="paragraph" w:styleId="3">
    <w:name w:val="footer"/>
    <w:basedOn w:val="1"/>
    <w:link w:val="12"/>
    <w:unhideWhenUsed/>
    <w:uiPriority w:val="99"/>
    <w:pPr>
      <w:tabs>
        <w:tab w:val="center" w:pos="4320"/>
        <w:tab w:val="right" w:pos="8640"/>
      </w:tabs>
    </w:p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320"/>
        <w:tab w:val="right" w:pos="8640"/>
      </w:tabs>
    </w:p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annotation reference"/>
    <w:basedOn w:val="7"/>
    <w:qFormat/>
    <w:uiPriority w:val="99"/>
    <w:rPr>
      <w:rFonts w:cs="Times New Roman"/>
      <w:sz w:val="16"/>
    </w:rPr>
  </w:style>
  <w:style w:type="paragraph" w:styleId="9">
    <w:name w:val="List Paragraph"/>
    <w:basedOn w:val="1"/>
    <w:qFormat/>
    <w:uiPriority w:val="99"/>
    <w:pPr>
      <w:ind w:left="720"/>
      <w:contextualSpacing/>
    </w:pPr>
  </w:style>
  <w:style w:type="character" w:customStyle="1" w:styleId="10">
    <w:name w:val="批注框文本 Char"/>
    <w:basedOn w:val="7"/>
    <w:link w:val="2"/>
    <w:semiHidden/>
    <w:uiPriority w:val="99"/>
    <w:rPr>
      <w:rFonts w:ascii="Lucida Grande" w:hAnsi="Lucida Grande" w:cs="Lucida Grande"/>
      <w:sz w:val="18"/>
      <w:szCs w:val="18"/>
    </w:rPr>
  </w:style>
  <w:style w:type="character" w:customStyle="1" w:styleId="11">
    <w:name w:val="页眉 Char"/>
    <w:basedOn w:val="7"/>
    <w:link w:val="4"/>
    <w:uiPriority w:val="99"/>
  </w:style>
  <w:style w:type="character" w:customStyle="1" w:styleId="12">
    <w:name w:val="页脚 Char"/>
    <w:basedOn w:val="7"/>
    <w:link w:val="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GAHM, LLC</Company>
  <Pages>2</Pages>
  <Words>731</Words>
  <Characters>4168</Characters>
  <Lines>34</Lines>
  <Paragraphs>9</Paragraphs>
  <TotalTime>345</TotalTime>
  <ScaleCrop>false</ScaleCrop>
  <LinksUpToDate>false</LinksUpToDate>
  <CharactersWithSpaces>4890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2016-02-10T15:15:00Z</dcterms:created>
  <dc:creator>Suzanne Snyder</dc:creator>
  <cp:lastModifiedBy>疯狗</cp:lastModifiedBy>
  <cp:lastPrinted>2013-10-14T04:25:00Z</cp:lastPrinted>
  <dcterms:modified xsi:type="dcterms:W3CDTF">2020-07-12T04:05:26Z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