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Arial" w:hAnsi="Arial" w:cs="Arial"/>
          <w:b/>
          <w:bCs/>
          <w:sz w:val="18"/>
          <w:szCs w:val="18"/>
        </w:rPr>
      </w:pPr>
      <w:r>
        <w:rPr>
          <w:rFonts w:ascii="Arial" w:hAnsi="Arial" w:cs="Arial"/>
          <w:b/>
          <w:bCs/>
          <w:sz w:val="18"/>
          <w:szCs w:val="18"/>
        </w:rPr>
        <w:t>Supplementary Figure Legends</w:t>
      </w:r>
    </w:p>
    <w:p>
      <w:pPr>
        <w:rPr>
          <w:rFonts w:ascii="Arial" w:hAnsi="Arial" w:cs="Arial"/>
          <w:sz w:val="18"/>
          <w:szCs w:val="18"/>
        </w:rPr>
      </w:pPr>
      <w:r>
        <w:rPr>
          <w:rFonts w:ascii="Arial" w:hAnsi="Arial" w:cs="Arial"/>
          <w:b/>
          <w:bCs/>
          <w:sz w:val="18"/>
          <w:szCs w:val="18"/>
        </w:rPr>
        <w:t>Figure S1.</w:t>
      </w:r>
      <w:r>
        <w:rPr>
          <w:rFonts w:ascii="Arial" w:hAnsi="Arial" w:cs="Arial"/>
          <w:sz w:val="18"/>
          <w:szCs w:val="18"/>
        </w:rPr>
        <w:t xml:space="preserve"> The characteristics of lncRNA-MANCR. </w:t>
      </w:r>
    </w:p>
    <w:p>
      <w:pPr>
        <w:rPr>
          <w:rFonts w:ascii="Arial" w:hAnsi="Arial" w:cs="Arial"/>
          <w:sz w:val="18"/>
          <w:szCs w:val="18"/>
        </w:rPr>
      </w:pPr>
      <w:r>
        <w:rPr>
          <w:rFonts w:ascii="Arial" w:hAnsi="Arial" w:cs="Arial"/>
          <w:sz w:val="18"/>
          <w:szCs w:val="18"/>
        </w:rPr>
        <w:t>(A) The whole sequence of MTSS1-AS is shown from National Centre for Biotechnology Information (NCBI; https://www.ncbi.nlm.nih.gov). (B) The potential coding capabilities of lncRNA-MANCR (MANCR) are revealed using LNCipedia (https://lncipedia.org/). (C) RNAfold web server from Vienna RNA Web Services (http://rna.tbi.univie.ac.at/) predicts the secondary structure and minimum free energy (MFE) of MANCR. (D, E) The noncoding ability of MANCR forecasted using the Coding Potential Assessment Tool (CPAT) (http://lilab.research.bcm.edu/) (D) and Coding Potential Calculator 2.0 (CPC 2.0) (http://cpc2.gao-lab.org/) (E).</w:t>
      </w:r>
    </w:p>
    <w:p>
      <w:pPr>
        <w:rPr>
          <w:rFonts w:ascii="Arial" w:hAnsi="Arial" w:cs="Arial"/>
          <w:sz w:val="18"/>
          <w:szCs w:val="18"/>
        </w:rPr>
      </w:pPr>
    </w:p>
    <w:p>
      <w:pPr>
        <w:rPr>
          <w:rFonts w:ascii="Arial" w:hAnsi="Arial" w:cs="Arial"/>
          <w:sz w:val="18"/>
          <w:szCs w:val="18"/>
        </w:rPr>
      </w:pPr>
      <w:r>
        <w:rPr>
          <w:rFonts w:ascii="Arial" w:hAnsi="Arial" w:cs="Arial"/>
          <w:b/>
          <w:bCs/>
          <w:sz w:val="18"/>
          <w:szCs w:val="18"/>
        </w:rPr>
        <w:t xml:space="preserve">Figure S2. </w:t>
      </w:r>
      <w:r>
        <w:rPr>
          <w:rFonts w:ascii="Arial" w:hAnsi="Arial" w:cs="Arial"/>
          <w:sz w:val="18"/>
          <w:szCs w:val="18"/>
        </w:rPr>
        <w:t>Overexpression of lncRNA-MANCR accelerates proliferation and invasion of pancreatic cancer cells, accompanied by increased SIRT1 expression. BXPC-3 and PANC-1 cells were treated with empty vector (Vector) or pcDNA MANCR (MANCR-OE), respectively. (A) The increasing efficiency of MANCR overexpression is shown in BXPC-3 and PANC-1 cells. (B) MTT assays demonstrate that MANCR increases viability of BXPC-3 and PANC-1 cells. (C) Proliferation evaluated for five days using the 2,5-diphenyl-2H-tetrazolium bromide (MTT) assay. (D) Wound-healing assay assessing the migration ability in pancreatic cancer (PC) cells at three-time points (0, 24, and 48 h). (E) Line diagrams indicating the relative wound size. (F) The invasion tested using transwell assay in PC cells. (G) Column charts represent the relative percentage of invaded PC cells. (H) Reverse transcription quantitative polymerase chain reaction (RT-qPCR) tests sirtuin-1 (SIRT1) RNA expression in two indicated groups. (I) Western blot (WB) detects SIRT1 protein levels in two indicated groups. Data are presented as mean values ± standard deviation (SD); *p &lt; 0.05, **p &lt; 0.01.</w:t>
      </w:r>
    </w:p>
    <w:p>
      <w:pPr>
        <w:rPr>
          <w:rFonts w:ascii="Arial" w:hAnsi="Arial" w:cs="Arial"/>
          <w:sz w:val="18"/>
          <w:szCs w:val="18"/>
        </w:rPr>
      </w:pPr>
    </w:p>
    <w:p>
      <w:pPr>
        <w:rPr>
          <w:rFonts w:ascii="Arial" w:hAnsi="Arial" w:cs="Arial"/>
          <w:sz w:val="18"/>
          <w:szCs w:val="18"/>
        </w:rPr>
      </w:pPr>
      <w:r>
        <w:rPr>
          <w:rFonts w:ascii="Arial" w:hAnsi="Arial" w:cs="Arial"/>
          <w:b/>
          <w:bCs/>
          <w:sz w:val="18"/>
          <w:szCs w:val="18"/>
        </w:rPr>
        <w:t xml:space="preserve">Figure S3. </w:t>
      </w:r>
      <w:r>
        <w:rPr>
          <w:rFonts w:ascii="Arial" w:hAnsi="Arial" w:cs="Arial"/>
          <w:sz w:val="18"/>
          <w:szCs w:val="18"/>
        </w:rPr>
        <w:t>SIRT1 is upregulated in pancreatic cancer and associated with poor clinical results, accompanied by increased HIF-1α RNA expression in different pancreatic tissues.</w:t>
      </w:r>
    </w:p>
    <w:p>
      <w:pPr>
        <w:rPr>
          <w:rFonts w:ascii="Arial" w:hAnsi="Arial" w:cs="Arial"/>
          <w:sz w:val="18"/>
          <w:szCs w:val="18"/>
        </w:rPr>
      </w:pPr>
      <w:r>
        <w:rPr>
          <w:rFonts w:ascii="Arial" w:hAnsi="Arial" w:cs="Arial"/>
          <w:sz w:val="18"/>
          <w:szCs w:val="18"/>
        </w:rPr>
        <w:t xml:space="preserve">(A) Hierarchical clustering data shows differentially expressed mRNA among noncancerous pancreatic (NP), pancreatic cancer (PC), and chronic pancreatitis (CP) tissues containing </w:t>
      </w:r>
      <w:r>
        <w:rPr>
          <w:rFonts w:ascii="Arial" w:hAnsi="Arial" w:cs="Arial"/>
          <w:color w:val="0E101A"/>
          <w:sz w:val="18"/>
          <w:szCs w:val="18"/>
        </w:rPr>
        <w:t>sirtuin-1 (</w:t>
      </w:r>
      <w:r>
        <w:rPr>
          <w:rFonts w:ascii="Arial" w:hAnsi="Arial" w:cs="Arial"/>
          <w:sz w:val="18"/>
          <w:szCs w:val="18"/>
        </w:rPr>
        <w:t xml:space="preserve">SIRT1). (B) Reverse transcription quantitative polymerase chain reaction (RT-qPCR) analysis of </w:t>
      </w:r>
      <w:r>
        <w:rPr>
          <w:rFonts w:ascii="Arial" w:hAnsi="Arial" w:cs="Arial"/>
          <w:i/>
          <w:iCs/>
          <w:sz w:val="18"/>
          <w:szCs w:val="18"/>
        </w:rPr>
        <w:t>Sirt1</w:t>
      </w:r>
      <w:r>
        <w:rPr>
          <w:rFonts w:ascii="Arial" w:hAnsi="Arial" w:cs="Arial"/>
          <w:sz w:val="18"/>
          <w:szCs w:val="18"/>
        </w:rPr>
        <w:t xml:space="preserve"> RNA expression in 15 CP samples, 40 PC samples, and 40 paired adjacent NP samples. (C) RT-qPCR analysis of SIRT1 expression in a normal pancreatic cell line (HPDE) and tumour cell lines (BXPC-3, PANC-1, ASPC-1, SW1990). (D) Kaplan-Meier curve analysis shows the percentage survival of high SIRT1 groups (23 patients) and low SIRT1 groups (17 patients). (E) The correlations between MANCR and SIRT1 mRNA level in pancreatic tissues. (F) The correlations between MANCR and SIRT1 mRNA levels in the NP group. (G) The correlations between MANCR and SIRT1 mRNA levels in the PC group. (H) The correlations between MANCR and SIRT1 mRNA levels in the CP group. Data are presented as mean values ± standard deviation (SD); *p &lt; 0.05, **p &lt; 0.01).</w:t>
      </w:r>
    </w:p>
    <w:p>
      <w:pPr>
        <w:rPr>
          <w:rFonts w:ascii="Arial" w:hAnsi="Arial" w:cs="Arial"/>
          <w:sz w:val="18"/>
          <w:szCs w:val="18"/>
        </w:rPr>
      </w:pPr>
    </w:p>
    <w:p>
      <w:pPr>
        <w:rPr>
          <w:rFonts w:ascii="Arial" w:hAnsi="Arial" w:cs="Arial"/>
          <w:sz w:val="18"/>
          <w:szCs w:val="18"/>
        </w:rPr>
      </w:pPr>
      <w:r>
        <w:rPr>
          <w:rFonts w:ascii="Arial" w:hAnsi="Arial" w:cs="Arial"/>
          <w:b/>
          <w:bCs/>
          <w:sz w:val="18"/>
          <w:szCs w:val="18"/>
        </w:rPr>
        <w:t>Figure S4.</w:t>
      </w:r>
      <w:r>
        <w:rPr>
          <w:rFonts w:ascii="Arial" w:hAnsi="Arial" w:cs="Arial"/>
          <w:sz w:val="18"/>
          <w:szCs w:val="18"/>
        </w:rPr>
        <w:t xml:space="preserve"> The miR-494 is downregulated in pancreatic cancer and correlated with lncRNA-MANCR or SIRT1 mRNA.</w:t>
      </w:r>
    </w:p>
    <w:p>
      <w:r>
        <w:rPr>
          <w:rFonts w:ascii="Arial" w:hAnsi="Arial" w:cs="Arial"/>
          <w:sz w:val="18"/>
          <w:szCs w:val="18"/>
        </w:rPr>
        <w:t>(A) The expression of miR-494 in 15 chronic pancreatitis (CP) specimens, 40 pancreatic cancer (PC), and 40 paired adjacent noncancerous pancreatic (NP) specimens using reverse transcription quantitative polymerase chain reaction (RT-qPCR) assays. (B) The correlations between miR-494 and sirtuin-1 (SIRT1) in patients with PC. (C) The correlations between miR-494 and lncRNA-MANCR (MANCR) in patients with PC. Data are shown as mean values ± standard deviation (SD); *p &lt; 0.05, **p &lt; 0.01.</w:t>
      </w:r>
      <w:bookmarkStart w:id="0" w:name="_GoBack"/>
      <w:bookmarkEnd w:id="0"/>
    </w:p>
    <w:sectPr>
      <w:footerReference r:id="rId3" w:type="default"/>
      <w:pgSz w:w="11906" w:h="16838"/>
      <w:pgMar w:top="1440" w:right="1800" w:bottom="1440" w:left="1800" w:header="851" w:footer="992" w:gutter="0"/>
      <w:lnNumType w:countBy="1" w:restart="continuou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6rY5ptYBAACyAwAADgAAAAAAAAABACAAAAAe&#10;AQAAZHJzL2Uyb0RvYy54bWxQSwUGAAAAAAYABgBZAQAAZgU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Tg4MjkyZGExMmI2MmEwNGFiOTM3NDY5MjJiNDAifQ=="/>
  </w:docVars>
  <w:rsids>
    <w:rsidRoot w:val="60B16FCC"/>
    <w:rsid w:val="60B16F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GB"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2024-01-10T12:22:00Z</dcterms:created>
  <dc:creator>宝宝大人</dc:creator>
  <cp:lastModifiedBy>宝宝大人</cp:lastModifiedBy>
  <dcterms:modified xsi:type="dcterms:W3CDTF">2024-01-10T12:23:26Z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A6A0072E2BA740DBAFE606D473251351_11</vt:lpwstr>
  </property>
</Properties>
</file>